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s260806019_4-laurenr.xml.htm"/>
      <w:bookmarkStart w:id="1" w:name="kses260806019_4laurenr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LAUREN RALPH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RALPH LAUREN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 MADISON AVE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RALPH LAUREN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Exec. Chair, Chief Creative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27"/>
        <w:gridCol w:w="900"/>
        <w:gridCol w:w="771"/>
        <w:gridCol w:w="597"/>
        <w:gridCol w:w="342"/>
        <w:gridCol w:w="1092"/>
        <w:gridCol w:w="439"/>
        <w:gridCol w:w="601"/>
        <w:gridCol w:w="1346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1,334.25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599,381.43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35,854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of the Issuer's Class A Common Stock payable as a result of the payment of a cash dividend on the Issuer's Class A Common Stock. The restricted stock units are payable solely in shares of the Issuer's Class A Common Stock issued to the Reporting Person in respect of restricted stock units previously granted under the Issuer's 1997 Stock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of Class A Common Stock are held by a revocable trust of which the reporting person is sole trustee and sole beneficiary.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Avery S. Fischer, Attorney-in-Fact for Ralph Lauren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40545" TargetMode="External"/><Relationship Id="rId5" Type="http://schemas.openxmlformats.org/officeDocument/2006/relationships/hyperlink" Target="http://www.sec.gov/cgi-bin/browse-edgar?action=getcompany&amp;CIK=00010370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668</Words>
  <Characters>3565</Characters>
  <CharactersWithSpaces>4170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