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Washington, D.C. 20549</w:t>
      </w:r>
    </w:p>
    <w:p>
      <w:pPr>
        <w:spacing w:after="0" w:line="151"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199"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Securities Exchange Act of 1934</w:t>
      </w:r>
    </w:p>
    <w:p>
      <w:pPr>
        <w:spacing w:after="0" w:line="3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Preliminary Proxy Statement</w:t>
      </w:r>
    </w:p>
    <w:p>
      <w:pPr>
        <w:spacing w:after="0" w:line="1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Confidential, for Use of the Commission Only (as permitted by Rule 14a-6(e)(2))</w:t>
      </w:r>
    </w:p>
    <w:p>
      <w:pPr>
        <w:spacing w:after="0" w:line="17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4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Additional Materials</w:t>
      </w:r>
    </w:p>
    <w:p>
      <w:pPr>
        <w:spacing w:after="0" w:line="1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Pursuant to §240.14a-12</w:t>
      </w:r>
    </w:p>
    <w:p>
      <w:pPr>
        <w:spacing w:after="0" w:line="362" w:lineRule="exact"/>
        <w:rPr>
          <w:sz w:val="24"/>
          <w:szCs w:val="24"/>
          <w:color w:val="auto"/>
        </w:rPr>
      </w:pPr>
    </w:p>
    <w:p>
      <w:pPr>
        <w:ind w:left="2340"/>
        <w:spacing w:after="0"/>
        <w:rPr>
          <w:sz w:val="20"/>
          <w:szCs w:val="20"/>
          <w:color w:val="auto"/>
        </w:rPr>
      </w:pPr>
      <w:r>
        <w:rPr>
          <w:rFonts w:ascii="Arial" w:cs="Arial" w:eastAsia="Arial" w:hAnsi="Arial"/>
          <w:sz w:val="32"/>
          <w:szCs w:val="32"/>
          <w:b w:val="1"/>
          <w:bCs w:val="1"/>
          <w:color w:val="auto"/>
        </w:rPr>
        <w:t>RALPH LAUREN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171450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71"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317500</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18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0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fee required.</w:t>
      </w:r>
    </w:p>
    <w:p>
      <w:pPr>
        <w:spacing w:after="0" w:line="15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Fee paid previously with preliminary materials.</w:t>
      </w:r>
    </w:p>
    <w:p>
      <w:pPr>
        <w:spacing w:after="0" w:line="158"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384810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222250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120015</wp:posOffset>
            </wp:positionV>
            <wp:extent cx="6995160" cy="905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135255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7003415" cy="90608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3415" cy="906081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3" w:name="page4"/>
    <w:bookmarkEnd w:id="3"/>
    <w:p>
      <w:pPr>
        <w:ind w:left="5"/>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412230" cy="2529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 w:right="420"/>
        <w:spacing w:after="0" w:line="265" w:lineRule="auto"/>
        <w:rPr>
          <w:sz w:val="20"/>
          <w:szCs w:val="20"/>
          <w:color w:val="auto"/>
        </w:rPr>
      </w:pPr>
      <w:r>
        <w:rPr>
          <w:rFonts w:ascii="Times New Roman" w:cs="Times New Roman" w:eastAsia="Times New Roman" w:hAnsi="Times New Roman"/>
          <w:sz w:val="25"/>
          <w:szCs w:val="25"/>
          <w:color w:val="BFA071"/>
        </w:rPr>
        <w:t>You are cordially invited to join our 2026 Annual Meeting of Stockholders to be held on Thursday, July 30, 2026, at 9:00 a.m. Eastern time.</w:t>
      </w:r>
    </w:p>
    <w:p>
      <w:pPr>
        <w:spacing w:after="0" w:line="42" w:lineRule="exact"/>
        <w:rPr>
          <w:sz w:val="20"/>
          <w:szCs w:val="20"/>
          <w:color w:val="auto"/>
        </w:rPr>
      </w:pPr>
    </w:p>
    <w:p>
      <w:pPr>
        <w:ind w:left="5"/>
        <w:spacing w:after="0"/>
        <w:rPr>
          <w:sz w:val="20"/>
          <w:szCs w:val="20"/>
          <w:color w:val="auto"/>
        </w:rPr>
      </w:pPr>
      <w:r>
        <w:rPr>
          <w:rFonts w:ascii="Arial" w:cs="Arial" w:eastAsia="Arial" w:hAnsi="Arial"/>
          <w:sz w:val="16"/>
          <w:szCs w:val="16"/>
          <w:color w:val="auto"/>
        </w:rPr>
        <w:t>Our Annual Meeting will be conducted exclusively online via live webcast.</w:t>
      </w:r>
    </w:p>
    <w:p>
      <w:pPr>
        <w:spacing w:after="0" w:line="46" w:lineRule="exact"/>
        <w:rPr>
          <w:sz w:val="20"/>
          <w:szCs w:val="20"/>
          <w:color w:val="auto"/>
        </w:rPr>
      </w:pPr>
    </w:p>
    <w:p>
      <w:pPr>
        <w:ind w:left="5" w:right="20"/>
        <w:spacing w:after="0" w:line="262" w:lineRule="auto"/>
        <w:rPr>
          <w:sz w:val="20"/>
          <w:szCs w:val="20"/>
          <w:color w:val="auto"/>
        </w:rPr>
      </w:pPr>
      <w:r>
        <w:rPr>
          <w:rFonts w:ascii="Arial" w:cs="Arial" w:eastAsia="Arial" w:hAnsi="Arial"/>
          <w:sz w:val="16"/>
          <w:szCs w:val="16"/>
          <w:color w:val="auto"/>
        </w:rPr>
        <w:t>Your vote is very important. Whether you plan to participate in the Annual Meeting or not, please be sure to vote. Information concerning the matters to be considered and voted upon at the 2026 Annual Meeting is set out in the attached Notice of 2026 Annual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183515</wp:posOffset>
            </wp:positionV>
            <wp:extent cx="43891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389"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BFA071"/>
        </w:rPr>
        <w:t>DEAR STOCKHOLDERS:</w:t>
      </w:r>
    </w:p>
    <w:p>
      <w:pPr>
        <w:spacing w:after="0" w:line="64" w:lineRule="exact"/>
        <w:rPr>
          <w:sz w:val="20"/>
          <w:szCs w:val="20"/>
          <w:color w:val="auto"/>
        </w:rPr>
      </w:pPr>
    </w:p>
    <w:p>
      <w:pPr>
        <w:ind w:left="5" w:right="20"/>
        <w:spacing w:after="0" w:line="239" w:lineRule="auto"/>
        <w:rPr>
          <w:sz w:val="20"/>
          <w:szCs w:val="20"/>
          <w:color w:val="auto"/>
        </w:rPr>
      </w:pPr>
      <w:r>
        <w:rPr>
          <w:rFonts w:ascii="Arial" w:cs="Arial" w:eastAsia="Arial" w:hAnsi="Arial"/>
          <w:sz w:val="16"/>
          <w:szCs w:val="16"/>
          <w:color w:val="auto"/>
        </w:rPr>
        <w:t xml:space="preserve">As we complete the first year of our </w:t>
      </w:r>
      <w:r>
        <w:rPr>
          <w:rFonts w:ascii="Arial" w:cs="Arial" w:eastAsia="Arial" w:hAnsi="Arial"/>
          <w:sz w:val="16"/>
          <w:szCs w:val="16"/>
          <w:i w:val="1"/>
          <w:iCs w:val="1"/>
          <w:color w:val="auto"/>
        </w:rPr>
        <w:t>Next Great Chapter: Drive</w:t>
      </w:r>
      <w:r>
        <w:rPr>
          <w:rFonts w:ascii="Arial" w:cs="Arial" w:eastAsia="Arial" w:hAnsi="Arial"/>
          <w:sz w:val="16"/>
          <w:szCs w:val="16"/>
          <w:color w:val="auto"/>
        </w:rPr>
        <w:t xml:space="preserve"> strategy, our Company is in a position of strength. Consumers around the world, across every generation, connect deeply with our Purpose – </w:t>
      </w:r>
      <w:r>
        <w:rPr>
          <w:rFonts w:ascii="Arial" w:cs="Arial" w:eastAsia="Arial" w:hAnsi="Arial"/>
          <w:sz w:val="16"/>
          <w:szCs w:val="16"/>
          <w:i w:val="1"/>
          <w:iCs w:val="1"/>
          <w:color w:val="auto"/>
        </w:rPr>
        <w:t>to inspire the dream of a better life through authenticity and timeless style</w:t>
      </w:r>
      <w:r>
        <w:rPr>
          <w:rFonts w:ascii="Arial" w:cs="Arial" w:eastAsia="Arial" w:hAnsi="Arial"/>
          <w:sz w:val="16"/>
          <w:szCs w:val="16"/>
          <w:color w:val="auto"/>
        </w:rPr>
        <w:t xml:space="preserve"> – brought to life through our iconic brand, timeless products, and immersive experiences.</w:t>
      </w:r>
    </w:p>
    <w:p>
      <w:pPr>
        <w:spacing w:after="0" w:line="1" w:lineRule="exact"/>
        <w:rPr>
          <w:sz w:val="20"/>
          <w:szCs w:val="20"/>
          <w:color w:val="auto"/>
        </w:rPr>
      </w:pPr>
    </w:p>
    <w:p>
      <w:pPr>
        <w:ind w:left="5" w:right="140"/>
        <w:spacing w:after="0" w:line="259" w:lineRule="auto"/>
        <w:rPr>
          <w:sz w:val="20"/>
          <w:szCs w:val="20"/>
          <w:color w:val="auto"/>
        </w:rPr>
      </w:pPr>
      <w:r>
        <w:rPr>
          <w:rFonts w:ascii="Arial" w:cs="Arial" w:eastAsia="Arial" w:hAnsi="Arial"/>
          <w:sz w:val="16"/>
          <w:szCs w:val="16"/>
          <w:color w:val="auto"/>
        </w:rPr>
        <w:t>We have continued to advance our momentum even against a volatile backdrop. Despite uncertainty, our customers know they can count on us for quality and timeless style throughout their lifelong relationships with our brand.</w:t>
      </w:r>
    </w:p>
    <w:p>
      <w:pPr>
        <w:spacing w:after="0" w:line="2" w:lineRule="exact"/>
        <w:rPr>
          <w:sz w:val="20"/>
          <w:szCs w:val="20"/>
          <w:color w:val="auto"/>
        </w:rPr>
      </w:pPr>
    </w:p>
    <w:p>
      <w:pPr>
        <w:ind w:left="5" w:right="240"/>
        <w:spacing w:after="0" w:line="286" w:lineRule="auto"/>
        <w:rPr>
          <w:sz w:val="20"/>
          <w:szCs w:val="20"/>
          <w:color w:val="auto"/>
        </w:rPr>
      </w:pPr>
      <w:r>
        <w:rPr>
          <w:rFonts w:ascii="Arial" w:cs="Arial" w:eastAsia="Arial" w:hAnsi="Arial"/>
          <w:sz w:val="16"/>
          <w:szCs w:val="16"/>
          <w:color w:val="auto"/>
        </w:rPr>
        <w:t xml:space="preserve">In year one of </w:t>
      </w:r>
      <w:r>
        <w:rPr>
          <w:rFonts w:ascii="Arial" w:cs="Arial" w:eastAsia="Arial" w:hAnsi="Arial"/>
          <w:sz w:val="16"/>
          <w:szCs w:val="16"/>
          <w:i w:val="1"/>
          <w:iCs w:val="1"/>
          <w:color w:val="auto"/>
        </w:rPr>
        <w:t>Next Great Chapter: Drive,</w:t>
      </w:r>
      <w:r>
        <w:rPr>
          <w:rFonts w:ascii="Arial" w:cs="Arial" w:eastAsia="Arial" w:hAnsi="Arial"/>
          <w:sz w:val="16"/>
          <w:szCs w:val="16"/>
          <w:color w:val="auto"/>
        </w:rPr>
        <w:t xml:space="preserve"> we have made meaningful progress across each of our diversified growth drivers:</w:t>
      </w:r>
    </w:p>
    <w:p>
      <w:pPr>
        <w:spacing w:after="0" w:line="61" w:lineRule="exact"/>
        <w:rPr>
          <w:sz w:val="20"/>
          <w:szCs w:val="20"/>
          <w:color w:val="auto"/>
        </w:rPr>
      </w:pPr>
    </w:p>
    <w:p>
      <w:pPr>
        <w:ind w:left="165" w:right="280" w:hanging="165"/>
        <w:spacing w:after="0" w:line="251" w:lineRule="auto"/>
        <w:tabs>
          <w:tab w:leader="none" w:pos="165"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Elevate and Energize Our Lifestyle Brand: </w:t>
      </w:r>
      <w:r>
        <w:rPr>
          <w:rFonts w:ascii="Arial" w:cs="Arial" w:eastAsia="Arial" w:hAnsi="Arial"/>
          <w:sz w:val="16"/>
          <w:szCs w:val="16"/>
          <w:color w:val="auto"/>
        </w:rPr>
        <w:t>Ralph Lauren continued to influence culture</w:t>
      </w:r>
      <w:r>
        <w:rPr>
          <w:rFonts w:ascii="Arial" w:cs="Arial" w:eastAsia="Arial" w:hAnsi="Arial"/>
          <w:sz w:val="16"/>
          <w:szCs w:val="16"/>
          <w:b w:val="1"/>
          <w:bCs w:val="1"/>
          <w:color w:val="auto"/>
        </w:rPr>
        <w:t xml:space="preserve"> </w:t>
      </w:r>
      <w:r>
        <w:rPr>
          <w:rFonts w:ascii="Arial" w:cs="Arial" w:eastAsia="Arial" w:hAnsi="Arial"/>
          <w:sz w:val="16"/>
          <w:szCs w:val="16"/>
          <w:color w:val="auto"/>
        </w:rPr>
        <w:t>around the world, expanding our customer base and inspiring the next generation. We activated through fashion presentations in New York City, Paris, and Milan and, for the first time ever, in China; celebrated sport and style on the world’s biggest stages including the Ryder Cup, Wimbledon, the US Open, and our support of Team USA at the Milano Cortina Winter Olympics; and brought family and community together at our immersive holiday markets in key cities like London, Los Angeles and Tokyo. We also advanced our work in conversational commerce with Ask Ralph, our AI-powered virtual styling tool, inspiring our customers with Ralph’s unique and iconic take on styling right from their phones.</w:t>
      </w:r>
    </w:p>
    <w:p>
      <w:pPr>
        <w:spacing w:after="0" w:line="90" w:lineRule="exact"/>
        <w:rPr>
          <w:rFonts w:ascii="Arial" w:cs="Arial" w:eastAsia="Arial" w:hAnsi="Arial"/>
          <w:sz w:val="16"/>
          <w:szCs w:val="16"/>
          <w:color w:val="auto"/>
        </w:rPr>
      </w:pPr>
    </w:p>
    <w:p>
      <w:pPr>
        <w:ind w:left="165" w:right="180" w:hanging="165"/>
        <w:spacing w:after="0" w:line="256" w:lineRule="auto"/>
        <w:tabs>
          <w:tab w:leader="none" w:pos="165"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Drive the Core and Expand for More: </w:t>
      </w:r>
      <w:r>
        <w:rPr>
          <w:rFonts w:ascii="Arial" w:cs="Arial" w:eastAsia="Arial" w:hAnsi="Arial"/>
          <w:sz w:val="16"/>
          <w:szCs w:val="16"/>
          <w:color w:val="auto"/>
        </w:rPr>
        <w:t>Our high-quality, timeless core products like tailored</w:t>
      </w:r>
      <w:r>
        <w:rPr>
          <w:rFonts w:ascii="Arial" w:cs="Arial" w:eastAsia="Arial" w:hAnsi="Arial"/>
          <w:sz w:val="16"/>
          <w:szCs w:val="16"/>
          <w:b w:val="1"/>
          <w:bCs w:val="1"/>
          <w:color w:val="auto"/>
        </w:rPr>
        <w:t xml:space="preserve"> </w:t>
      </w:r>
      <w:r>
        <w:rPr>
          <w:rFonts w:ascii="Arial" w:cs="Arial" w:eastAsia="Arial" w:hAnsi="Arial"/>
          <w:sz w:val="16"/>
          <w:szCs w:val="16"/>
          <w:color w:val="auto"/>
        </w:rPr>
        <w:t>jackets, cable-knit sweaters, and oxfords transcend trends and are the foundational pieces that consumers turn to at every stage of their lives. We continued to drive our leadership in Men's and grow our share in our high-potential categories of Women's Apparel, Outerwear, and Handbags.</w:t>
      </w:r>
    </w:p>
    <w:p>
      <w:pPr>
        <w:spacing w:after="0" w:line="98" w:lineRule="exact"/>
        <w:rPr>
          <w:rFonts w:ascii="Arial" w:cs="Arial" w:eastAsia="Arial" w:hAnsi="Arial"/>
          <w:sz w:val="16"/>
          <w:szCs w:val="16"/>
          <w:color w:val="auto"/>
        </w:rPr>
      </w:pPr>
    </w:p>
    <w:p>
      <w:pPr>
        <w:ind w:left="165" w:hanging="165"/>
        <w:spacing w:after="0" w:line="256" w:lineRule="auto"/>
        <w:tabs>
          <w:tab w:leader="none" w:pos="165"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Win in Key Cities with Our Consumer Ecosystem: </w:t>
      </w:r>
      <w:r>
        <w:rPr>
          <w:rFonts w:ascii="Arial" w:cs="Arial" w:eastAsia="Arial" w:hAnsi="Arial"/>
          <w:sz w:val="16"/>
          <w:szCs w:val="16"/>
          <w:color w:val="auto"/>
        </w:rPr>
        <w:t>Our consistent execution and delivery of</w:t>
      </w:r>
      <w:r>
        <w:rPr>
          <w:rFonts w:ascii="Arial" w:cs="Arial" w:eastAsia="Arial" w:hAnsi="Arial"/>
          <w:sz w:val="16"/>
          <w:szCs w:val="16"/>
          <w:b w:val="1"/>
          <w:bCs w:val="1"/>
          <w:color w:val="auto"/>
        </w:rPr>
        <w:t xml:space="preserve"> </w:t>
      </w:r>
      <w:r>
        <w:rPr>
          <w:rFonts w:ascii="Arial" w:cs="Arial" w:eastAsia="Arial" w:hAnsi="Arial"/>
          <w:sz w:val="16"/>
          <w:szCs w:val="16"/>
          <w:color w:val="auto"/>
        </w:rPr>
        <w:t>elevated and immersive experiences resulted in growth in every region over the past year. We both deepened our presence in priority markets and expanded to emerging ones with new store openings, including Vancouver, San Francisco, Busan, Marbella, Plano, Munich, Chengdu, Noida, Sydney, and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5829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260350</wp:posOffset>
            </wp:positionV>
            <wp:extent cx="128905"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001641"/>
        </w:rPr>
        <w:t>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-243840</wp:posOffset>
            </wp:positionV>
            <wp:extent cx="1238250" cy="4041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8250" cy="404177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b w:val="1"/>
          <w:bCs w:val="1"/>
          <w:color w:val="001641"/>
        </w:rPr>
        <w:t>GROWTH DRIVERS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1641"/>
        </w:rPr>
        <w:t> </w:t>
      </w:r>
    </w:p>
    <w:p>
      <w:pPr>
        <w:spacing w:after="0" w:line="27"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color w:val="001641"/>
        </w:rPr>
        <w:t>Elevate and</w:t>
      </w:r>
    </w:p>
    <w:p>
      <w:pPr>
        <w:spacing w:after="0" w:line="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color w:val="001641"/>
        </w:rPr>
        <w:t>Energize our</w:t>
      </w:r>
    </w:p>
    <w:p>
      <w:pPr>
        <w:spacing w:after="0" w:line="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color w:val="001641"/>
        </w:rPr>
        <w:t>Lifestyle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1641"/>
        </w:rPr>
        <w:t> </w:t>
      </w:r>
    </w:p>
    <w:p>
      <w:pPr>
        <w:spacing w:after="0" w:line="27"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color w:val="001641"/>
        </w:rPr>
        <w:t>Drive the Core and</w:t>
      </w:r>
    </w:p>
    <w:p>
      <w:pPr>
        <w:spacing w:after="0" w:line="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color w:val="001641"/>
        </w:rPr>
        <w:t>Expand for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1641"/>
        </w:rPr>
        <w:t> </w:t>
      </w:r>
    </w:p>
    <w:p>
      <w:pPr>
        <w:spacing w:after="0" w:line="27" w:lineRule="exact"/>
        <w:rPr>
          <w:sz w:val="20"/>
          <w:szCs w:val="20"/>
          <w:color w:val="auto"/>
        </w:rPr>
      </w:pPr>
    </w:p>
    <w:p>
      <w:pPr>
        <w:jc w:val="center"/>
        <w:ind w:left="-59"/>
        <w:spacing w:after="0" w:line="255" w:lineRule="auto"/>
        <w:rPr>
          <w:sz w:val="20"/>
          <w:szCs w:val="20"/>
          <w:color w:val="auto"/>
        </w:rPr>
      </w:pPr>
      <w:r>
        <w:rPr>
          <w:rFonts w:ascii="Times New Roman" w:cs="Times New Roman" w:eastAsia="Times New Roman" w:hAnsi="Times New Roman"/>
          <w:sz w:val="18"/>
          <w:szCs w:val="18"/>
          <w:color w:val="001641"/>
        </w:rPr>
        <w:t>Win in Key Cities with our Consumer Ecosystem</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001641"/>
        </w:rPr>
        <w:t> </w:t>
      </w:r>
    </w:p>
    <w:p>
      <w:pPr>
        <w:spacing w:after="0" w:line="1586" w:lineRule="exact"/>
        <w:rPr>
          <w:sz w:val="20"/>
          <w:szCs w:val="20"/>
          <w:color w:val="auto"/>
        </w:rPr>
      </w:pPr>
    </w:p>
    <w:p>
      <w:pPr>
        <w:sectPr>
          <w:pgSz w:w="11900" w:h="16838" w:orient="portrait"/>
          <w:cols w:equalWidth="0" w:num="2">
            <w:col w:w="6905" w:space="520"/>
            <w:col w:w="2139"/>
          </w:cols>
          <w:pgMar w:left="895" w:top="114" w:right="1440" w:bottom="1440" w:gutter="0" w:footer="0" w:header="0"/>
        </w:sectPr>
      </w:pPr>
    </w:p>
    <w:p>
      <w:pPr>
        <w:spacing w:after="0" w:line="214" w:lineRule="exact"/>
        <w:rPr>
          <w:sz w:val="20"/>
          <w:szCs w:val="20"/>
          <w:color w:val="auto"/>
        </w:rPr>
      </w:pPr>
    </w:p>
    <w:p>
      <w:pPr>
        <w:ind w:left="6545"/>
        <w:spacing w:after="0"/>
        <w:tabs>
          <w:tab w:leader="none" w:pos="9125"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118110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895" w:top="114" w:right="1440"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001641"/>
        </w:rPr>
        <w:t>Executive Chairman &amp; CEO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5831205" cy="6594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31205" cy="659447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001641"/>
        </w:rPr>
        <w:t>STRATEGIC</w:t>
      </w:r>
    </w:p>
    <w:p>
      <w:pPr>
        <w:spacing w:after="0" w:line="15"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001641"/>
        </w:rPr>
        <w:t>GROWTH ENABLERS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001641"/>
        </w:rPr>
        <w:t xml:space="preserve">  </w:t>
      </w:r>
    </w:p>
    <w:p>
      <w:pPr>
        <w:spacing w:after="0" w:line="6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001641"/>
        </w:rPr>
        <w:t>Our People and</w:t>
      </w:r>
    </w:p>
    <w:p>
      <w:pPr>
        <w:spacing w:after="0" w:line="2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001641"/>
        </w:rPr>
        <w:t>Our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001641"/>
        </w:rPr>
        <w:t> </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1641"/>
        </w:rPr>
        <w:t>Best-In-Class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001641"/>
        </w:rPr>
        <w:t>Digital Technology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1641"/>
        </w:rPr>
        <w:t>and Analytics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001641"/>
        </w:rPr>
        <w:t> </w:t>
      </w:r>
    </w:p>
    <w:p>
      <w:pPr>
        <w:spacing w:after="0" w:line="6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001641"/>
        </w:rPr>
        <w:t>Superior</w:t>
      </w:r>
    </w:p>
    <w:p>
      <w:pPr>
        <w:spacing w:after="0" w:line="2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001641"/>
        </w:rPr>
        <w:t>Operational</w:t>
      </w:r>
    </w:p>
    <w:p>
      <w:pPr>
        <w:spacing w:after="0" w:line="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001641"/>
        </w:rPr>
        <w:t>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001641"/>
        </w:rPr>
        <w:t> </w:t>
      </w:r>
    </w:p>
    <w:p>
      <w:pPr>
        <w:spacing w:after="0" w:line="27" w:lineRule="exact"/>
        <w:rPr>
          <w:sz w:val="20"/>
          <w:szCs w:val="20"/>
          <w:color w:val="auto"/>
        </w:rPr>
      </w:pPr>
    </w:p>
    <w:p>
      <w:pPr>
        <w:ind w:left="440" w:right="220" w:firstLine="86"/>
        <w:spacing w:after="0" w:line="290" w:lineRule="auto"/>
        <w:tabs>
          <w:tab w:leader="none" w:pos="710" w:val="left"/>
        </w:tabs>
        <w:numPr>
          <w:ilvl w:val="0"/>
          <w:numId w:val="2"/>
        </w:numPr>
        <w:rPr>
          <w:rFonts w:ascii="Times New Roman" w:cs="Times New Roman" w:eastAsia="Times New Roman" w:hAnsi="Times New Roman"/>
          <w:sz w:val="17"/>
          <w:szCs w:val="17"/>
          <w:color w:val="001641"/>
        </w:rPr>
      </w:pPr>
      <w:r>
        <w:rPr>
          <w:rFonts w:ascii="Times New Roman" w:cs="Times New Roman" w:eastAsia="Times New Roman" w:hAnsi="Times New Roman"/>
          <w:sz w:val="17"/>
          <w:szCs w:val="17"/>
          <w:color w:val="001641"/>
        </w:rPr>
        <w:t>Powerful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001641"/>
        </w:rPr>
        <w:t> </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001641"/>
        </w:rPr>
        <w:t>Leadership in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1641"/>
        </w:rPr>
        <w:t>Citizenship &amp;</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001641"/>
        </w:rPr>
        <w:t>Sustainability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Our progress is underpinned by our key enablers, including our investments in AI and other advanced technologies, our powerful balance sheet, strong partnerships throughout our value chain – and, above all, the focus, commitment, and talent of our teams around the world who bring our vision to life every day.</w:t>
      </w:r>
    </w:p>
    <w:p>
      <w:pPr>
        <w:spacing w:after="0" w:line="12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We remain focused on what we can control: our strong brand and delivering for our elevated, resilient, and loyal customers. Our multiple, diversified growth drivers – across categories, channels, and regions – provide many meaningful opportunities ahead, and we are well-positioned to deliver long-term value creation for the years to come.</w:t>
      </w:r>
    </w:p>
    <w:p>
      <w:pPr>
        <w:spacing w:after="0" w:line="124"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Thank you for your continued support and interest in our Company. We look forward to connecting with you at our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125095</wp:posOffset>
            </wp:positionV>
            <wp:extent cx="2459990" cy="248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59990" cy="24892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125095</wp:posOffset>
            </wp:positionV>
            <wp:extent cx="2459990"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59990" cy="24892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60"/>
        <w:spacing w:after="0"/>
        <w:tabs>
          <w:tab w:leader="none" w:pos="2460" w:val="left"/>
        </w:tabs>
        <w:rPr>
          <w:sz w:val="20"/>
          <w:szCs w:val="20"/>
          <w:color w:val="auto"/>
        </w:rPr>
      </w:pPr>
      <w:r>
        <w:rPr>
          <w:rFonts w:ascii="Arial" w:cs="Arial" w:eastAsia="Arial" w:hAnsi="Arial"/>
          <w:sz w:val="16"/>
          <w:szCs w:val="16"/>
          <w:color w:val="001641"/>
        </w:rPr>
        <w:t> </w:t>
      </w:r>
      <w:r>
        <w:rPr>
          <w:sz w:val="20"/>
          <w:szCs w:val="20"/>
          <w:color w:val="auto"/>
        </w:rPr>
        <w:tab/>
      </w:r>
      <w:r>
        <w:rPr>
          <w:rFonts w:ascii="Arial" w:cs="Arial" w:eastAsia="Arial" w:hAnsi="Arial"/>
          <w:sz w:val="16"/>
          <w:szCs w:val="16"/>
          <w:color w:val="001641"/>
        </w:rPr>
        <w:t xml:space="preserve">  </w:t>
      </w:r>
    </w:p>
    <w:p>
      <w:pPr>
        <w:spacing w:after="0" w:line="100" w:lineRule="exact"/>
        <w:rPr>
          <w:sz w:val="20"/>
          <w:szCs w:val="20"/>
          <w:color w:val="auto"/>
        </w:rPr>
      </w:pPr>
    </w:p>
    <w:p>
      <w:pPr>
        <w:ind w:left="160"/>
        <w:spacing w:after="0"/>
        <w:tabs>
          <w:tab w:leader="none" w:pos="2460" w:val="left"/>
        </w:tabs>
        <w:rPr>
          <w:sz w:val="20"/>
          <w:szCs w:val="20"/>
          <w:color w:val="auto"/>
        </w:rPr>
      </w:pPr>
      <w:r>
        <w:rPr>
          <w:rFonts w:ascii="Arial" w:cs="Arial" w:eastAsia="Arial" w:hAnsi="Arial"/>
          <w:sz w:val="16"/>
          <w:szCs w:val="16"/>
          <w:b w:val="1"/>
          <w:bCs w:val="1"/>
          <w:color w:val="001641"/>
        </w:rPr>
        <w:t>Ralph Lauren</w:t>
      </w:r>
      <w:r>
        <w:rPr>
          <w:sz w:val="20"/>
          <w:szCs w:val="20"/>
          <w:color w:val="auto"/>
        </w:rPr>
        <w:tab/>
      </w:r>
      <w:r>
        <w:rPr>
          <w:rFonts w:ascii="Arial" w:cs="Arial" w:eastAsia="Arial" w:hAnsi="Arial"/>
          <w:sz w:val="16"/>
          <w:szCs w:val="16"/>
          <w:b w:val="1"/>
          <w:bCs w:val="1"/>
          <w:color w:val="001641"/>
        </w:rPr>
        <w:t>Patrice Louvet</w:t>
      </w:r>
    </w:p>
    <w:p>
      <w:pPr>
        <w:spacing w:after="0" w:line="73" w:lineRule="exact"/>
        <w:rPr>
          <w:sz w:val="20"/>
          <w:szCs w:val="20"/>
          <w:color w:val="auto"/>
        </w:rPr>
      </w:pPr>
    </w:p>
    <w:p>
      <w:pPr>
        <w:ind w:left="160"/>
        <w:spacing w:after="0"/>
        <w:tabs>
          <w:tab w:leader="none" w:pos="2460" w:val="left"/>
        </w:tabs>
        <w:rPr>
          <w:sz w:val="20"/>
          <w:szCs w:val="20"/>
          <w:color w:val="auto"/>
        </w:rPr>
      </w:pPr>
      <w:r>
        <w:rPr>
          <w:rFonts w:ascii="Arial" w:cs="Arial" w:eastAsia="Arial" w:hAnsi="Arial"/>
          <w:sz w:val="16"/>
          <w:szCs w:val="16"/>
          <w:color w:val="001641"/>
        </w:rPr>
        <w:t>Executive Chairman and</w:t>
      </w:r>
      <w:r>
        <w:rPr>
          <w:sz w:val="20"/>
          <w:szCs w:val="20"/>
          <w:color w:val="auto"/>
        </w:rPr>
        <w:tab/>
      </w:r>
      <w:r>
        <w:rPr>
          <w:rFonts w:ascii="Arial" w:cs="Arial" w:eastAsia="Arial" w:hAnsi="Arial"/>
          <w:sz w:val="16"/>
          <w:szCs w:val="16"/>
          <w:color w:val="001641"/>
        </w:rPr>
        <w:t>President and</w:t>
      </w:r>
    </w:p>
    <w:p>
      <w:pPr>
        <w:spacing w:after="0" w:line="73" w:lineRule="exact"/>
        <w:rPr>
          <w:sz w:val="20"/>
          <w:szCs w:val="20"/>
          <w:color w:val="auto"/>
        </w:rPr>
      </w:pPr>
    </w:p>
    <w:p>
      <w:pPr>
        <w:ind w:left="160"/>
        <w:spacing w:after="0"/>
        <w:tabs>
          <w:tab w:leader="none" w:pos="2460" w:val="left"/>
        </w:tabs>
        <w:rPr>
          <w:sz w:val="20"/>
          <w:szCs w:val="20"/>
          <w:color w:val="auto"/>
        </w:rPr>
      </w:pPr>
      <w:r>
        <w:rPr>
          <w:rFonts w:ascii="Arial" w:cs="Arial" w:eastAsia="Arial" w:hAnsi="Arial"/>
          <w:sz w:val="16"/>
          <w:szCs w:val="16"/>
          <w:color w:val="001641"/>
        </w:rPr>
        <w:t>Chief Creative Officer</w:t>
      </w:r>
      <w:r>
        <w:rPr>
          <w:sz w:val="20"/>
          <w:szCs w:val="20"/>
          <w:color w:val="auto"/>
        </w:rPr>
        <w:tab/>
      </w:r>
      <w:r>
        <w:rPr>
          <w:rFonts w:ascii="Arial" w:cs="Arial" w:eastAsia="Arial" w:hAnsi="Arial"/>
          <w:sz w:val="16"/>
          <w:szCs w:val="16"/>
          <w:color w:val="001641"/>
        </w:rPr>
        <w:t>Chief Executive Officer</w:t>
      </w:r>
    </w:p>
    <w:p>
      <w:pPr>
        <w:spacing w:after="0" w:line="200" w:lineRule="exact"/>
        <w:rPr>
          <w:sz w:val="20"/>
          <w:szCs w:val="20"/>
          <w:color w:val="auto"/>
        </w:rPr>
      </w:pPr>
    </w:p>
    <w:p>
      <w:pPr>
        <w:spacing w:after="0" w:line="399" w:lineRule="exact"/>
        <w:rPr>
          <w:sz w:val="20"/>
          <w:szCs w:val="20"/>
          <w:color w:val="auto"/>
        </w:rPr>
      </w:pPr>
    </w:p>
    <w:p>
      <w:pPr>
        <w:ind w:left="160"/>
        <w:spacing w:after="0"/>
        <w:rPr>
          <w:sz w:val="20"/>
          <w:szCs w:val="20"/>
          <w:color w:val="auto"/>
        </w:rPr>
      </w:pPr>
      <w:r>
        <w:rPr>
          <w:rFonts w:ascii="Arial" w:cs="Arial" w:eastAsia="Arial" w:hAnsi="Arial"/>
          <w:sz w:val="16"/>
          <w:szCs w:val="16"/>
          <w:color w:val="001641"/>
        </w:rPr>
        <w:t>New York, New York</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001641"/>
        </w:rPr>
        <w:t>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3595370</wp:posOffset>
            </wp:positionV>
            <wp:extent cx="58293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5583" w:lineRule="exact"/>
        <w:rPr>
          <w:sz w:val="20"/>
          <w:szCs w:val="20"/>
          <w:color w:val="auto"/>
        </w:rPr>
      </w:pPr>
    </w:p>
    <w:p>
      <w:pPr>
        <w:sectPr>
          <w:pgSz w:w="11900" w:h="16838" w:orient="portrait"/>
          <w:cols w:equalWidth="0" w:num="2">
            <w:col w:w="1680" w:space="580"/>
            <w:col w:w="6880"/>
          </w:cols>
          <w:pgMar w:left="1360" w:top="114" w:right="1399" w:bottom="1440" w:gutter="0" w:footer="0" w:header="0"/>
          <w:type w:val="continuous"/>
        </w:sectPr>
      </w:pPr>
    </w:p>
    <w:p>
      <w:pPr>
        <w:spacing w:after="0" w:line="29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ii</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7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283210</wp:posOffset>
            </wp:positionV>
            <wp:extent cx="58293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20" w:right="3200"/>
        <w:spacing w:after="0" w:line="278" w:lineRule="auto"/>
        <w:rPr>
          <w:sz w:val="20"/>
          <w:szCs w:val="20"/>
          <w:color w:val="auto"/>
        </w:rPr>
      </w:pPr>
      <w:r>
        <w:rPr>
          <w:rFonts w:ascii="Times New Roman" w:cs="Times New Roman" w:eastAsia="Times New Roman" w:hAnsi="Times New Roman"/>
          <w:sz w:val="54"/>
          <w:szCs w:val="54"/>
          <w:color w:val="001641"/>
        </w:rPr>
        <w:t>Notice of 2026 Annual Meeting of Stockholders</w:t>
      </w:r>
    </w:p>
    <w:p>
      <w:pPr>
        <w:spacing w:after="0" w:line="200" w:lineRule="exact"/>
        <w:rPr>
          <w:sz w:val="20"/>
          <w:szCs w:val="20"/>
          <w:color w:val="auto"/>
        </w:rPr>
      </w:pPr>
    </w:p>
    <w:p>
      <w:pPr>
        <w:spacing w:after="0" w:line="24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BFA071"/>
        </w:rPr>
        <w:t>PURPOSE OF THE MEETING</w:t>
      </w:r>
    </w:p>
    <w:p>
      <w:pPr>
        <w:spacing w:after="0" w:line="158" w:lineRule="exact"/>
        <w:rPr>
          <w:sz w:val="20"/>
          <w:szCs w:val="20"/>
          <w:color w:val="auto"/>
        </w:rPr>
      </w:pPr>
    </w:p>
    <w:p>
      <w:pPr>
        <w:ind w:left="920" w:right="1040"/>
        <w:spacing w:after="0" w:line="255" w:lineRule="auto"/>
        <w:rPr>
          <w:sz w:val="20"/>
          <w:szCs w:val="20"/>
          <w:color w:val="auto"/>
        </w:rPr>
      </w:pPr>
      <w:r>
        <w:rPr>
          <w:rFonts w:ascii="Arial" w:cs="Arial" w:eastAsia="Arial" w:hAnsi="Arial"/>
          <w:sz w:val="14"/>
          <w:szCs w:val="14"/>
          <w:color w:val="auto"/>
        </w:rPr>
        <w:t xml:space="preserve">The 2026 Annual Meeting of Stockholders of Ralph Lauren Corporation, a Delaware corporation, will be held virtually via live webcast on Thursday, July 30, 2026, at 9:00 a.m. Eastern Time at </w:t>
      </w:r>
      <w:r>
        <w:rPr>
          <w:rFonts w:ascii="Arial" w:cs="Arial" w:eastAsia="Arial" w:hAnsi="Arial"/>
          <w:sz w:val="14"/>
          <w:szCs w:val="14"/>
          <w:i w:val="1"/>
          <w:iCs w:val="1"/>
          <w:color w:val="auto"/>
        </w:rPr>
        <w:t>www.virtualshareholdermeeting.com/RL2026</w:t>
      </w:r>
      <w:r>
        <w:rPr>
          <w:rFonts w:ascii="Arial" w:cs="Arial" w:eastAsia="Arial" w:hAnsi="Arial"/>
          <w:sz w:val="14"/>
          <w:szCs w:val="14"/>
          <w:color w:val="auto"/>
        </w:rPr>
        <w:t>, or at any postponement or adjournment of the meeting, for the following purposes:</w:t>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1560" w:right="340" w:hanging="646"/>
        <w:spacing w:after="0" w:line="183" w:lineRule="auto"/>
        <w:tabs>
          <w:tab w:leader="none" w:pos="1560" w:val="left"/>
        </w:tabs>
        <w:numPr>
          <w:ilvl w:val="0"/>
          <w:numId w:val="3"/>
        </w:numPr>
        <w:rPr>
          <w:rFonts w:ascii="Times New Roman" w:cs="Times New Roman" w:eastAsia="Times New Roman" w:hAnsi="Times New Roman"/>
          <w:sz w:val="26"/>
          <w:szCs w:val="26"/>
          <w:color w:val="BFA071"/>
          <w:vertAlign w:val="subscript"/>
        </w:rPr>
      </w:pPr>
      <w:r>
        <w:rPr>
          <w:rFonts w:ascii="Arial" w:cs="Arial" w:eastAsia="Arial" w:hAnsi="Arial"/>
          <w:sz w:val="11"/>
          <w:szCs w:val="11"/>
          <w:color w:val="001641"/>
        </w:rPr>
        <w:t>To elect 12 directors to serve until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-325755</wp:posOffset>
            </wp:positionV>
            <wp:extent cx="26060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both"/>
        <w:ind w:left="1560" w:hanging="646"/>
        <w:spacing w:after="0" w:line="182" w:lineRule="auto"/>
        <w:tabs>
          <w:tab w:leader="none" w:pos="1560" w:val="left"/>
        </w:tabs>
        <w:numPr>
          <w:ilvl w:val="0"/>
          <w:numId w:val="4"/>
        </w:numPr>
        <w:rPr>
          <w:rFonts w:ascii="Times New Roman" w:cs="Times New Roman" w:eastAsia="Times New Roman" w:hAnsi="Times New Roman"/>
          <w:sz w:val="32"/>
          <w:szCs w:val="32"/>
          <w:color w:val="BFA071"/>
          <w:vertAlign w:val="subscript"/>
        </w:rPr>
      </w:pPr>
      <w:r>
        <w:rPr>
          <w:rFonts w:ascii="Arial" w:cs="Arial" w:eastAsia="Arial" w:hAnsi="Arial"/>
          <w:sz w:val="11"/>
          <w:szCs w:val="11"/>
          <w:color w:val="001641"/>
        </w:rPr>
        <w:t>To ratify the appointment of Ernst &amp; Young LLP (“Ernst &amp; Young”) as our independent registered public accounting firm for the fiscal year ending April 3,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-419100</wp:posOffset>
            </wp:positionV>
            <wp:extent cx="26060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both"/>
        <w:ind w:left="645" w:right="1100" w:hanging="645"/>
        <w:spacing w:after="0" w:line="182" w:lineRule="auto"/>
        <w:tabs>
          <w:tab w:leader="none" w:pos="645" w:val="left"/>
        </w:tabs>
        <w:numPr>
          <w:ilvl w:val="0"/>
          <w:numId w:val="5"/>
        </w:numPr>
        <w:rPr>
          <w:rFonts w:ascii="Times New Roman" w:cs="Times New Roman" w:eastAsia="Times New Roman" w:hAnsi="Times New Roman"/>
          <w:sz w:val="32"/>
          <w:szCs w:val="32"/>
          <w:color w:val="BFA071"/>
          <w:vertAlign w:val="subscript"/>
        </w:rPr>
      </w:pPr>
      <w:r>
        <w:rPr>
          <w:rFonts w:ascii="Arial" w:cs="Arial" w:eastAsia="Arial" w:hAnsi="Arial"/>
          <w:sz w:val="11"/>
          <w:szCs w:val="11"/>
          <w:color w:val="001641"/>
        </w:rPr>
        <w:t>To approve, on an advisory basis, the compensation of our named executive officers and our compensation philosophy, policies, and practices as described 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-419100</wp:posOffset>
            </wp:positionV>
            <wp:extent cx="30346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87" w:lineRule="exact"/>
        <w:rPr>
          <w:sz w:val="20"/>
          <w:szCs w:val="20"/>
          <w:color w:val="auto"/>
        </w:rPr>
      </w:pPr>
    </w:p>
    <w:p>
      <w:pPr>
        <w:ind w:left="645" w:right="1140" w:hanging="645"/>
        <w:spacing w:after="0" w:line="183" w:lineRule="auto"/>
        <w:tabs>
          <w:tab w:leader="none" w:pos="645" w:val="left"/>
        </w:tabs>
        <w:numPr>
          <w:ilvl w:val="0"/>
          <w:numId w:val="6"/>
        </w:numPr>
        <w:rPr>
          <w:rFonts w:ascii="Times New Roman" w:cs="Times New Roman" w:eastAsia="Times New Roman" w:hAnsi="Times New Roman"/>
          <w:sz w:val="26"/>
          <w:szCs w:val="26"/>
          <w:color w:val="BFA071"/>
          <w:vertAlign w:val="subscript"/>
        </w:rPr>
      </w:pPr>
      <w:r>
        <w:rPr>
          <w:rFonts w:ascii="Arial" w:cs="Arial" w:eastAsia="Arial" w:hAnsi="Arial"/>
          <w:sz w:val="11"/>
          <w:szCs w:val="11"/>
          <w:color w:val="001641"/>
        </w:rPr>
        <w:t>To transact such other business as may properly come before the meeting and any 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-325755</wp:posOffset>
            </wp:positionV>
            <wp:extent cx="30346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46" w:lineRule="exact"/>
        <w:rPr>
          <w:sz w:val="20"/>
          <w:szCs w:val="20"/>
          <w:color w:val="auto"/>
        </w:rPr>
      </w:pPr>
    </w:p>
    <w:p>
      <w:pPr>
        <w:sectPr>
          <w:pgSz w:w="11900" w:h="16838" w:orient="portrait"/>
          <w:cols w:equalWidth="0" w:num="2">
            <w:col w:w="4940" w:space="375"/>
            <w:col w:w="5705"/>
          </w:cols>
          <w:pgMar w:left="440" w:top="114" w:right="439" w:bottom="1440" w:gutter="0" w:footer="0" w:header="0"/>
          <w:type w:val="continuous"/>
        </w:sectPr>
      </w:pPr>
    </w:p>
    <w:p>
      <w:pPr>
        <w:spacing w:after="0" w:line="75" w:lineRule="exact"/>
        <w:rPr>
          <w:sz w:val="20"/>
          <w:szCs w:val="20"/>
          <w:color w:val="auto"/>
        </w:rPr>
      </w:pPr>
    </w:p>
    <w:p>
      <w:pPr>
        <w:ind w:left="920" w:right="1040"/>
        <w:spacing w:after="0" w:line="263" w:lineRule="auto"/>
        <w:rPr>
          <w:sz w:val="20"/>
          <w:szCs w:val="20"/>
          <w:color w:val="auto"/>
        </w:rPr>
      </w:pPr>
      <w:r>
        <w:rPr>
          <w:rFonts w:ascii="Arial" w:cs="Arial" w:eastAsia="Arial" w:hAnsi="Arial"/>
          <w:sz w:val="14"/>
          <w:szCs w:val="14"/>
          <w:color w:val="auto"/>
        </w:rPr>
        <w:t>The foregoing items of business are described more fully in the accompanying Proxy Statement. Only holders of record of the Company’s Class A and Class B Common Stock at the close of business on June 2, 2026 are entitled to notice of, and to vote at, the 2026 Annual Meeting of Stockholders and any adjournments or postponements thereof.</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BFA071"/>
        </w:rPr>
        <w:t>NOTICE REGARDING THE AVAILABILITY OF PROXY MATERIALS</w:t>
      </w:r>
    </w:p>
    <w:p>
      <w:pPr>
        <w:spacing w:after="0" w:line="144" w:lineRule="exact"/>
        <w:rPr>
          <w:sz w:val="20"/>
          <w:szCs w:val="20"/>
          <w:color w:val="auto"/>
        </w:rPr>
      </w:pPr>
    </w:p>
    <w:p>
      <w:pPr>
        <w:ind w:left="920" w:right="960"/>
        <w:spacing w:after="0" w:line="248" w:lineRule="auto"/>
        <w:rPr>
          <w:sz w:val="20"/>
          <w:szCs w:val="20"/>
          <w:color w:val="auto"/>
        </w:rPr>
      </w:pPr>
      <w:r>
        <w:rPr>
          <w:rFonts w:ascii="Arial" w:cs="Arial" w:eastAsia="Arial" w:hAnsi="Arial"/>
          <w:sz w:val="14"/>
          <w:szCs w:val="14"/>
          <w:color w:val="auto"/>
        </w:rPr>
        <w:t xml:space="preserve">We will be using the Securities and Exchange Commission’s Notice and Access model, which allows us to make the proxy materials available on the Internet, as the primary means of furnishing proxy materials to stockholders. On or about June 18, 2026, we will mail to all stockholders a Notice of Internet Availability of Proxy Materials, which contains instructions for accessing our proxy materials on the Internet and voting by telephone or on the Internet. The Notice of Internet Availability of Proxy Materials also contains instructions for requesting a printed set of proxy materials. The Proxy Statement, Annual Report on Form 10-K for the fiscal year ended March 28, 2026, and Notice of Annual Meeting are available at: </w:t>
      </w:r>
      <w:r>
        <w:rPr>
          <w:rFonts w:ascii="Arial" w:cs="Arial" w:eastAsia="Arial" w:hAnsi="Arial"/>
          <w:sz w:val="14"/>
          <w:szCs w:val="14"/>
          <w:i w:val="1"/>
          <w:iCs w:val="1"/>
          <w:color w:val="auto"/>
        </w:rPr>
        <w:t>http://investor.ralphlauren.com</w:t>
      </w:r>
      <w:r>
        <w:rPr>
          <w:rFonts w:ascii="Arial" w:cs="Arial" w:eastAsia="Arial" w:hAnsi="Arial"/>
          <w:sz w:val="14"/>
          <w:szCs w:val="14"/>
          <w:color w:val="auto"/>
        </w:rPr>
        <w:t>. The information on our investor relations or corporate websites is not incorporated by reference into this Proxy Statement and should not be considered part of this Proxy Statement.</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BFA071"/>
        </w:rPr>
        <w:t>YOUR VOTE IS IMPORTANT</w:t>
      </w:r>
    </w:p>
    <w:p>
      <w:pPr>
        <w:spacing w:after="0" w:line="158" w:lineRule="exact"/>
        <w:rPr>
          <w:sz w:val="20"/>
          <w:szCs w:val="20"/>
          <w:color w:val="auto"/>
        </w:rPr>
      </w:pPr>
    </w:p>
    <w:p>
      <w:pPr>
        <w:ind w:left="920" w:right="1000"/>
        <w:spacing w:after="0" w:line="263" w:lineRule="auto"/>
        <w:rPr>
          <w:sz w:val="20"/>
          <w:szCs w:val="20"/>
          <w:color w:val="auto"/>
        </w:rPr>
      </w:pPr>
      <w:r>
        <w:rPr>
          <w:rFonts w:ascii="Arial" w:cs="Arial" w:eastAsia="Arial" w:hAnsi="Arial"/>
          <w:sz w:val="14"/>
          <w:szCs w:val="14"/>
          <w:color w:val="auto"/>
        </w:rPr>
        <w:t>Please vote promptly by signing, dating, and returning the enclosed proxy card or voting by telephone or on the Internet by following the instructions on your Notice of Internet Availability of Proxy Materials. In the event that a stockholder decides to participate in the online meeting, such stockholder may, if so desired, revoke the proxy by voting those shares when joining the meeting.</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83820</wp:posOffset>
            </wp:positionV>
            <wp:extent cx="89154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9154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Arial" w:cs="Arial" w:eastAsia="Arial" w:hAnsi="Arial"/>
                <w:sz w:val="14"/>
                <w:szCs w:val="14"/>
                <w:color w:val="001641"/>
              </w:rPr>
              <w:t xml:space="preserve">  </w:t>
            </w:r>
          </w:p>
        </w:tc>
        <w:tc>
          <w:tcPr>
            <w:tcW w:w="48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9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4"/>
                <w:szCs w:val="14"/>
                <w:b w:val="1"/>
                <w:bCs w:val="1"/>
                <w:color w:val="001641"/>
              </w:rPr>
              <w:t>Avery S. Fischer</w:t>
            </w:r>
          </w:p>
        </w:tc>
        <w:tc>
          <w:tcPr>
            <w:tcW w:w="5780" w:type="dxa"/>
            <w:vAlign w:val="bottom"/>
            <w:gridSpan w:val="2"/>
          </w:tcPr>
          <w:p>
            <w:pPr>
              <w:ind w:left="3240"/>
              <w:spacing w:after="0"/>
              <w:rPr>
                <w:sz w:val="20"/>
                <w:szCs w:val="20"/>
                <w:color w:val="auto"/>
              </w:rPr>
            </w:pPr>
            <w:r>
              <w:rPr>
                <w:rFonts w:ascii="Arial" w:cs="Arial" w:eastAsia="Arial" w:hAnsi="Arial"/>
                <w:sz w:val="14"/>
                <w:szCs w:val="14"/>
                <w:color w:val="001641"/>
              </w:rPr>
              <w:t>New York, New York</w:t>
            </w:r>
          </w:p>
        </w:tc>
      </w:tr>
      <w:tr>
        <w:trPr>
          <w:trHeight w:val="190"/>
        </w:trPr>
        <w:tc>
          <w:tcPr>
            <w:tcW w:w="9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Arial" w:cs="Arial" w:eastAsia="Arial" w:hAnsi="Arial"/>
                <w:sz w:val="14"/>
                <w:szCs w:val="14"/>
                <w:color w:val="001641"/>
              </w:rPr>
              <w:t>Chief Legal Officer and Secretary</w:t>
            </w:r>
          </w:p>
        </w:tc>
        <w:tc>
          <w:tcPr>
            <w:tcW w:w="5780" w:type="dxa"/>
            <w:vAlign w:val="bottom"/>
            <w:gridSpan w:val="2"/>
          </w:tcPr>
          <w:p>
            <w:pPr>
              <w:ind w:left="3240"/>
              <w:spacing w:after="0"/>
              <w:rPr>
                <w:sz w:val="20"/>
                <w:szCs w:val="20"/>
                <w:color w:val="auto"/>
              </w:rPr>
            </w:pPr>
            <w:r>
              <w:rPr>
                <w:rFonts w:ascii="Arial" w:cs="Arial" w:eastAsia="Arial" w:hAnsi="Arial"/>
                <w:sz w:val="14"/>
                <w:szCs w:val="14"/>
                <w:color w:val="001641"/>
              </w:rPr>
              <w:t>June 18, 2026</w:t>
            </w:r>
          </w:p>
        </w:tc>
      </w:tr>
      <w:tr>
        <w:trPr>
          <w:trHeight w:val="224"/>
        </w:trPr>
        <w:tc>
          <w:tcPr>
            <w:tcW w:w="920" w:type="dxa"/>
            <w:vAlign w:val="bottom"/>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920" w:type="dxa"/>
            <w:vAlign w:val="bottom"/>
          </w:tcPr>
          <w:p>
            <w:pPr>
              <w:spacing w:after="0"/>
              <w:rPr>
                <w:sz w:val="19"/>
                <w:szCs w:val="19"/>
                <w:color w:val="auto"/>
              </w:rPr>
            </w:pPr>
          </w:p>
        </w:tc>
      </w:tr>
      <w:tr>
        <w:trPr>
          <w:trHeight w:val="397"/>
        </w:trPr>
        <w:tc>
          <w:tcPr>
            <w:tcW w:w="9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780" w:type="dxa"/>
            <w:vAlign w:val="bottom"/>
            <w:gridSpan w:val="2"/>
          </w:tcPr>
          <w:p>
            <w:pPr>
              <w:ind w:left="2220"/>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iii</w:t>
            </w:r>
          </w:p>
        </w:tc>
      </w:tr>
      <w:tr>
        <w:trPr>
          <w:trHeight w:val="157"/>
        </w:trPr>
        <w:tc>
          <w:tcPr>
            <w:tcW w:w="920" w:type="dxa"/>
            <w:vAlign w:val="bottom"/>
            <w:tcBorders>
              <w:bottom w:val="single" w:sz="8" w:color="auto"/>
            </w:tcBorders>
          </w:tcPr>
          <w:p>
            <w:pPr>
              <w:spacing w:after="0"/>
              <w:rPr>
                <w:sz w:val="13"/>
                <w:szCs w:val="13"/>
                <w:color w:val="auto"/>
              </w:rPr>
            </w:pPr>
          </w:p>
        </w:tc>
        <w:tc>
          <w:tcPr>
            <w:tcW w:w="4320" w:type="dxa"/>
            <w:vAlign w:val="bottom"/>
            <w:tcBorders>
              <w:bottom w:val="single" w:sz="8" w:color="auto"/>
            </w:tcBorders>
          </w:tcPr>
          <w:p>
            <w:pPr>
              <w:spacing w:after="0"/>
              <w:rPr>
                <w:sz w:val="13"/>
                <w:szCs w:val="13"/>
                <w:color w:val="auto"/>
              </w:rPr>
            </w:pPr>
          </w:p>
        </w:tc>
        <w:tc>
          <w:tcPr>
            <w:tcW w:w="48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128905" cy="111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SPECIAL NOTE REGARDING FORWARD-LOOKING STATEMENTS</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6"/>
          <w:szCs w:val="16"/>
          <w:i w:val="1"/>
          <w:iCs w:val="1"/>
          <w:color w:val="auto"/>
        </w:rPr>
        <w:t>This document contains, and oral statements made at our Annual Meeting of Stockholders and elsewhere from time to time by representatives of the Company may contain, certain “forward-looking statements” within the meaning of the Private Securities Litigation Reform Act of 1995. Forward-looking statements include, without limitation, statements regarding our current expectations about the Company’s future operating results and financial condition, the implementation and results of our strategic plans and initiatives, store openings and closings, capital expenses, our plans regarding our quarterly cash dividend and Class A common stock repurchase programs, our ability to meet citizenship and sustainability goals, and plans for future executive remuneration. Forward-looking statements are based on current expectations and are indicated by words or phrases such as “aim,” “anticipate,” “outlook,” “estimate,” “ensure,” “commit,” “expect,” “project,” “believe,” “envision,” “goal,” “target,” “can,” “will,” and similar words or phrases. These forward-looking statements involve known and unknown risks, uncertainties and other factors which may cause actual results, performance or achievements to be materially different from the future results, performance or achievements expressed in or implied by such forward-looking statements. These risks, uncertainties, and other factors include, among others: the loss of key personnel, including Mr. Ralph Lauren, or other changes in our executive and senior management team or to our operating structure, including any potential changes resulting from the execution of our long-term growth strategy, and our ability to effectively transfer knowledge and maintain adequate controls and procedures during periods of transition; the impact to our business resulting from the potential imposition of additional tariffs, duties, or taxes, changes to existing trade agreements, and other charges or barriers to trade, including those recently imposed by the U.S. following the U.S. Supreme Court ruling against the tariffs previously announced under the authority of the International Emergency Economic Powers Act (“IEEPA”) and resulting potential refund status of the IEEPA tariffs, and any retaliatory measures implemented by impacted countries, and any related impact to global stock markets, foreign currency exchange rates, and existing inflationary pressures, as well as our ability to implement mitigating sourcing strategies; the potential impact to our business resulting from inflationary pressures, including increases in the costs of raw materials, transportation, wages, healthcare, and other benefit-related costs; the impact of economic, political, and other conditions on us, our customers, suppliers, vendors, and lenders, including potential business disruptions related to ongoing military conflicts taking place in various parts of the world, most notably the conflicts involving Iran and other ongoing hostilities in the Middle East, civil and political unrest, diplomatic tensions between the U.S. and other countries and any resulting anti-American sentiment, high interest rates, and bank failures, among other factors described herein; the impact to our business resulting from a prolonged slowdown in economic conditions or changes in consumers' ability, willingness, or preferences to purchase discretionary items and luxury retail products, which tends to decline during periods of economic weakness, and our ability to accurately forecast consumer demand, the failure of which could result in either a build-up or shortage of inventory; the potential impact to our business resulting from supply chain disruptions, including those caused by capacity constraints, closed factories and/or labor shortages (stemming from pandemic diseases, labor disputes, strikes, or otherwise), man-made or natural disasters, scarcity of raw materials, port congestion, and scrutiny or detention of goods produced in certain territories resulting from laws, regulations, or trade restrictions, such as those imposed by the Uyghur Forced Labor Prevention Act (“UFLPA”) or the Countering America's Adversaries Through Sanctions Act (“CAATSA”), which could result in shipment approval delays leading to inventory shortages and lost sales, as well as potential shipping delays, inventory shortages, and/or higher freight and other operating costs resulting from port strikes, the recent Red Sea crisis, and/or disruptions to major waterways such as the Suez and Panama canals and the Strait of Hormuz, and/or increases in oil and other energy prices; changes in our tax obligations and effective tax rate due to a variety of factors, including potential changes in U.S. or foreign tax laws and regulations, accounting rules, or the mix and level of earnings by jurisdiction in future periods that are not currently known or anticipated; our ability to effectively manage inventory levels and the increasing pressure on our margins in a highly promotional retail environment; our exposure to currency exchange rate fluctuations from both a transactional and translational perspective; our efforts to successfully enhance, upgrade, and/or transition our global information technology systems and digital commerce platforms; our ability and the ability of our third-party service providers to secure our respective facilities and systems from, among other things, cybersecurity breaches, acts of vandalism, computer viruses, ransomware, or similar Internet or email events; the potential impact on our business arising from developments and operational risks related to the implementation of artificial intelligence technologies and associated evolving regulatory requirements; our ability to recruit and retain qualified employees to operate our retail stores, distribution centers, and various corporate functions; our ability to successfully implement our long-term growth strategy; our ability to continue to expand and grow our business internationally and the impact of related changes in our customer, channel, and geographic sales mix as a result, as well as our ability to accelerate growth in certain product categories; our ability to open new retail stores and concession shops, as well as enhance and expand our digital footprint and capabilities, all in an effort to expand our direct-to-consumer presence; our ability to respond to constantly changing fashion and retail trends and consumer demands in a timely manner, develop products that resonate with our existing customers and attract new customers, and execute marketing and advertising programs that appeal to consumers; our ability to competitively price our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58293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iv</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7" w:name="page8"/>
    <w:bookmarkEnd w:id="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4" w:lineRule="exact"/>
        <w:rPr>
          <w:sz w:val="20"/>
          <w:szCs w:val="20"/>
          <w:color w:val="auto"/>
        </w:rPr>
      </w:pPr>
    </w:p>
    <w:p>
      <w:pPr>
        <w:ind w:left="6" w:right="20"/>
        <w:spacing w:after="0" w:line="247" w:lineRule="auto"/>
        <w:rPr>
          <w:sz w:val="20"/>
          <w:szCs w:val="20"/>
          <w:color w:val="auto"/>
        </w:rPr>
      </w:pPr>
      <w:r>
        <w:rPr>
          <w:rFonts w:ascii="Arial" w:cs="Arial" w:eastAsia="Arial" w:hAnsi="Arial"/>
          <w:sz w:val="16"/>
          <w:szCs w:val="16"/>
          <w:i w:val="1"/>
          <w:iCs w:val="1"/>
          <w:color w:val="auto"/>
        </w:rPr>
        <w:t>create an acceptable value proposition for consumers; our ability to continue to maintain our brand image and reputation and protect our trademarks; our ability to achieve our goals regarding citizenship and sustainability practices, including those related to climate change, our human capital, and our supply chain, or if our stakeholders disagree with such goals; the potential impact to our business if any of our distribution centers were to become inoperable or inaccessible; the potential impact on our operations and on our suppliers and customers resulting from man-made or natural disasters, including pandemic diseases, severe weather, geological events, and other catastrophic events, such as terrorist attacks, military conflicts, and other hostilities; our ability to achieve anticipated operating enhancements and cost reductions from our strategic initiatives and restructuring plans, as well as the resulting impact to our business, which may be dilutive to our earnings in the short term; the impact to our business resulting from potential costs and obligations related to the early or temporary closure of our stores or termination of our long-term, non-cancellable leases; our ability to maintain adequate levels of liquidity to provide for our cash needs, including our debt obligations, tax obligations, capital expenditures, and potential payment of dividends and repurchases of our Class A common stock, as well as the ability of our customers, suppliers, vendors, and lenders to access sources of liquidity to provide for their own cash needs; the potential impact to our business resulting from the financial difficulties of certain of our large wholesale customers, which may result in consolidations, liquidations, restructurings, and other ownership changes in the retail industry, as well as other changes in the competitive marketplace, including the introduction of new products or pricing changes by our competitors; our ability to access capital markets and maintain compliance with covenants associated with our existing debt instruments; a variety of legal, regulatory, tax, political, and economic risks, including risks related to the importation, exportation, and traceability and transparency of products which our operations are currently subject to, or may become subject to as a result of potential changes in legislation, and other risks associated with our international operations, such as compliance with the Foreign Corrupt Practices Act or violations of other anti-bribery and corruption laws prohibiting improper payments, and the burdens of complying with a variety of foreign laws and regulations, including tax laws, trade and labor restrictions, and related laws that may reduce the flexibility of our business; the potential impact to the trading prices of our securities if our operating results, Class A common stock share repurchase activity, and/or cash dividend payments differ from investors' expectations; our ability to maintain our credit profile and ratings within the financial community; our intention to introduce new products or brands, or enter into or renew alliances; changes in the business of, and our relationships with, major wholesale customers and licensing partners; and our ability to make strategic acquisitions and successfully integrate the acquired businesses into our existing operations; and other risk factors identified in the Company’s Annual Report on Form 10-K, Quarterly Reports on Form 10-Q and Current Reports on Form 8-K filed with the Securities and Exchange Commission. These forward-looking statements are based largely on our expectations and judgments and are subject to a number of risks and uncertainties, many of which are unforeseeable and beyond our control. The Company undertakes no obligation to publicly update or revise any forward-looking statements, whether as a result of new information, future events, or otherwise.</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RALPH LAUREN CORPORATION REFERENCES</w:t>
      </w:r>
    </w:p>
    <w:p>
      <w:pPr>
        <w:spacing w:after="0" w:line="155" w:lineRule="exact"/>
        <w:rPr>
          <w:sz w:val="20"/>
          <w:szCs w:val="20"/>
          <w:color w:val="auto"/>
        </w:rPr>
      </w:pPr>
    </w:p>
    <w:p>
      <w:pPr>
        <w:ind w:left="6" w:right="140"/>
        <w:spacing w:after="0" w:line="252" w:lineRule="auto"/>
        <w:rPr>
          <w:sz w:val="20"/>
          <w:szCs w:val="20"/>
          <w:color w:val="auto"/>
        </w:rPr>
      </w:pPr>
      <w:r>
        <w:rPr>
          <w:rFonts w:ascii="Arial" w:cs="Arial" w:eastAsia="Arial" w:hAnsi="Arial"/>
          <w:sz w:val="16"/>
          <w:szCs w:val="16"/>
          <w:i w:val="1"/>
          <w:iCs w:val="1"/>
          <w:color w:val="auto"/>
        </w:rPr>
        <w:t>In this document, we refer to Ralph Lauren Corporation as the “Company,” “we,” “us” or “our.” Our fiscal year ends on the Saturday closest to March 31. All references to “Fiscal 2027” represent the fiscal year ending April 3, 2027. All references to “Fiscal 2026” represent the fiscal year ended March 28, 2026. All references to “Fiscal 2025” represent the fiscal year ended March 29, 2025. All references to “Fiscal 2024” represent the fiscal year ended March 30, 2024. All references to “Fiscal 2023” represent the fiscal year ended April 1, 2023. All references to “Fiscal 2022” represent the fiscal year ended April 2, 2022. All references to “Fiscal 2021” represent the fiscal year ended March 27, 2021. All references to “Fiscal 2020” represent the fiscal year ended March 28, 2020. All references to “Fiscal 2018” represent the fiscal year ended March 31, 2018.</w:t>
      </w:r>
    </w:p>
    <w:p>
      <w:pPr>
        <w:spacing w:after="0" w:line="292"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NON-U.S. GAAP FINANCIAL MEASURES</w:t>
      </w:r>
    </w:p>
    <w:p>
      <w:pPr>
        <w:spacing w:after="0" w:line="155" w:lineRule="exact"/>
        <w:rPr>
          <w:sz w:val="20"/>
          <w:szCs w:val="20"/>
          <w:color w:val="auto"/>
        </w:rPr>
      </w:pPr>
    </w:p>
    <w:p>
      <w:pPr>
        <w:ind w:left="6" w:right="60"/>
        <w:spacing w:after="0" w:line="252" w:lineRule="auto"/>
        <w:rPr>
          <w:sz w:val="20"/>
          <w:szCs w:val="20"/>
          <w:color w:val="auto"/>
        </w:rPr>
      </w:pPr>
      <w:r>
        <w:rPr>
          <w:rFonts w:ascii="Arial" w:cs="Arial" w:eastAsia="Arial" w:hAnsi="Arial"/>
          <w:sz w:val="16"/>
          <w:szCs w:val="16"/>
          <w:i w:val="1"/>
          <w:iCs w:val="1"/>
          <w:color w:val="auto"/>
        </w:rPr>
        <w:t>The Company uses non-U.S. generally accepted accounting principles (“U.S. GAAP”) financial measures, among other things, to evaluate its operating performance and in order to represent the manner in which the Company conducts and views its business. In addition, as discussed in the “Executive Compensation Matters” section of the Proxy Statement, the Talent, Culture</w:t>
      </w:r>
    </w:p>
    <w:p>
      <w:pPr>
        <w:spacing w:after="0" w:line="1" w:lineRule="exact"/>
        <w:rPr>
          <w:sz w:val="20"/>
          <w:szCs w:val="20"/>
          <w:color w:val="auto"/>
        </w:rPr>
      </w:pPr>
    </w:p>
    <w:p>
      <w:pPr>
        <w:ind w:left="6" w:right="100" w:hanging="6"/>
        <w:spacing w:after="0" w:line="249" w:lineRule="auto"/>
        <w:tabs>
          <w:tab w:leader="none" w:pos="159"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Total Rewards Committee uses non-U.S. GAAP measures to set and certify the achievement of certain performance-based compensation goals. The Company believes that excluding items that are not comparable from period to period helps investors and others compare operating performance between two periods. While the Company considers the non-U.S. GAAP measures useful in analyzing its results, they are not intended to replace, nor act as a substitute for, any presentation included in the consolidated financial statements prepared in conformity with U.S. GAAP and may be different from non-U.S. GAAP measures reported by other companies. See Appendix B to the Proxy Statement for reconciliation between the non-U.S. GAAP financial measures and the most directly comparable U.S.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58293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264795</wp:posOffset>
            </wp:positionV>
            <wp:extent cx="128905" cy="111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8" w:name="page9"/>
    <w:bookmarkEnd w:id="8"/>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283210</wp:posOffset>
            </wp:positionV>
            <wp:extent cx="58293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54"/>
          <w:szCs w:val="54"/>
          <w:color w:val="001641"/>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7600" w:type="dxa"/>
            <w:vAlign w:val="bottom"/>
            <w:gridSpan w:val="23"/>
          </w:tcPr>
          <w:p>
            <w:pPr>
              <w:spacing w:after="0"/>
              <w:rPr>
                <w:sz w:val="20"/>
                <w:szCs w:val="20"/>
                <w:color w:val="auto"/>
              </w:rPr>
            </w:pPr>
            <w:r>
              <w:rPr>
                <w:rFonts w:ascii="Arial" w:cs="Arial" w:eastAsia="Arial" w:hAnsi="Arial"/>
                <w:sz w:val="16"/>
                <w:szCs w:val="16"/>
                <w:color w:val="0000EE"/>
              </w:rPr>
              <w:t>LEADERSHIP LETTER</w:t>
            </w: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right"/>
              <w:ind w:right="920"/>
              <w:spacing w:after="0"/>
              <w:rPr>
                <w:sz w:val="20"/>
                <w:szCs w:val="20"/>
                <w:color w:val="auto"/>
              </w:rPr>
            </w:pPr>
            <w:r>
              <w:rPr>
                <w:rFonts w:ascii="Arial" w:cs="Arial" w:eastAsia="Arial" w:hAnsi="Arial"/>
                <w:sz w:val="16"/>
                <w:szCs w:val="16"/>
                <w:u w:val="single" w:color="auto"/>
                <w:color w:val="0000EE"/>
              </w:rPr>
              <w:t>i</w:t>
            </w: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442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rPr>
              <w:t>NOTICE OF 2026 ANNUAL MEETING OF STOCKHOLDERS</w:t>
            </w:r>
          </w:p>
        </w:tc>
        <w:tc>
          <w:tcPr>
            <w:tcW w:w="3180" w:type="dxa"/>
            <w:vAlign w:val="bottom"/>
            <w:gridSpan w:val="6"/>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color w:val="0000EE"/>
                <w:w w:val="93"/>
              </w:rPr>
              <w:t>iii</w:t>
            </w:r>
          </w:p>
        </w:tc>
        <w:tc>
          <w:tcPr>
            <w:tcW w:w="920" w:type="dxa"/>
            <w:vAlign w:val="bottom"/>
          </w:tcPr>
          <w:p>
            <w:pPr>
              <w:spacing w:after="0"/>
              <w:rPr>
                <w:sz w:val="24"/>
                <w:szCs w:val="24"/>
                <w:color w:val="auto"/>
              </w:rPr>
            </w:pPr>
          </w:p>
        </w:tc>
      </w:tr>
      <w:tr>
        <w:trPr>
          <w:trHeight w:val="331"/>
        </w:trPr>
        <w:tc>
          <w:tcPr>
            <w:tcW w:w="920" w:type="dxa"/>
            <w:vAlign w:val="bottom"/>
          </w:tcPr>
          <w:p>
            <w:pPr>
              <w:spacing w:after="0"/>
              <w:rPr>
                <w:sz w:val="24"/>
                <w:szCs w:val="24"/>
                <w:color w:val="auto"/>
              </w:rPr>
            </w:pPr>
          </w:p>
        </w:tc>
        <w:tc>
          <w:tcPr>
            <w:tcW w:w="498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rPr>
              <w:t>SPECIAL NOTE REGARDING FORWARD-LOOKING STATEMENTS</w:t>
            </w:r>
          </w:p>
        </w:tc>
        <w:tc>
          <w:tcPr>
            <w:tcW w:w="2620" w:type="dxa"/>
            <w:vAlign w:val="bottom"/>
            <w:gridSpan w:val="4"/>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color w:val="0000EE"/>
                <w:w w:val="86"/>
              </w:rPr>
              <w:t>iv</w:t>
            </w:r>
          </w:p>
        </w:tc>
        <w:tc>
          <w:tcPr>
            <w:tcW w:w="920" w:type="dxa"/>
            <w:vAlign w:val="bottom"/>
          </w:tcPr>
          <w:p>
            <w:pPr>
              <w:spacing w:after="0"/>
              <w:rPr>
                <w:sz w:val="24"/>
                <w:szCs w:val="24"/>
                <w:color w:val="auto"/>
              </w:rPr>
            </w:pPr>
          </w:p>
        </w:tc>
      </w:tr>
      <w:tr>
        <w:trPr>
          <w:trHeight w:val="331"/>
        </w:trPr>
        <w:tc>
          <w:tcPr>
            <w:tcW w:w="920" w:type="dxa"/>
            <w:vAlign w:val="bottom"/>
          </w:tcPr>
          <w:p>
            <w:pPr>
              <w:spacing w:after="0"/>
              <w:rPr>
                <w:sz w:val="24"/>
                <w:szCs w:val="24"/>
                <w:color w:val="auto"/>
              </w:rPr>
            </w:pPr>
          </w:p>
        </w:tc>
        <w:tc>
          <w:tcPr>
            <w:tcW w:w="144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9"/>
              </w:rPr>
              <w:t>PROXY SUMMARY</w:t>
            </w:r>
          </w:p>
        </w:tc>
        <w:tc>
          <w:tcPr>
            <w:tcW w:w="6160" w:type="dxa"/>
            <w:vAlign w:val="bottom"/>
            <w:gridSpan w:val="21"/>
          </w:tcPr>
          <w:p>
            <w:pPr>
              <w:spacing w:after="0"/>
              <w:rPr>
                <w:sz w:val="24"/>
                <w:szCs w:val="24"/>
                <w:color w:val="auto"/>
              </w:rPr>
            </w:pPr>
          </w:p>
        </w:tc>
        <w:tc>
          <w:tcPr>
            <w:tcW w:w="148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1</w:t>
            </w:r>
          </w:p>
        </w:tc>
        <w:tc>
          <w:tcPr>
            <w:tcW w:w="920" w:type="dxa"/>
            <w:vAlign w:val="bottom"/>
          </w:tcPr>
          <w:p>
            <w:pPr>
              <w:spacing w:after="0"/>
              <w:rPr>
                <w:sz w:val="24"/>
                <w:szCs w:val="24"/>
                <w:color w:val="auto"/>
              </w:rPr>
            </w:pPr>
          </w:p>
        </w:tc>
      </w:tr>
      <w:tr>
        <w:trPr>
          <w:trHeight w:val="331"/>
        </w:trPr>
        <w:tc>
          <w:tcPr>
            <w:tcW w:w="920" w:type="dxa"/>
            <w:vAlign w:val="bottom"/>
          </w:tcPr>
          <w:p>
            <w:pPr>
              <w:spacing w:after="0"/>
              <w:rPr>
                <w:sz w:val="24"/>
                <w:szCs w:val="24"/>
                <w:color w:val="auto"/>
              </w:rPr>
            </w:pPr>
          </w:p>
        </w:tc>
        <w:tc>
          <w:tcPr>
            <w:tcW w:w="5460" w:type="dxa"/>
            <w:vAlign w:val="bottom"/>
            <w:gridSpan w:val="21"/>
          </w:tcPr>
          <w:p>
            <w:pPr>
              <w:spacing w:after="0"/>
              <w:rPr>
                <w:sz w:val="20"/>
                <w:szCs w:val="20"/>
                <w:color w:val="auto"/>
              </w:rPr>
            </w:pPr>
            <w:r>
              <w:rPr>
                <w:rFonts w:ascii="Arial" w:cs="Arial" w:eastAsia="Arial" w:hAnsi="Arial"/>
                <w:sz w:val="16"/>
                <w:szCs w:val="16"/>
                <w:color w:val="0000EE"/>
              </w:rPr>
              <w:t>PROXY STATEMENT FOR THE ANNUAL MEETING OF STOCKHOLDERS</w:t>
            </w:r>
          </w:p>
        </w:tc>
        <w:tc>
          <w:tcPr>
            <w:tcW w:w="2140" w:type="dxa"/>
            <w:vAlign w:val="bottom"/>
            <w:gridSpan w:val="2"/>
          </w:tcPr>
          <w:p>
            <w:pPr>
              <w:spacing w:after="0"/>
              <w:rPr>
                <w:sz w:val="24"/>
                <w:szCs w:val="24"/>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13</w:t>
            </w: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5460" w:type="dxa"/>
            <w:vAlign w:val="bottom"/>
            <w:gridSpan w:val="21"/>
          </w:tcPr>
          <w:p>
            <w:pPr>
              <w:spacing w:after="0"/>
              <w:rPr>
                <w:sz w:val="20"/>
                <w:szCs w:val="20"/>
                <w:color w:val="auto"/>
              </w:rPr>
            </w:pPr>
            <w:r>
              <w:rPr>
                <w:rFonts w:ascii="Arial" w:cs="Arial" w:eastAsia="Arial" w:hAnsi="Arial"/>
                <w:sz w:val="16"/>
                <w:szCs w:val="16"/>
                <w:color w:val="0000EE"/>
              </w:rPr>
              <w:t>PROPOSAL 1: ELECTION OF DIRECTORS</w:t>
            </w:r>
          </w:p>
        </w:tc>
        <w:tc>
          <w:tcPr>
            <w:tcW w:w="2140" w:type="dxa"/>
            <w:vAlign w:val="bottom"/>
            <w:gridSpan w:val="2"/>
          </w:tcPr>
          <w:p>
            <w:pPr>
              <w:spacing w:after="0"/>
              <w:rPr>
                <w:sz w:val="24"/>
                <w:szCs w:val="24"/>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15</w:t>
            </w: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13"/>
          </w:tcPr>
          <w:p>
            <w:pPr>
              <w:spacing w:after="0"/>
              <w:rPr>
                <w:sz w:val="20"/>
                <w:szCs w:val="20"/>
                <w:color w:val="auto"/>
              </w:rPr>
            </w:pPr>
            <w:r>
              <w:rPr>
                <w:rFonts w:ascii="Arial" w:cs="Arial" w:eastAsia="Arial" w:hAnsi="Arial"/>
                <w:sz w:val="16"/>
                <w:szCs w:val="16"/>
                <w:color w:val="0000EE"/>
              </w:rPr>
              <w:t>Class A Director Nominees For Election</w:t>
            </w:r>
          </w:p>
        </w:tc>
        <w:tc>
          <w:tcPr>
            <w:tcW w:w="4400" w:type="dxa"/>
            <w:vAlign w:val="bottom"/>
            <w:gridSpan w:val="9"/>
          </w:tcPr>
          <w:p>
            <w:pPr>
              <w:spacing w:after="0"/>
              <w:rPr>
                <w:sz w:val="24"/>
                <w:szCs w:val="24"/>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17</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40" w:type="dxa"/>
            <w:vAlign w:val="bottom"/>
            <w:gridSpan w:val="22"/>
          </w:tcPr>
          <w:p>
            <w:pPr>
              <w:spacing w:after="0"/>
              <w:rPr>
                <w:sz w:val="20"/>
                <w:szCs w:val="20"/>
                <w:color w:val="auto"/>
              </w:rPr>
            </w:pPr>
            <w:r>
              <w:rPr>
                <w:rFonts w:ascii="Arial" w:cs="Arial" w:eastAsia="Arial" w:hAnsi="Arial"/>
                <w:sz w:val="16"/>
                <w:szCs w:val="16"/>
                <w:color w:val="0000EE"/>
              </w:rPr>
              <w:t>Class B Director Nominees For Election</w:t>
            </w: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19</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7600" w:type="dxa"/>
            <w:vAlign w:val="bottom"/>
            <w:gridSpan w:val="23"/>
          </w:tcPr>
          <w:p>
            <w:pPr>
              <w:spacing w:after="0"/>
              <w:rPr>
                <w:sz w:val="20"/>
                <w:szCs w:val="20"/>
                <w:color w:val="auto"/>
              </w:rPr>
            </w:pPr>
            <w:r>
              <w:rPr>
                <w:rFonts w:ascii="Arial" w:cs="Arial" w:eastAsia="Arial" w:hAnsi="Arial"/>
                <w:sz w:val="16"/>
                <w:szCs w:val="16"/>
                <w:color w:val="0000EE"/>
              </w:rPr>
              <w:t>CORPORATE GOVERNANCE</w:t>
            </w: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24</w:t>
            </w: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40" w:type="dxa"/>
            <w:vAlign w:val="bottom"/>
            <w:gridSpan w:val="22"/>
          </w:tcPr>
          <w:p>
            <w:pPr>
              <w:spacing w:after="0"/>
              <w:rPr>
                <w:sz w:val="20"/>
                <w:szCs w:val="20"/>
                <w:color w:val="auto"/>
              </w:rPr>
            </w:pPr>
            <w:r>
              <w:rPr>
                <w:rFonts w:ascii="Arial" w:cs="Arial" w:eastAsia="Arial" w:hAnsi="Arial"/>
                <w:sz w:val="16"/>
                <w:szCs w:val="16"/>
                <w:color w:val="0000EE"/>
              </w:rPr>
              <w:t>Overview of Corporate Governance</w:t>
            </w: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24</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gridSpan w:val="5"/>
          </w:tcPr>
          <w:p>
            <w:pPr>
              <w:spacing w:after="0"/>
              <w:rPr>
                <w:sz w:val="20"/>
                <w:szCs w:val="20"/>
                <w:color w:val="auto"/>
              </w:rPr>
            </w:pPr>
            <w:r>
              <w:rPr>
                <w:rFonts w:ascii="Arial" w:cs="Arial" w:eastAsia="Arial" w:hAnsi="Arial"/>
                <w:sz w:val="16"/>
                <w:szCs w:val="16"/>
                <w:color w:val="0000EE"/>
              </w:rPr>
              <w:t>Company Leadership Structure</w:t>
            </w:r>
          </w:p>
        </w:tc>
        <w:tc>
          <w:tcPr>
            <w:tcW w:w="300" w:type="dxa"/>
            <w:vAlign w:val="bottom"/>
            <w:gridSpan w:val="3"/>
          </w:tcPr>
          <w:p>
            <w:pPr>
              <w:spacing w:after="0"/>
              <w:rPr>
                <w:sz w:val="24"/>
                <w:szCs w:val="24"/>
                <w:color w:val="auto"/>
              </w:rPr>
            </w:pPr>
          </w:p>
        </w:tc>
        <w:tc>
          <w:tcPr>
            <w:tcW w:w="4700" w:type="dxa"/>
            <w:vAlign w:val="bottom"/>
            <w:gridSpan w:val="14"/>
          </w:tcPr>
          <w:p>
            <w:pPr>
              <w:spacing w:after="0"/>
              <w:rPr>
                <w:sz w:val="24"/>
                <w:szCs w:val="24"/>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31</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40" w:type="dxa"/>
            <w:vAlign w:val="bottom"/>
            <w:gridSpan w:val="22"/>
          </w:tcPr>
          <w:p>
            <w:pPr>
              <w:spacing w:after="0"/>
              <w:rPr>
                <w:sz w:val="20"/>
                <w:szCs w:val="20"/>
                <w:color w:val="auto"/>
              </w:rPr>
            </w:pPr>
            <w:r>
              <w:rPr>
                <w:rFonts w:ascii="Arial" w:cs="Arial" w:eastAsia="Arial" w:hAnsi="Arial"/>
                <w:sz w:val="16"/>
                <w:szCs w:val="16"/>
                <w:color w:val="0000EE"/>
              </w:rPr>
              <w:t>Director Independence and Non-Management Director Meetings</w:t>
            </w: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33</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0" w:type="dxa"/>
            <w:vAlign w:val="bottom"/>
            <w:gridSpan w:val="17"/>
          </w:tcPr>
          <w:p>
            <w:pPr>
              <w:spacing w:after="0"/>
              <w:rPr>
                <w:sz w:val="20"/>
                <w:szCs w:val="20"/>
                <w:color w:val="auto"/>
              </w:rPr>
            </w:pPr>
            <w:r>
              <w:rPr>
                <w:rFonts w:ascii="Arial" w:cs="Arial" w:eastAsia="Arial" w:hAnsi="Arial"/>
                <w:sz w:val="16"/>
                <w:szCs w:val="16"/>
                <w:color w:val="0000EE"/>
              </w:rPr>
              <w:t>Meetings and Director Attendance</w:t>
            </w:r>
          </w:p>
        </w:tc>
        <w:tc>
          <w:tcPr>
            <w:tcW w:w="2640" w:type="dxa"/>
            <w:vAlign w:val="bottom"/>
            <w:gridSpan w:val="5"/>
          </w:tcPr>
          <w:p>
            <w:pPr>
              <w:spacing w:after="0"/>
              <w:rPr>
                <w:sz w:val="24"/>
                <w:szCs w:val="24"/>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33</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40" w:type="dxa"/>
            <w:vAlign w:val="bottom"/>
            <w:gridSpan w:val="22"/>
          </w:tcPr>
          <w:p>
            <w:pPr>
              <w:spacing w:after="0"/>
              <w:rPr>
                <w:sz w:val="20"/>
                <w:szCs w:val="20"/>
                <w:color w:val="auto"/>
              </w:rPr>
            </w:pPr>
            <w:r>
              <w:rPr>
                <w:rFonts w:ascii="Arial" w:cs="Arial" w:eastAsia="Arial" w:hAnsi="Arial"/>
                <w:sz w:val="16"/>
                <w:szCs w:val="16"/>
                <w:color w:val="0000EE"/>
              </w:rPr>
              <w:t>Independent Committees of the Board of Directors</w:t>
            </w: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34</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6"/>
                <w:szCs w:val="16"/>
                <w:color w:val="0000EE"/>
                <w:w w:val="98"/>
              </w:rPr>
              <w:t>Board of Directors Effectiveness</w:t>
            </w:r>
          </w:p>
        </w:tc>
        <w:tc>
          <w:tcPr>
            <w:tcW w:w="1300" w:type="dxa"/>
            <w:vAlign w:val="bottom"/>
            <w:gridSpan w:val="8"/>
          </w:tcPr>
          <w:p>
            <w:pPr>
              <w:spacing w:after="0"/>
              <w:rPr>
                <w:sz w:val="24"/>
                <w:szCs w:val="24"/>
                <w:color w:val="auto"/>
              </w:rPr>
            </w:pPr>
          </w:p>
        </w:tc>
        <w:tc>
          <w:tcPr>
            <w:tcW w:w="3640" w:type="dxa"/>
            <w:vAlign w:val="bottom"/>
            <w:gridSpan w:val="8"/>
          </w:tcPr>
          <w:p>
            <w:pPr>
              <w:spacing w:after="0"/>
              <w:rPr>
                <w:sz w:val="24"/>
                <w:szCs w:val="24"/>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36</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gridSpan w:val="9"/>
          </w:tcPr>
          <w:p>
            <w:pPr>
              <w:spacing w:after="0"/>
              <w:rPr>
                <w:sz w:val="20"/>
                <w:szCs w:val="20"/>
                <w:color w:val="auto"/>
              </w:rPr>
            </w:pPr>
            <w:r>
              <w:rPr>
                <w:rFonts w:ascii="Arial" w:cs="Arial" w:eastAsia="Arial" w:hAnsi="Arial"/>
                <w:sz w:val="16"/>
                <w:szCs w:val="16"/>
                <w:color w:val="0000EE"/>
              </w:rPr>
              <w:t>Board of Directors Oversight of Risk</w:t>
            </w:r>
          </w:p>
        </w:tc>
        <w:tc>
          <w:tcPr>
            <w:tcW w:w="4660" w:type="dxa"/>
            <w:vAlign w:val="bottom"/>
            <w:gridSpan w:val="13"/>
          </w:tcPr>
          <w:p>
            <w:pPr>
              <w:spacing w:after="0"/>
              <w:rPr>
                <w:sz w:val="24"/>
                <w:szCs w:val="24"/>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39</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gridSpan w:val="15"/>
          </w:tcPr>
          <w:p>
            <w:pPr>
              <w:spacing w:after="0"/>
              <w:rPr>
                <w:sz w:val="20"/>
                <w:szCs w:val="20"/>
                <w:color w:val="auto"/>
              </w:rPr>
            </w:pPr>
            <w:r>
              <w:rPr>
                <w:rFonts w:ascii="Arial" w:cs="Arial" w:eastAsia="Arial" w:hAnsi="Arial"/>
                <w:sz w:val="16"/>
                <w:szCs w:val="16"/>
                <w:color w:val="0000EE"/>
              </w:rPr>
              <w:t>Overview of Citizenship &amp; Sustainability Risk Oversight</w:t>
            </w:r>
          </w:p>
        </w:tc>
        <w:tc>
          <w:tcPr>
            <w:tcW w:w="3300" w:type="dxa"/>
            <w:vAlign w:val="bottom"/>
            <w:gridSpan w:val="7"/>
          </w:tcPr>
          <w:p>
            <w:pPr>
              <w:spacing w:after="0"/>
              <w:rPr>
                <w:sz w:val="24"/>
                <w:szCs w:val="24"/>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41</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40" w:type="dxa"/>
            <w:vAlign w:val="bottom"/>
            <w:gridSpan w:val="22"/>
          </w:tcPr>
          <w:p>
            <w:pPr>
              <w:spacing w:after="0"/>
              <w:rPr>
                <w:sz w:val="20"/>
                <w:szCs w:val="20"/>
                <w:color w:val="auto"/>
              </w:rPr>
            </w:pPr>
            <w:r>
              <w:rPr>
                <w:rFonts w:ascii="Arial" w:cs="Arial" w:eastAsia="Arial" w:hAnsi="Arial"/>
                <w:sz w:val="16"/>
                <w:szCs w:val="16"/>
                <w:color w:val="0000EE"/>
              </w:rPr>
              <w:t>Analysis of Risks Arising from Compensation Policies and Programs</w:t>
            </w: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42</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80" w:type="dxa"/>
            <w:vAlign w:val="bottom"/>
            <w:gridSpan w:val="8"/>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6"/>
                <w:szCs w:val="16"/>
                <w:color w:val="0000EE"/>
                <w:w w:val="99"/>
              </w:rPr>
              <w:t>Director Nomination Procedures</w:t>
            </w:r>
          </w:p>
        </w:tc>
        <w:tc>
          <w:tcPr>
            <w:tcW w:w="2580" w:type="dxa"/>
            <w:vAlign w:val="bottom"/>
            <w:gridSpan w:val="13"/>
          </w:tcPr>
          <w:p>
            <w:pPr>
              <w:spacing w:after="0"/>
              <w:rPr>
                <w:sz w:val="24"/>
                <w:szCs w:val="24"/>
                <w:color w:val="auto"/>
              </w:rPr>
            </w:pPr>
          </w:p>
        </w:tc>
        <w:tc>
          <w:tcPr>
            <w:tcW w:w="2360" w:type="dxa"/>
            <w:vAlign w:val="bottom"/>
            <w:gridSpan w:val="3"/>
          </w:tcPr>
          <w:p>
            <w:pPr>
              <w:spacing w:after="0"/>
              <w:rPr>
                <w:sz w:val="24"/>
                <w:szCs w:val="24"/>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43</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gridSpan w:val="10"/>
          </w:tcPr>
          <w:p>
            <w:pPr>
              <w:spacing w:after="0"/>
              <w:rPr>
                <w:sz w:val="20"/>
                <w:szCs w:val="20"/>
                <w:color w:val="auto"/>
              </w:rPr>
            </w:pPr>
            <w:r>
              <w:rPr>
                <w:rFonts w:ascii="Arial" w:cs="Arial" w:eastAsia="Arial" w:hAnsi="Arial"/>
                <w:sz w:val="16"/>
                <w:szCs w:val="16"/>
                <w:color w:val="0000EE"/>
              </w:rPr>
              <w:t>Global Citizenship and Sustainability</w:t>
            </w:r>
          </w:p>
        </w:tc>
        <w:tc>
          <w:tcPr>
            <w:tcW w:w="4620" w:type="dxa"/>
            <w:vAlign w:val="bottom"/>
            <w:gridSpan w:val="12"/>
          </w:tcPr>
          <w:p>
            <w:pPr>
              <w:spacing w:after="0"/>
              <w:rPr>
                <w:sz w:val="24"/>
                <w:szCs w:val="24"/>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46</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6"/>
                <w:szCs w:val="16"/>
                <w:color w:val="0000EE"/>
                <w:w w:val="99"/>
              </w:rPr>
              <w:t>Director Communications</w:t>
            </w:r>
          </w:p>
        </w:tc>
        <w:tc>
          <w:tcPr>
            <w:tcW w:w="800" w:type="dxa"/>
            <w:vAlign w:val="bottom"/>
            <w:gridSpan w:val="7"/>
          </w:tcPr>
          <w:p>
            <w:pPr>
              <w:spacing w:after="0"/>
              <w:rPr>
                <w:sz w:val="24"/>
                <w:szCs w:val="24"/>
                <w:color w:val="auto"/>
              </w:rPr>
            </w:pPr>
          </w:p>
        </w:tc>
        <w:tc>
          <w:tcPr>
            <w:tcW w:w="4620" w:type="dxa"/>
            <w:vAlign w:val="bottom"/>
            <w:gridSpan w:val="12"/>
          </w:tcPr>
          <w:p>
            <w:pPr>
              <w:spacing w:after="0"/>
              <w:rPr>
                <w:sz w:val="24"/>
                <w:szCs w:val="24"/>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49</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2220" w:type="dxa"/>
            <w:vAlign w:val="bottom"/>
            <w:gridSpan w:val="5"/>
          </w:tcPr>
          <w:p>
            <w:pPr>
              <w:spacing w:after="0"/>
              <w:rPr>
                <w:sz w:val="20"/>
                <w:szCs w:val="20"/>
                <w:color w:val="auto"/>
              </w:rPr>
            </w:pPr>
            <w:r>
              <w:rPr>
                <w:rFonts w:ascii="Arial" w:cs="Arial" w:eastAsia="Arial" w:hAnsi="Arial"/>
                <w:sz w:val="16"/>
                <w:szCs w:val="16"/>
                <w:color w:val="0000EE"/>
              </w:rPr>
              <w:t>AUDIT COMMITTEE REPORT</w:t>
            </w:r>
          </w:p>
        </w:tc>
        <w:tc>
          <w:tcPr>
            <w:tcW w:w="5380" w:type="dxa"/>
            <w:vAlign w:val="bottom"/>
            <w:gridSpan w:val="18"/>
          </w:tcPr>
          <w:p>
            <w:pPr>
              <w:spacing w:after="0"/>
              <w:rPr>
                <w:sz w:val="24"/>
                <w:szCs w:val="24"/>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50</w:t>
            </w:r>
          </w:p>
        </w:tc>
      </w:tr>
      <w:tr>
        <w:trPr>
          <w:trHeight w:val="20"/>
        </w:trPr>
        <w:tc>
          <w:tcPr>
            <w:tcW w:w="920" w:type="dxa"/>
            <w:vAlign w:val="bottom"/>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7600" w:type="dxa"/>
            <w:vAlign w:val="bottom"/>
            <w:gridSpan w:val="23"/>
          </w:tcPr>
          <w:p>
            <w:pPr>
              <w:spacing w:after="0"/>
              <w:rPr>
                <w:sz w:val="20"/>
                <w:szCs w:val="20"/>
                <w:color w:val="auto"/>
              </w:rPr>
            </w:pPr>
            <w:r>
              <w:rPr>
                <w:rFonts w:ascii="Arial" w:cs="Arial" w:eastAsia="Arial" w:hAnsi="Arial"/>
                <w:sz w:val="16"/>
                <w:szCs w:val="16"/>
                <w:color w:val="0000EE"/>
              </w:rPr>
              <w:t>SECURITY OWNERSHIP OF CERTAIN BENEFICIAL OWNERS AND MANAGEMENT</w:t>
            </w: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52</w:t>
            </w:r>
          </w:p>
        </w:tc>
      </w:tr>
      <w:tr>
        <w:trPr>
          <w:trHeight w:val="20"/>
        </w:trPr>
        <w:tc>
          <w:tcPr>
            <w:tcW w:w="920" w:type="dxa"/>
            <w:vAlign w:val="bottom"/>
          </w:tcPr>
          <w:p>
            <w:pPr>
              <w:spacing w:after="0" w:line="20" w:lineRule="exact"/>
              <w:rPr>
                <w:sz w:val="1"/>
                <w:szCs w:val="1"/>
                <w:color w:val="auto"/>
              </w:rPr>
            </w:pPr>
          </w:p>
        </w:tc>
        <w:tc>
          <w:tcPr>
            <w:tcW w:w="3060" w:type="dxa"/>
            <w:vAlign w:val="bottom"/>
            <w:gridSpan w:val="12"/>
            <w:shd w:val="clear" w:color="auto" w:fill="0000EE"/>
          </w:tcPr>
          <w:p>
            <w:pPr>
              <w:spacing w:after="0" w:line="20" w:lineRule="exact"/>
              <w:rPr>
                <w:sz w:val="1"/>
                <w:szCs w:val="1"/>
                <w:color w:val="auto"/>
              </w:rPr>
            </w:pPr>
          </w:p>
        </w:tc>
        <w:tc>
          <w:tcPr>
            <w:tcW w:w="3160" w:type="dxa"/>
            <w:vAlign w:val="bottom"/>
            <w:gridSpan w:val="10"/>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6220" w:type="dxa"/>
            <w:vAlign w:val="bottom"/>
            <w:gridSpan w:val="22"/>
          </w:tcPr>
          <w:p>
            <w:pPr>
              <w:spacing w:after="0"/>
              <w:rPr>
                <w:sz w:val="20"/>
                <w:szCs w:val="20"/>
                <w:color w:val="auto"/>
              </w:rPr>
            </w:pPr>
            <w:r>
              <w:rPr>
                <w:rFonts w:ascii="Arial" w:cs="Arial" w:eastAsia="Arial" w:hAnsi="Arial"/>
                <w:sz w:val="16"/>
                <w:szCs w:val="16"/>
                <w:color w:val="0000EE"/>
              </w:rPr>
              <w:t>DELINQUENT SECTION 16(A) REPORTS</w:t>
            </w:r>
          </w:p>
        </w:tc>
        <w:tc>
          <w:tcPr>
            <w:tcW w:w="1380" w:type="dxa"/>
            <w:vAlign w:val="bottom"/>
          </w:tcPr>
          <w:p>
            <w:pPr>
              <w:spacing w:after="0"/>
              <w:rPr>
                <w:sz w:val="24"/>
                <w:szCs w:val="24"/>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6"/>
                <w:szCs w:val="16"/>
                <w:color w:val="0000EE"/>
              </w:rPr>
              <w:t>55</w:t>
            </w:r>
          </w:p>
        </w:tc>
      </w:tr>
      <w:tr>
        <w:trPr>
          <w:trHeight w:val="277"/>
        </w:trPr>
        <w:tc>
          <w:tcPr>
            <w:tcW w:w="920" w:type="dxa"/>
            <w:vAlign w:val="bottom"/>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1080" w:type="dxa"/>
            <w:vAlign w:val="bottom"/>
            <w:tcBorders>
              <w:top w:val="single" w:sz="8" w:color="0000EE"/>
              <w:bottom w:val="single" w:sz="8" w:color="808080"/>
            </w:tcBorders>
          </w:tcPr>
          <w:p>
            <w:pPr>
              <w:spacing w:after="0"/>
              <w:rPr>
                <w:sz w:val="24"/>
                <w:szCs w:val="24"/>
                <w:color w:val="auto"/>
              </w:rPr>
            </w:pPr>
          </w:p>
        </w:tc>
        <w:tc>
          <w:tcPr>
            <w:tcW w:w="240" w:type="dxa"/>
            <w:vAlign w:val="bottom"/>
            <w:tcBorders>
              <w:top w:val="single" w:sz="8" w:color="0000EE"/>
              <w:bottom w:val="single" w:sz="8" w:color="808080"/>
            </w:tcBorders>
          </w:tcPr>
          <w:p>
            <w:pPr>
              <w:spacing w:after="0"/>
              <w:rPr>
                <w:sz w:val="24"/>
                <w:szCs w:val="24"/>
                <w:color w:val="auto"/>
              </w:rPr>
            </w:pPr>
          </w:p>
        </w:tc>
        <w:tc>
          <w:tcPr>
            <w:tcW w:w="50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38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920" w:type="dxa"/>
            <w:vAlign w:val="bottom"/>
          </w:tcPr>
          <w:p>
            <w:pPr>
              <w:spacing w:after="0"/>
              <w:rPr>
                <w:sz w:val="24"/>
                <w:szCs w:val="24"/>
                <w:color w:val="auto"/>
              </w:rPr>
            </w:pPr>
          </w:p>
        </w:tc>
      </w:tr>
      <w:tr>
        <w:trPr>
          <w:trHeight w:val="424"/>
        </w:trPr>
        <w:tc>
          <w:tcPr>
            <w:tcW w:w="920" w:type="dxa"/>
            <w:vAlign w:val="bottom"/>
          </w:tcPr>
          <w:p>
            <w:pPr>
              <w:spacing w:after="0"/>
              <w:rPr>
                <w:sz w:val="24"/>
                <w:szCs w:val="24"/>
                <w:color w:val="auto"/>
              </w:rPr>
            </w:pPr>
          </w:p>
        </w:tc>
        <w:tc>
          <w:tcPr>
            <w:tcW w:w="7600" w:type="dxa"/>
            <w:vAlign w:val="bottom"/>
            <w:gridSpan w:val="23"/>
          </w:tcPr>
          <w:p>
            <w:pPr>
              <w:spacing w:after="0"/>
              <w:rPr>
                <w:sz w:val="20"/>
                <w:szCs w:val="20"/>
                <w:color w:val="auto"/>
              </w:rPr>
            </w:pPr>
            <w:r>
              <w:rPr>
                <w:rFonts w:ascii="Arial" w:cs="Arial" w:eastAsia="Arial" w:hAnsi="Arial"/>
                <w:sz w:val="14"/>
                <w:szCs w:val="14"/>
                <w:b w:val="1"/>
                <w:bCs w:val="1"/>
                <w:color w:val="001641"/>
              </w:rPr>
              <w:t xml:space="preserve">vi  </w:t>
            </w:r>
            <w:r>
              <w:rPr>
                <w:rFonts w:ascii="Arial" w:cs="Arial" w:eastAsia="Arial" w:hAnsi="Arial"/>
                <w:sz w:val="14"/>
                <w:szCs w:val="14"/>
                <w:color w:val="808080"/>
              </w:rPr>
              <w:t>Ralph Lauren 2026 Proxy Statement</w:t>
            </w:r>
          </w:p>
        </w:tc>
        <w:tc>
          <w:tcPr>
            <w:tcW w:w="2500" w:type="dxa"/>
            <w:vAlign w:val="bottom"/>
            <w:gridSpan w:val="5"/>
          </w:tcPr>
          <w:p>
            <w:pPr>
              <w:ind w:left="1360"/>
              <w:spacing w:after="0"/>
              <w:rPr>
                <w:sz w:val="20"/>
                <w:szCs w:val="20"/>
                <w:color w:val="auto"/>
              </w:rPr>
            </w:pPr>
            <w:r>
              <w:rPr>
                <w:rFonts w:ascii="Arial" w:cs="Arial" w:eastAsia="Arial" w:hAnsi="Arial"/>
                <w:sz w:val="14"/>
                <w:szCs w:val="14"/>
                <w:color w:val="808080"/>
              </w:rPr>
              <w:t xml:space="preserve">    </w:t>
            </w:r>
          </w:p>
        </w:tc>
      </w:tr>
      <w:tr>
        <w:trPr>
          <w:trHeight w:val="171"/>
        </w:trPr>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-264795</wp:posOffset>
            </wp:positionV>
            <wp:extent cx="128905" cy="1111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9" w:name="page10"/>
    <w:bookmarkEnd w:id="9"/>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3"/>
          <w:szCs w:val="13"/>
          <w:b w:val="1"/>
          <w:bCs w:val="1"/>
          <w:color w:val="001641"/>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53340</wp:posOffset>
            </wp:positionV>
            <wp:extent cx="58293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8920" w:type="dxa"/>
            <w:vAlign w:val="bottom"/>
            <w:gridSpan w:val="27"/>
          </w:tcPr>
          <w:p>
            <w:pPr>
              <w:spacing w:after="0"/>
              <w:rPr>
                <w:sz w:val="20"/>
                <w:szCs w:val="20"/>
                <w:color w:val="auto"/>
              </w:rPr>
            </w:pPr>
            <w:r>
              <w:rPr>
                <w:rFonts w:ascii="Arial" w:cs="Arial" w:eastAsia="Arial" w:hAnsi="Arial"/>
                <w:sz w:val="16"/>
                <w:szCs w:val="16"/>
                <w:color w:val="0000EE"/>
              </w:rPr>
              <w:t>DIRECTOR COMPENSATION</w:t>
            </w: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56</w:t>
            </w:r>
          </w:p>
        </w:tc>
        <w:tc>
          <w:tcPr>
            <w:tcW w:w="92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60" w:type="dxa"/>
            <w:vAlign w:val="bottom"/>
            <w:gridSpan w:val="26"/>
          </w:tcPr>
          <w:p>
            <w:pPr>
              <w:spacing w:after="0"/>
              <w:rPr>
                <w:sz w:val="20"/>
                <w:szCs w:val="20"/>
                <w:color w:val="auto"/>
              </w:rPr>
            </w:pPr>
            <w:r>
              <w:rPr>
                <w:rFonts w:ascii="Arial" w:cs="Arial" w:eastAsia="Arial" w:hAnsi="Arial"/>
                <w:sz w:val="16"/>
                <w:szCs w:val="16"/>
                <w:color w:val="0000EE"/>
              </w:rPr>
              <w:t>Stock Ownership Guidelines</w:t>
            </w: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56</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60" w:type="dxa"/>
            <w:vAlign w:val="bottom"/>
            <w:gridSpan w:val="26"/>
          </w:tcPr>
          <w:p>
            <w:pPr>
              <w:spacing w:after="0"/>
              <w:rPr>
                <w:sz w:val="20"/>
                <w:szCs w:val="20"/>
                <w:color w:val="auto"/>
              </w:rPr>
            </w:pPr>
            <w:r>
              <w:rPr>
                <w:rFonts w:ascii="Arial" w:cs="Arial" w:eastAsia="Arial" w:hAnsi="Arial"/>
                <w:sz w:val="16"/>
                <w:szCs w:val="16"/>
                <w:color w:val="0000EE"/>
              </w:rPr>
              <w:t>Director Compensation Table</w:t>
            </w: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57</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gridSpan w:val="8"/>
          </w:tcPr>
          <w:p>
            <w:pPr>
              <w:spacing w:after="0"/>
              <w:rPr>
                <w:sz w:val="20"/>
                <w:szCs w:val="20"/>
                <w:color w:val="auto"/>
              </w:rPr>
            </w:pPr>
            <w:r>
              <w:rPr>
                <w:rFonts w:ascii="Arial" w:cs="Arial" w:eastAsia="Arial" w:hAnsi="Arial"/>
                <w:sz w:val="16"/>
                <w:szCs w:val="16"/>
                <w:color w:val="0000EE"/>
              </w:rPr>
              <w:t>Director Equity Table</w:t>
            </w:r>
          </w:p>
        </w:tc>
        <w:tc>
          <w:tcPr>
            <w:tcW w:w="6480" w:type="dxa"/>
            <w:vAlign w:val="bottom"/>
            <w:gridSpan w:val="18"/>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58</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8920" w:type="dxa"/>
            <w:vAlign w:val="bottom"/>
            <w:gridSpan w:val="27"/>
          </w:tcPr>
          <w:p>
            <w:pPr>
              <w:spacing w:after="0"/>
              <w:rPr>
                <w:sz w:val="20"/>
                <w:szCs w:val="20"/>
                <w:color w:val="auto"/>
              </w:rPr>
            </w:pPr>
            <w:r>
              <w:rPr>
                <w:rFonts w:ascii="Arial" w:cs="Arial" w:eastAsia="Arial" w:hAnsi="Arial"/>
                <w:sz w:val="16"/>
                <w:szCs w:val="16"/>
                <w:color w:val="0000EE"/>
              </w:rPr>
              <w:t>COMPENSATION DISCUSSION AND ANALYSIS</w:t>
            </w: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60</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13"/>
          </w:tcPr>
          <w:p>
            <w:pPr>
              <w:spacing w:after="0"/>
              <w:rPr>
                <w:sz w:val="20"/>
                <w:szCs w:val="20"/>
                <w:color w:val="auto"/>
              </w:rPr>
            </w:pPr>
            <w:r>
              <w:rPr>
                <w:rFonts w:ascii="Arial" w:cs="Arial" w:eastAsia="Arial" w:hAnsi="Arial"/>
                <w:sz w:val="16"/>
                <w:szCs w:val="16"/>
                <w:color w:val="0000EE"/>
              </w:rPr>
              <w:t>Named Executive Officers</w:t>
            </w:r>
          </w:p>
        </w:tc>
        <w:tc>
          <w:tcPr>
            <w:tcW w:w="5360" w:type="dxa"/>
            <w:vAlign w:val="bottom"/>
            <w:gridSpan w:val="13"/>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60</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0000EE"/>
                <w:w w:val="98"/>
              </w:rPr>
              <w:t>Executive Summary</w:t>
            </w:r>
          </w:p>
        </w:tc>
        <w:tc>
          <w:tcPr>
            <w:tcW w:w="420" w:type="dxa"/>
            <w:vAlign w:val="bottom"/>
            <w:gridSpan w:val="4"/>
          </w:tcPr>
          <w:p>
            <w:pPr>
              <w:spacing w:after="0"/>
              <w:rPr>
                <w:sz w:val="24"/>
                <w:szCs w:val="24"/>
                <w:color w:val="auto"/>
              </w:rPr>
            </w:pPr>
          </w:p>
        </w:tc>
        <w:tc>
          <w:tcPr>
            <w:tcW w:w="6700" w:type="dxa"/>
            <w:vAlign w:val="bottom"/>
            <w:gridSpan w:val="20"/>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61</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60" w:type="dxa"/>
            <w:vAlign w:val="bottom"/>
            <w:gridSpan w:val="26"/>
          </w:tcPr>
          <w:p>
            <w:pPr>
              <w:spacing w:after="0"/>
              <w:rPr>
                <w:sz w:val="20"/>
                <w:szCs w:val="20"/>
                <w:color w:val="auto"/>
              </w:rPr>
            </w:pPr>
            <w:r>
              <w:rPr>
                <w:rFonts w:ascii="Arial" w:cs="Arial" w:eastAsia="Arial" w:hAnsi="Arial"/>
                <w:sz w:val="16"/>
                <w:szCs w:val="16"/>
                <w:color w:val="0000EE"/>
              </w:rPr>
              <w:t>Stockholder Feedback and The Talent Committee Response</w:t>
            </w: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66</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11"/>
          </w:tcPr>
          <w:p>
            <w:pPr>
              <w:spacing w:after="0"/>
              <w:rPr>
                <w:sz w:val="20"/>
                <w:szCs w:val="20"/>
                <w:color w:val="auto"/>
              </w:rPr>
            </w:pPr>
            <w:r>
              <w:rPr>
                <w:rFonts w:ascii="Arial" w:cs="Arial" w:eastAsia="Arial" w:hAnsi="Arial"/>
                <w:sz w:val="16"/>
                <w:szCs w:val="16"/>
                <w:color w:val="0000EE"/>
                <w:w w:val="99"/>
              </w:rPr>
              <w:t>Executive Compensation Governance</w:t>
            </w:r>
          </w:p>
        </w:tc>
        <w:tc>
          <w:tcPr>
            <w:tcW w:w="1620" w:type="dxa"/>
            <w:vAlign w:val="bottom"/>
            <w:gridSpan w:val="7"/>
          </w:tcPr>
          <w:p>
            <w:pPr>
              <w:spacing w:after="0"/>
              <w:rPr>
                <w:sz w:val="24"/>
                <w:szCs w:val="24"/>
                <w:color w:val="auto"/>
              </w:rPr>
            </w:pPr>
          </w:p>
        </w:tc>
        <w:tc>
          <w:tcPr>
            <w:tcW w:w="4240" w:type="dxa"/>
            <w:vAlign w:val="bottom"/>
            <w:gridSpan w:val="8"/>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69</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60" w:type="dxa"/>
            <w:vAlign w:val="bottom"/>
            <w:gridSpan w:val="14"/>
          </w:tcPr>
          <w:p>
            <w:pPr>
              <w:spacing w:after="0"/>
              <w:rPr>
                <w:sz w:val="20"/>
                <w:szCs w:val="20"/>
                <w:color w:val="auto"/>
              </w:rPr>
            </w:pPr>
            <w:r>
              <w:rPr>
                <w:rFonts w:ascii="Arial" w:cs="Arial" w:eastAsia="Arial" w:hAnsi="Arial"/>
                <w:sz w:val="16"/>
                <w:szCs w:val="16"/>
                <w:color w:val="0000EE"/>
              </w:rPr>
              <w:t>Key Components of Executive Compensation</w:t>
            </w:r>
          </w:p>
        </w:tc>
        <w:tc>
          <w:tcPr>
            <w:tcW w:w="5300" w:type="dxa"/>
            <w:vAlign w:val="bottom"/>
            <w:gridSpan w:val="12"/>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74</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6"/>
                <w:szCs w:val="16"/>
                <w:color w:val="0000EE"/>
                <w:w w:val="96"/>
              </w:rPr>
              <w:t>All Other Compensation</w:t>
            </w:r>
          </w:p>
        </w:tc>
        <w:tc>
          <w:tcPr>
            <w:tcW w:w="1580" w:type="dxa"/>
            <w:vAlign w:val="bottom"/>
            <w:gridSpan w:val="10"/>
          </w:tcPr>
          <w:p>
            <w:pPr>
              <w:spacing w:after="0"/>
              <w:rPr>
                <w:sz w:val="24"/>
                <w:szCs w:val="24"/>
                <w:color w:val="auto"/>
              </w:rPr>
            </w:pPr>
          </w:p>
        </w:tc>
        <w:tc>
          <w:tcPr>
            <w:tcW w:w="5300" w:type="dxa"/>
            <w:vAlign w:val="bottom"/>
            <w:gridSpan w:val="12"/>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80</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12"/>
          </w:tcPr>
          <w:p>
            <w:pPr>
              <w:spacing w:after="0"/>
              <w:rPr>
                <w:sz w:val="20"/>
                <w:szCs w:val="20"/>
                <w:color w:val="auto"/>
              </w:rPr>
            </w:pPr>
            <w:r>
              <w:rPr>
                <w:rFonts w:ascii="Arial" w:cs="Arial" w:eastAsia="Arial" w:hAnsi="Arial"/>
                <w:sz w:val="16"/>
                <w:szCs w:val="16"/>
                <w:color w:val="0000EE"/>
                <w:w w:val="98"/>
              </w:rPr>
              <w:t>Executive Stock Ownership Guidelines</w:t>
            </w:r>
          </w:p>
        </w:tc>
        <w:tc>
          <w:tcPr>
            <w:tcW w:w="5820" w:type="dxa"/>
            <w:vAlign w:val="bottom"/>
            <w:gridSpan w:val="14"/>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81</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6"/>
                <w:szCs w:val="16"/>
                <w:color w:val="0000EE"/>
                <w:w w:val="98"/>
              </w:rPr>
              <w:t>Related Considerations</w:t>
            </w:r>
          </w:p>
        </w:tc>
        <w:tc>
          <w:tcPr>
            <w:tcW w:w="1060" w:type="dxa"/>
            <w:vAlign w:val="bottom"/>
            <w:gridSpan w:val="8"/>
          </w:tcPr>
          <w:p>
            <w:pPr>
              <w:spacing w:after="0"/>
              <w:rPr>
                <w:sz w:val="24"/>
                <w:szCs w:val="24"/>
                <w:color w:val="auto"/>
              </w:rPr>
            </w:pPr>
          </w:p>
        </w:tc>
        <w:tc>
          <w:tcPr>
            <w:tcW w:w="5820" w:type="dxa"/>
            <w:vAlign w:val="bottom"/>
            <w:gridSpan w:val="14"/>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82</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60" w:type="dxa"/>
            <w:vAlign w:val="bottom"/>
            <w:gridSpan w:val="26"/>
          </w:tcPr>
          <w:p>
            <w:pPr>
              <w:spacing w:after="0"/>
              <w:rPr>
                <w:sz w:val="20"/>
                <w:szCs w:val="20"/>
                <w:color w:val="auto"/>
              </w:rPr>
            </w:pPr>
            <w:r>
              <w:rPr>
                <w:rFonts w:ascii="Arial" w:cs="Arial" w:eastAsia="Arial" w:hAnsi="Arial"/>
                <w:sz w:val="16"/>
                <w:szCs w:val="16"/>
                <w:color w:val="0000EE"/>
              </w:rPr>
              <w:t>Talent Committee Report</w:t>
            </w: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84</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8920" w:type="dxa"/>
            <w:vAlign w:val="bottom"/>
            <w:gridSpan w:val="27"/>
          </w:tcPr>
          <w:p>
            <w:pPr>
              <w:spacing w:after="0"/>
              <w:rPr>
                <w:sz w:val="20"/>
                <w:szCs w:val="20"/>
                <w:color w:val="auto"/>
              </w:rPr>
            </w:pPr>
            <w:r>
              <w:rPr>
                <w:rFonts w:ascii="Arial" w:cs="Arial" w:eastAsia="Arial" w:hAnsi="Arial"/>
                <w:sz w:val="16"/>
                <w:szCs w:val="16"/>
                <w:color w:val="0000EE"/>
              </w:rPr>
              <w:t>EXECUTIVE COMPENSATION MATTERS</w:t>
            </w: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85</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gridSpan w:val="10"/>
          </w:tcPr>
          <w:p>
            <w:pPr>
              <w:spacing w:after="0"/>
              <w:rPr>
                <w:sz w:val="20"/>
                <w:szCs w:val="20"/>
                <w:color w:val="auto"/>
              </w:rPr>
            </w:pPr>
            <w:r>
              <w:rPr>
                <w:rFonts w:ascii="Arial" w:cs="Arial" w:eastAsia="Arial" w:hAnsi="Arial"/>
                <w:sz w:val="16"/>
                <w:szCs w:val="16"/>
                <w:color w:val="0000EE"/>
                <w:w w:val="98"/>
              </w:rPr>
              <w:t>Summary Compensation Table</w:t>
            </w:r>
          </w:p>
        </w:tc>
        <w:tc>
          <w:tcPr>
            <w:tcW w:w="480" w:type="dxa"/>
            <w:vAlign w:val="bottom"/>
          </w:tcPr>
          <w:p>
            <w:pPr>
              <w:spacing w:after="0"/>
              <w:rPr>
                <w:sz w:val="24"/>
                <w:szCs w:val="24"/>
                <w:color w:val="auto"/>
              </w:rPr>
            </w:pPr>
          </w:p>
        </w:tc>
        <w:tc>
          <w:tcPr>
            <w:tcW w:w="5860" w:type="dxa"/>
            <w:vAlign w:val="bottom"/>
            <w:gridSpan w:val="15"/>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85</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gridSpan w:val="10"/>
          </w:tcPr>
          <w:p>
            <w:pPr>
              <w:spacing w:after="0"/>
              <w:rPr>
                <w:sz w:val="20"/>
                <w:szCs w:val="20"/>
                <w:color w:val="auto"/>
              </w:rPr>
            </w:pPr>
            <w:r>
              <w:rPr>
                <w:rFonts w:ascii="Arial" w:cs="Arial" w:eastAsia="Arial" w:hAnsi="Arial"/>
                <w:sz w:val="16"/>
                <w:szCs w:val="16"/>
                <w:color w:val="0000EE"/>
              </w:rPr>
              <w:t>Grants of Plan-Based Awards</w:t>
            </w:r>
          </w:p>
        </w:tc>
        <w:tc>
          <w:tcPr>
            <w:tcW w:w="6340" w:type="dxa"/>
            <w:vAlign w:val="bottom"/>
            <w:gridSpan w:val="16"/>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87</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40" w:type="dxa"/>
            <w:vAlign w:val="bottom"/>
            <w:gridSpan w:val="22"/>
          </w:tcPr>
          <w:p>
            <w:pPr>
              <w:spacing w:after="0"/>
              <w:rPr>
                <w:sz w:val="20"/>
                <w:szCs w:val="20"/>
                <w:color w:val="auto"/>
              </w:rPr>
            </w:pPr>
            <w:r>
              <w:rPr>
                <w:rFonts w:ascii="Arial" w:cs="Arial" w:eastAsia="Arial" w:hAnsi="Arial"/>
                <w:sz w:val="16"/>
                <w:szCs w:val="16"/>
                <w:color w:val="0000EE"/>
              </w:rPr>
              <w:t>Executive Employment Agreements and Compensatory Arrangements</w:t>
            </w:r>
          </w:p>
        </w:tc>
        <w:tc>
          <w:tcPr>
            <w:tcW w:w="3520" w:type="dxa"/>
            <w:vAlign w:val="bottom"/>
            <w:gridSpan w:val="4"/>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88</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40" w:type="dxa"/>
            <w:vAlign w:val="bottom"/>
            <w:gridSpan w:val="22"/>
          </w:tcPr>
          <w:p>
            <w:pPr>
              <w:spacing w:after="0"/>
              <w:rPr>
                <w:sz w:val="20"/>
                <w:szCs w:val="20"/>
                <w:color w:val="auto"/>
              </w:rPr>
            </w:pPr>
            <w:r>
              <w:rPr>
                <w:rFonts w:ascii="Arial" w:cs="Arial" w:eastAsia="Arial" w:hAnsi="Arial"/>
                <w:sz w:val="16"/>
                <w:szCs w:val="16"/>
                <w:color w:val="0000EE"/>
              </w:rPr>
              <w:t>Outstanding Equity Awards at Fiscal Year-End</w:t>
            </w:r>
          </w:p>
        </w:tc>
        <w:tc>
          <w:tcPr>
            <w:tcW w:w="3520" w:type="dxa"/>
            <w:vAlign w:val="bottom"/>
            <w:gridSpan w:val="4"/>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91</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0000EE"/>
                <w:w w:val="97"/>
              </w:rPr>
              <w:t>Stock Vested</w:t>
            </w:r>
          </w:p>
        </w:tc>
        <w:tc>
          <w:tcPr>
            <w:tcW w:w="2360" w:type="dxa"/>
            <w:vAlign w:val="bottom"/>
            <w:gridSpan w:val="14"/>
          </w:tcPr>
          <w:p>
            <w:pPr>
              <w:spacing w:after="0"/>
              <w:rPr>
                <w:sz w:val="24"/>
                <w:szCs w:val="24"/>
                <w:color w:val="auto"/>
              </w:rPr>
            </w:pPr>
          </w:p>
        </w:tc>
        <w:tc>
          <w:tcPr>
            <w:tcW w:w="5260" w:type="dxa"/>
            <w:vAlign w:val="bottom"/>
            <w:gridSpan w:val="11"/>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93</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60" w:type="dxa"/>
            <w:vAlign w:val="bottom"/>
            <w:gridSpan w:val="26"/>
          </w:tcPr>
          <w:p>
            <w:pPr>
              <w:spacing w:after="0"/>
              <w:rPr>
                <w:sz w:val="20"/>
                <w:szCs w:val="20"/>
                <w:color w:val="auto"/>
              </w:rPr>
            </w:pPr>
            <w:r>
              <w:rPr>
                <w:rFonts w:ascii="Arial" w:cs="Arial" w:eastAsia="Arial" w:hAnsi="Arial"/>
                <w:sz w:val="16"/>
                <w:szCs w:val="16"/>
                <w:color w:val="0000EE"/>
              </w:rPr>
              <w:t>Non-Qualified Deferred Compensation</w:t>
            </w: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94</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60" w:type="dxa"/>
            <w:vAlign w:val="bottom"/>
            <w:gridSpan w:val="26"/>
          </w:tcPr>
          <w:p>
            <w:pPr>
              <w:spacing w:after="0"/>
              <w:rPr>
                <w:sz w:val="20"/>
                <w:szCs w:val="20"/>
                <w:color w:val="auto"/>
              </w:rPr>
            </w:pPr>
            <w:r>
              <w:rPr>
                <w:rFonts w:ascii="Arial" w:cs="Arial" w:eastAsia="Arial" w:hAnsi="Arial"/>
                <w:sz w:val="16"/>
                <w:szCs w:val="16"/>
                <w:color w:val="0000EE"/>
              </w:rPr>
              <w:t>Potential Payments Upon Termination or Change in Control</w:t>
            </w: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rPr>
              <w:t>94</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6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w w:val="99"/>
              </w:rPr>
              <w:t>Potential Payments Upon Termination or Change in Control Tables</w:t>
            </w:r>
          </w:p>
        </w:tc>
        <w:tc>
          <w:tcPr>
            <w:tcW w:w="3800" w:type="dxa"/>
            <w:vAlign w:val="bottom"/>
            <w:gridSpan w:val="5"/>
          </w:tcPr>
          <w:p>
            <w:pPr>
              <w:spacing w:after="0"/>
              <w:rPr>
                <w:sz w:val="24"/>
                <w:szCs w:val="24"/>
                <w:color w:val="auto"/>
              </w:rPr>
            </w:pPr>
          </w:p>
        </w:tc>
        <w:tc>
          <w:tcPr>
            <w:tcW w:w="26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color w:val="0000EE"/>
                <w:w w:val="89"/>
              </w:rPr>
              <w:t>101</w:t>
            </w:r>
          </w:p>
        </w:tc>
        <w:tc>
          <w:tcPr>
            <w:tcW w:w="920" w:type="dxa"/>
            <w:vAlign w:val="bottom"/>
          </w:tcPr>
          <w:p>
            <w:pPr>
              <w:spacing w:after="0"/>
              <w:rPr>
                <w:sz w:val="24"/>
                <w:szCs w:val="24"/>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9"/>
              </w:rPr>
              <w:t>Pay Ratio Disclosure</w:t>
            </w:r>
          </w:p>
        </w:tc>
        <w:tc>
          <w:tcPr>
            <w:tcW w:w="7060" w:type="dxa"/>
            <w:vAlign w:val="bottom"/>
            <w:gridSpan w:val="23"/>
          </w:tcPr>
          <w:p>
            <w:pPr>
              <w:spacing w:after="0"/>
              <w:rPr>
                <w:sz w:val="24"/>
                <w:szCs w:val="24"/>
                <w:color w:val="auto"/>
              </w:rPr>
            </w:pPr>
          </w:p>
        </w:tc>
        <w:tc>
          <w:tcPr>
            <w:tcW w:w="26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color w:val="0000EE"/>
                <w:w w:val="89"/>
              </w:rPr>
              <w:t>104</w:t>
            </w:r>
          </w:p>
        </w:tc>
        <w:tc>
          <w:tcPr>
            <w:tcW w:w="920" w:type="dxa"/>
            <w:vAlign w:val="bottom"/>
          </w:tcPr>
          <w:p>
            <w:pPr>
              <w:spacing w:after="0"/>
              <w:rPr>
                <w:sz w:val="24"/>
                <w:szCs w:val="24"/>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60" w:type="dxa"/>
            <w:vAlign w:val="bottom"/>
            <w:gridSpan w:val="26"/>
          </w:tcPr>
          <w:p>
            <w:pPr>
              <w:spacing w:after="0"/>
              <w:rPr>
                <w:sz w:val="20"/>
                <w:szCs w:val="20"/>
                <w:color w:val="auto"/>
              </w:rPr>
            </w:pPr>
            <w:r>
              <w:rPr>
                <w:rFonts w:ascii="Arial" w:cs="Arial" w:eastAsia="Arial" w:hAnsi="Arial"/>
                <w:sz w:val="16"/>
                <w:szCs w:val="16"/>
                <w:color w:val="0000EE"/>
              </w:rPr>
              <w:t>Pay Versus Performance</w:t>
            </w: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w w:val="89"/>
              </w:rPr>
              <w:t>105</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8920" w:type="dxa"/>
            <w:vAlign w:val="bottom"/>
            <w:gridSpan w:val="27"/>
          </w:tcPr>
          <w:p>
            <w:pPr>
              <w:spacing w:after="0"/>
              <w:rPr>
                <w:sz w:val="20"/>
                <w:szCs w:val="20"/>
                <w:color w:val="auto"/>
              </w:rPr>
            </w:pPr>
            <w:r>
              <w:rPr>
                <w:rFonts w:ascii="Arial" w:cs="Arial" w:eastAsia="Arial" w:hAnsi="Arial"/>
                <w:sz w:val="16"/>
                <w:szCs w:val="16"/>
                <w:color w:val="0000EE"/>
              </w:rPr>
              <w:t>CERTAIN RELATIONSHIPS, TRANSACTIONS, AND LEGAL PROCEEDINGS</w:t>
            </w: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w w:val="89"/>
              </w:rPr>
              <w:t>110</w:t>
            </w:r>
          </w:p>
        </w:tc>
        <w:tc>
          <w:tcPr>
            <w:tcW w:w="920" w:type="dxa"/>
            <w:vAlign w:val="bottom"/>
          </w:tcPr>
          <w:p>
            <w:pPr>
              <w:spacing w:after="0"/>
              <w:rPr>
                <w:sz w:val="24"/>
                <w:szCs w:val="24"/>
                <w:color w:val="auto"/>
              </w:rPr>
            </w:pPr>
          </w:p>
        </w:tc>
      </w:tr>
      <w:tr>
        <w:trPr>
          <w:trHeight w:val="331"/>
        </w:trPr>
        <w:tc>
          <w:tcPr>
            <w:tcW w:w="9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2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6"/>
                <w:szCs w:val="16"/>
                <w:color w:val="0000EE"/>
              </w:rPr>
              <w:t>Registration Rights Agreement</w:t>
            </w:r>
          </w:p>
        </w:tc>
        <w:tc>
          <w:tcPr>
            <w:tcW w:w="3040" w:type="dxa"/>
            <w:vAlign w:val="bottom"/>
            <w:tcBorders>
              <w:top w:val="single" w:sz="8" w:color="0000EE"/>
            </w:tcBorders>
            <w:gridSpan w:val="13"/>
          </w:tcPr>
          <w:p>
            <w:pPr>
              <w:spacing w:after="0"/>
              <w:rPr>
                <w:sz w:val="24"/>
                <w:szCs w:val="24"/>
                <w:color w:val="auto"/>
              </w:rPr>
            </w:pPr>
          </w:p>
        </w:tc>
        <w:tc>
          <w:tcPr>
            <w:tcW w:w="3300" w:type="dxa"/>
            <w:vAlign w:val="bottom"/>
            <w:gridSpan w:val="3"/>
          </w:tcPr>
          <w:p>
            <w:pPr>
              <w:spacing w:after="0"/>
              <w:rPr>
                <w:sz w:val="24"/>
                <w:szCs w:val="24"/>
                <w:color w:val="auto"/>
              </w:rPr>
            </w:pPr>
          </w:p>
        </w:tc>
        <w:tc>
          <w:tcPr>
            <w:tcW w:w="26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6"/>
                <w:szCs w:val="16"/>
                <w:color w:val="0000EE"/>
                <w:w w:val="89"/>
              </w:rPr>
              <w:t>111</w:t>
            </w:r>
          </w:p>
        </w:tc>
        <w:tc>
          <w:tcPr>
            <w:tcW w:w="920" w:type="dxa"/>
            <w:vAlign w:val="bottom"/>
          </w:tcPr>
          <w:p>
            <w:pPr>
              <w:spacing w:after="0"/>
              <w:rPr>
                <w:sz w:val="24"/>
                <w:szCs w:val="24"/>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60" w:type="dxa"/>
            <w:vAlign w:val="bottom"/>
            <w:gridSpan w:val="26"/>
          </w:tcPr>
          <w:p>
            <w:pPr>
              <w:spacing w:after="0"/>
              <w:rPr>
                <w:sz w:val="20"/>
                <w:szCs w:val="20"/>
                <w:color w:val="auto"/>
              </w:rPr>
            </w:pPr>
            <w:r>
              <w:rPr>
                <w:rFonts w:ascii="Arial" w:cs="Arial" w:eastAsia="Arial" w:hAnsi="Arial"/>
                <w:sz w:val="16"/>
                <w:szCs w:val="16"/>
                <w:color w:val="0000EE"/>
              </w:rPr>
              <w:t>Other Agreements, Transactions, and Relationships</w:t>
            </w: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w w:val="89"/>
              </w:rPr>
              <w:t>111</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00" w:type="dxa"/>
            <w:vAlign w:val="bottom"/>
            <w:gridSpan w:val="16"/>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80" w:type="dxa"/>
            <w:vAlign w:val="bottom"/>
            <w:gridSpan w:val="19"/>
          </w:tcPr>
          <w:p>
            <w:pPr>
              <w:spacing w:after="0"/>
              <w:rPr>
                <w:sz w:val="20"/>
                <w:szCs w:val="20"/>
                <w:color w:val="auto"/>
              </w:rPr>
            </w:pPr>
            <w:r>
              <w:rPr>
                <w:rFonts w:ascii="Arial" w:cs="Arial" w:eastAsia="Arial" w:hAnsi="Arial"/>
                <w:sz w:val="16"/>
                <w:szCs w:val="16"/>
                <w:color w:val="0000EE"/>
              </w:rPr>
              <w:t>Legal Proceedings Involving Directors and Executive Officers</w:t>
            </w:r>
          </w:p>
        </w:tc>
        <w:tc>
          <w:tcPr>
            <w:tcW w:w="4180" w:type="dxa"/>
            <w:vAlign w:val="bottom"/>
            <w:gridSpan w:val="7"/>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w w:val="89"/>
              </w:rPr>
              <w:t>112</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80" w:type="dxa"/>
            <w:vAlign w:val="bottom"/>
            <w:gridSpan w:val="19"/>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8480" w:type="dxa"/>
            <w:vAlign w:val="bottom"/>
            <w:gridSpan w:val="26"/>
          </w:tcPr>
          <w:p>
            <w:pPr>
              <w:spacing w:after="0"/>
              <w:rPr>
                <w:sz w:val="20"/>
                <w:szCs w:val="20"/>
                <w:color w:val="auto"/>
              </w:rPr>
            </w:pPr>
            <w:r>
              <w:rPr>
                <w:rFonts w:ascii="Arial" w:cs="Arial" w:eastAsia="Arial" w:hAnsi="Arial"/>
                <w:sz w:val="16"/>
                <w:szCs w:val="16"/>
                <w:color w:val="0000EE"/>
              </w:rPr>
              <w:t>PROPOSAL 2: RATIFICATION OF APPOINTMENT OF INDEPENDENT REGISTERED PUBLIC ACCOUNTING FIRM</w:t>
            </w:r>
          </w:p>
        </w:tc>
        <w:tc>
          <w:tcPr>
            <w:tcW w:w="4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w w:val="89"/>
              </w:rPr>
              <w:t>114</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5020" w:type="dxa"/>
            <w:vAlign w:val="bottom"/>
            <w:gridSpan w:val="21"/>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8480" w:type="dxa"/>
            <w:vAlign w:val="bottom"/>
            <w:gridSpan w:val="26"/>
          </w:tcPr>
          <w:p>
            <w:pPr>
              <w:spacing w:after="0"/>
              <w:rPr>
                <w:sz w:val="20"/>
                <w:szCs w:val="20"/>
                <w:color w:val="auto"/>
              </w:rPr>
            </w:pPr>
            <w:r>
              <w:rPr>
                <w:rFonts w:ascii="Arial" w:cs="Arial" w:eastAsia="Arial" w:hAnsi="Arial"/>
                <w:sz w:val="16"/>
                <w:szCs w:val="16"/>
                <w:color w:val="0000EE"/>
              </w:rPr>
              <w:t>PROPOSAL 3: ADVISORY VOTE ON EXECUTIVE COMPENSATION</w:t>
            </w:r>
          </w:p>
        </w:tc>
        <w:tc>
          <w:tcPr>
            <w:tcW w:w="4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w w:val="89"/>
              </w:rPr>
              <w:t>117</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5020" w:type="dxa"/>
            <w:vAlign w:val="bottom"/>
            <w:gridSpan w:val="21"/>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8920" w:type="dxa"/>
            <w:vAlign w:val="bottom"/>
            <w:gridSpan w:val="27"/>
          </w:tcPr>
          <w:p>
            <w:pPr>
              <w:spacing w:after="0"/>
              <w:rPr>
                <w:sz w:val="20"/>
                <w:szCs w:val="20"/>
                <w:color w:val="auto"/>
              </w:rPr>
            </w:pPr>
            <w:r>
              <w:rPr>
                <w:rFonts w:ascii="Arial" w:cs="Arial" w:eastAsia="Arial" w:hAnsi="Arial"/>
                <w:sz w:val="16"/>
                <w:szCs w:val="16"/>
                <w:color w:val="0000EE"/>
              </w:rPr>
              <w:t>QUESTIONS AND ANSWERS ABOUT THE ANNUAL MEETING AND VOTING</w:t>
            </w:r>
          </w:p>
        </w:tc>
        <w:tc>
          <w:tcPr>
            <w:tcW w:w="260" w:type="dxa"/>
            <w:vAlign w:val="bottom"/>
            <w:gridSpan w:val="2"/>
          </w:tcPr>
          <w:p>
            <w:pPr>
              <w:jc w:val="right"/>
              <w:spacing w:after="0"/>
              <w:rPr>
                <w:sz w:val="20"/>
                <w:szCs w:val="20"/>
                <w:color w:val="auto"/>
              </w:rPr>
            </w:pPr>
            <w:r>
              <w:rPr>
                <w:rFonts w:ascii="Arial" w:cs="Arial" w:eastAsia="Arial" w:hAnsi="Arial"/>
                <w:sz w:val="16"/>
                <w:szCs w:val="16"/>
                <w:color w:val="0000EE"/>
                <w:w w:val="89"/>
              </w:rPr>
              <w:t>118</w:t>
            </w:r>
          </w:p>
        </w:tc>
        <w:tc>
          <w:tcPr>
            <w:tcW w:w="920" w:type="dxa"/>
            <w:vAlign w:val="bottom"/>
          </w:tcPr>
          <w:p>
            <w:pPr>
              <w:spacing w:after="0"/>
              <w:rPr>
                <w:sz w:val="24"/>
                <w:szCs w:val="24"/>
                <w:color w:val="auto"/>
              </w:rPr>
            </w:pPr>
          </w:p>
        </w:tc>
      </w:tr>
      <w:tr>
        <w:trPr>
          <w:trHeight w:val="277"/>
        </w:trPr>
        <w:tc>
          <w:tcPr>
            <w:tcW w:w="920" w:type="dxa"/>
            <w:vAlign w:val="bottom"/>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940" w:type="dxa"/>
            <w:vAlign w:val="bottom"/>
            <w:tcBorders>
              <w:top w:val="single" w:sz="8" w:color="0000EE"/>
              <w:bottom w:val="single" w:sz="8" w:color="808080"/>
            </w:tcBorders>
          </w:tcPr>
          <w:p>
            <w:pPr>
              <w:spacing w:after="0"/>
              <w:rPr>
                <w:sz w:val="24"/>
                <w:szCs w:val="24"/>
                <w:color w:val="auto"/>
              </w:rPr>
            </w:pPr>
          </w:p>
        </w:tc>
        <w:tc>
          <w:tcPr>
            <w:tcW w:w="50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48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46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400" w:type="dxa"/>
            <w:vAlign w:val="bottom"/>
            <w:tcBorders>
              <w:top w:val="single" w:sz="8" w:color="0000EE"/>
              <w:bottom w:val="single" w:sz="8" w:color="808080"/>
            </w:tcBorders>
          </w:tcPr>
          <w:p>
            <w:pPr>
              <w:spacing w:after="0"/>
              <w:rPr>
                <w:sz w:val="24"/>
                <w:szCs w:val="24"/>
                <w:color w:val="auto"/>
              </w:rPr>
            </w:pPr>
          </w:p>
        </w:tc>
        <w:tc>
          <w:tcPr>
            <w:tcW w:w="54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28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280" w:type="dxa"/>
            <w:vAlign w:val="bottom"/>
            <w:tcBorders>
              <w:top w:val="single" w:sz="8" w:color="0000EE"/>
              <w:bottom w:val="single" w:sz="8" w:color="808080"/>
            </w:tcBorders>
          </w:tcPr>
          <w:p>
            <w:pPr>
              <w:spacing w:after="0"/>
              <w:rPr>
                <w:sz w:val="24"/>
                <w:szCs w:val="24"/>
                <w:color w:val="auto"/>
              </w:rPr>
            </w:pPr>
          </w:p>
        </w:tc>
        <w:tc>
          <w:tcPr>
            <w:tcW w:w="22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920" w:type="dxa"/>
            <w:vAlign w:val="bottom"/>
          </w:tcPr>
          <w:p>
            <w:pPr>
              <w:spacing w:after="0"/>
              <w:rPr>
                <w:sz w:val="24"/>
                <w:szCs w:val="24"/>
                <w:color w:val="auto"/>
              </w:rPr>
            </w:pPr>
          </w:p>
        </w:tc>
      </w:tr>
      <w:tr>
        <w:trPr>
          <w:trHeight w:val="396"/>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gridSpan w:val="2"/>
          </w:tcPr>
          <w:p>
            <w:pPr>
              <w:ind w:left="840"/>
              <w:spacing w:after="0"/>
              <w:rPr>
                <w:sz w:val="20"/>
                <w:szCs w:val="20"/>
                <w:color w:val="auto"/>
              </w:rPr>
            </w:pPr>
            <w:r>
              <w:rPr>
                <w:rFonts w:ascii="Arial" w:cs="Arial" w:eastAsia="Arial" w:hAnsi="Arial"/>
                <w:sz w:val="14"/>
                <w:szCs w:val="14"/>
                <w:color w:val="808080"/>
              </w:rPr>
              <w:t>Ralph Lauren 2026 Proxy Statement</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001641"/>
              </w:rPr>
              <w:t>vii</w:t>
            </w:r>
          </w:p>
        </w:tc>
        <w:tc>
          <w:tcPr>
            <w:tcW w:w="920" w:type="dxa"/>
            <w:vAlign w:val="bottom"/>
          </w:tcPr>
          <w:p>
            <w:pPr>
              <w:spacing w:after="0"/>
              <w:rPr>
                <w:sz w:val="24"/>
                <w:szCs w:val="24"/>
                <w:color w:val="auto"/>
              </w:rPr>
            </w:pPr>
          </w:p>
        </w:tc>
      </w:tr>
      <w:tr>
        <w:trPr>
          <w:trHeight w:val="158"/>
        </w:trPr>
        <w:tc>
          <w:tcPr>
            <w:tcW w:w="9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128905" cy="111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10" w:name="page11"/>
    <w:bookmarkEnd w:id="10"/>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3"/>
          <w:szCs w:val="13"/>
          <w:b w:val="1"/>
          <w:bCs w:val="1"/>
          <w:color w:val="001641"/>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53340</wp:posOffset>
            </wp:positionV>
            <wp:extent cx="58293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17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9"/>
              </w:rPr>
              <w:t>ADDITIONAL MATTERS</w:t>
            </w:r>
          </w:p>
        </w:tc>
        <w:tc>
          <w:tcPr>
            <w:tcW w:w="7120" w:type="dxa"/>
            <w:vAlign w:val="bottom"/>
            <w:gridSpan w:val="6"/>
          </w:tcPr>
          <w:p>
            <w:pPr>
              <w:spacing w:after="0"/>
              <w:rPr>
                <w:sz w:val="16"/>
                <w:szCs w:val="16"/>
                <w:color w:val="auto"/>
              </w:rPr>
            </w:pPr>
          </w:p>
        </w:tc>
        <w:tc>
          <w:tcPr>
            <w:tcW w:w="280" w:type="dxa"/>
            <w:vAlign w:val="bottom"/>
            <w:tcBorders>
              <w:bottom w:val="single" w:sz="8" w:color="0000EE"/>
            </w:tcBorders>
          </w:tcPr>
          <w:p>
            <w:pPr>
              <w:jc w:val="center"/>
              <w:spacing w:after="0"/>
              <w:rPr>
                <w:sz w:val="20"/>
                <w:szCs w:val="20"/>
                <w:color w:val="auto"/>
              </w:rPr>
            </w:pPr>
            <w:r>
              <w:rPr>
                <w:rFonts w:ascii="Arial" w:cs="Arial" w:eastAsia="Arial" w:hAnsi="Arial"/>
                <w:sz w:val="16"/>
                <w:szCs w:val="16"/>
                <w:color w:val="0000EE"/>
              </w:rPr>
              <w:t>122</w:t>
            </w:r>
          </w:p>
        </w:tc>
        <w:tc>
          <w:tcPr>
            <w:tcW w:w="920" w:type="dxa"/>
            <w:vAlign w:val="bottom"/>
          </w:tcPr>
          <w:p>
            <w:pPr>
              <w:spacing w:after="0"/>
              <w:rPr>
                <w:sz w:val="16"/>
                <w:szCs w:val="16"/>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40" w:type="dxa"/>
            <w:vAlign w:val="bottom"/>
            <w:gridSpan w:val="8"/>
          </w:tcPr>
          <w:p>
            <w:pPr>
              <w:spacing w:after="0"/>
              <w:rPr>
                <w:sz w:val="20"/>
                <w:szCs w:val="20"/>
                <w:color w:val="auto"/>
              </w:rPr>
            </w:pPr>
            <w:r>
              <w:rPr>
                <w:rFonts w:ascii="Arial" w:cs="Arial" w:eastAsia="Arial" w:hAnsi="Arial"/>
                <w:sz w:val="16"/>
                <w:szCs w:val="16"/>
                <w:color w:val="0000EE"/>
              </w:rPr>
              <w:t>Proxy Procedure and Expenses of Solicitation</w:t>
            </w:r>
          </w:p>
        </w:tc>
        <w:tc>
          <w:tcPr>
            <w:tcW w:w="1200" w:type="dxa"/>
            <w:vAlign w:val="bottom"/>
            <w:gridSpan w:val="2"/>
          </w:tcPr>
          <w:p>
            <w:pPr>
              <w:jc w:val="center"/>
              <w:ind w:right="920"/>
              <w:spacing w:after="0"/>
              <w:rPr>
                <w:sz w:val="20"/>
                <w:szCs w:val="20"/>
                <w:color w:val="auto"/>
              </w:rPr>
            </w:pPr>
            <w:r>
              <w:rPr>
                <w:rFonts w:ascii="Arial" w:cs="Arial" w:eastAsia="Arial" w:hAnsi="Arial"/>
                <w:sz w:val="16"/>
                <w:szCs w:val="16"/>
                <w:color w:val="0000EE"/>
              </w:rPr>
              <w:t>122</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6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Stockholder Proposals for the 2027 Annual Meeting of Stockholders</w:t>
            </w:r>
          </w:p>
        </w:tc>
        <w:tc>
          <w:tcPr>
            <w:tcW w:w="3680" w:type="dxa"/>
            <w:vAlign w:val="bottom"/>
            <w:gridSpan w:val="3"/>
          </w:tcPr>
          <w:p>
            <w:pPr>
              <w:spacing w:after="0"/>
              <w:rPr>
                <w:sz w:val="24"/>
                <w:szCs w:val="24"/>
                <w:color w:val="auto"/>
              </w:rPr>
            </w:pPr>
          </w:p>
        </w:tc>
        <w:tc>
          <w:tcPr>
            <w:tcW w:w="280" w:type="dxa"/>
            <w:vAlign w:val="bottom"/>
            <w:tcBorders>
              <w:bottom w:val="single" w:sz="8" w:color="0000EE"/>
            </w:tcBorders>
          </w:tcPr>
          <w:p>
            <w:pPr>
              <w:jc w:val="center"/>
              <w:spacing w:after="0"/>
              <w:rPr>
                <w:sz w:val="20"/>
                <w:szCs w:val="20"/>
                <w:color w:val="auto"/>
              </w:rPr>
            </w:pPr>
            <w:r>
              <w:rPr>
                <w:rFonts w:ascii="Arial" w:cs="Arial" w:eastAsia="Arial" w:hAnsi="Arial"/>
                <w:sz w:val="16"/>
                <w:szCs w:val="16"/>
                <w:color w:val="0000EE"/>
              </w:rPr>
              <w:t>122</w:t>
            </w:r>
          </w:p>
        </w:tc>
        <w:tc>
          <w:tcPr>
            <w:tcW w:w="920" w:type="dxa"/>
            <w:vAlign w:val="bottom"/>
          </w:tcPr>
          <w:p>
            <w:pPr>
              <w:spacing w:after="0"/>
              <w:rPr>
                <w:sz w:val="24"/>
                <w:szCs w:val="24"/>
                <w:color w:val="auto"/>
              </w:rPr>
            </w:pP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40" w:type="dxa"/>
            <w:vAlign w:val="bottom"/>
            <w:gridSpan w:val="8"/>
          </w:tcPr>
          <w:p>
            <w:pPr>
              <w:spacing w:after="0"/>
              <w:rPr>
                <w:sz w:val="20"/>
                <w:szCs w:val="20"/>
                <w:color w:val="auto"/>
              </w:rPr>
            </w:pPr>
            <w:r>
              <w:rPr>
                <w:rFonts w:ascii="Arial" w:cs="Arial" w:eastAsia="Arial" w:hAnsi="Arial"/>
                <w:sz w:val="16"/>
                <w:szCs w:val="16"/>
                <w:color w:val="0000EE"/>
              </w:rPr>
              <w:t>Delivery of Stockholders’ Materials and Householding</w:t>
            </w:r>
          </w:p>
        </w:tc>
        <w:tc>
          <w:tcPr>
            <w:tcW w:w="1200" w:type="dxa"/>
            <w:vAlign w:val="bottom"/>
            <w:gridSpan w:val="2"/>
          </w:tcPr>
          <w:p>
            <w:pPr>
              <w:jc w:val="center"/>
              <w:ind w:right="920"/>
              <w:spacing w:after="0"/>
              <w:rPr>
                <w:sz w:val="20"/>
                <w:szCs w:val="20"/>
                <w:color w:val="auto"/>
              </w:rPr>
            </w:pPr>
            <w:r>
              <w:rPr>
                <w:rFonts w:ascii="Arial" w:cs="Arial" w:eastAsia="Arial" w:hAnsi="Arial"/>
                <w:sz w:val="16"/>
                <w:szCs w:val="16"/>
                <w:color w:val="0000EE"/>
              </w:rPr>
              <w:t>123</w:t>
            </w:r>
          </w:p>
        </w:tc>
      </w:tr>
      <w:tr>
        <w:trPr>
          <w:trHeight w:val="33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2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0000EE"/>
              </w:rPr>
              <w:t>Other Business</w:t>
            </w:r>
          </w:p>
        </w:tc>
        <w:tc>
          <w:tcPr>
            <w:tcW w:w="4720" w:type="dxa"/>
            <w:vAlign w:val="bottom"/>
            <w:gridSpan w:val="4"/>
          </w:tcPr>
          <w:p>
            <w:pPr>
              <w:spacing w:after="0"/>
              <w:rPr>
                <w:sz w:val="24"/>
                <w:szCs w:val="24"/>
                <w:color w:val="auto"/>
              </w:rPr>
            </w:pPr>
          </w:p>
        </w:tc>
        <w:tc>
          <w:tcPr>
            <w:tcW w:w="280" w:type="dxa"/>
            <w:vAlign w:val="bottom"/>
            <w:tcBorders>
              <w:top w:val="single" w:sz="8" w:color="0000EE"/>
            </w:tcBorders>
          </w:tcPr>
          <w:p>
            <w:pPr>
              <w:jc w:val="center"/>
              <w:spacing w:after="0"/>
              <w:rPr>
                <w:sz w:val="20"/>
                <w:szCs w:val="20"/>
                <w:color w:val="auto"/>
              </w:rPr>
            </w:pPr>
            <w:r>
              <w:rPr>
                <w:rFonts w:ascii="Arial" w:cs="Arial" w:eastAsia="Arial" w:hAnsi="Arial"/>
                <w:sz w:val="16"/>
                <w:szCs w:val="16"/>
                <w:color w:val="0000EE"/>
              </w:rPr>
              <w:t>123</w:t>
            </w:r>
          </w:p>
        </w:tc>
        <w:tc>
          <w:tcPr>
            <w:tcW w:w="9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8900" w:type="dxa"/>
            <w:vAlign w:val="bottom"/>
            <w:gridSpan w:val="9"/>
          </w:tcPr>
          <w:p>
            <w:pPr>
              <w:spacing w:after="0"/>
              <w:rPr>
                <w:sz w:val="20"/>
                <w:szCs w:val="20"/>
                <w:color w:val="auto"/>
              </w:rPr>
            </w:pPr>
            <w:r>
              <w:rPr>
                <w:rFonts w:ascii="Arial" w:cs="Arial" w:eastAsia="Arial" w:hAnsi="Arial"/>
                <w:sz w:val="16"/>
                <w:szCs w:val="16"/>
                <w:color w:val="0000EE"/>
              </w:rPr>
              <w:t>APPENDIX A: RALPH LAUREN CORPORATION DEFINITION OF “INDEPENDENT” DIRECTORS</w:t>
            </w:r>
          </w:p>
        </w:tc>
        <w:tc>
          <w:tcPr>
            <w:tcW w:w="1200" w:type="dxa"/>
            <w:vAlign w:val="bottom"/>
            <w:gridSpan w:val="2"/>
          </w:tcPr>
          <w:p>
            <w:pPr>
              <w:jc w:val="center"/>
              <w:ind w:right="920"/>
              <w:spacing w:after="0"/>
              <w:rPr>
                <w:sz w:val="20"/>
                <w:szCs w:val="20"/>
                <w:color w:val="auto"/>
              </w:rPr>
            </w:pPr>
            <w:r>
              <w:rPr>
                <w:rFonts w:ascii="Arial" w:cs="Arial" w:eastAsia="Arial" w:hAnsi="Arial"/>
                <w:sz w:val="16"/>
                <w:szCs w:val="16"/>
                <w:color w:val="0000EE"/>
              </w:rPr>
              <w:t>124</w:t>
            </w:r>
          </w:p>
        </w:tc>
      </w:tr>
      <w:tr>
        <w:trPr>
          <w:trHeight w:val="331"/>
        </w:trPr>
        <w:tc>
          <w:tcPr>
            <w:tcW w:w="920" w:type="dxa"/>
            <w:vAlign w:val="bottom"/>
          </w:tcPr>
          <w:p>
            <w:pPr>
              <w:spacing w:after="0"/>
              <w:rPr>
                <w:sz w:val="24"/>
                <w:szCs w:val="24"/>
                <w:color w:val="auto"/>
              </w:rPr>
            </w:pPr>
          </w:p>
        </w:tc>
        <w:tc>
          <w:tcPr>
            <w:tcW w:w="7080" w:type="dxa"/>
            <w:vAlign w:val="bottom"/>
            <w:tcBorders>
              <w:top w:val="single" w:sz="8" w:color="0000EE"/>
            </w:tcBorders>
            <w:gridSpan w:val="8"/>
          </w:tcPr>
          <w:p>
            <w:pPr>
              <w:spacing w:after="0"/>
              <w:rPr>
                <w:sz w:val="20"/>
                <w:szCs w:val="20"/>
                <w:color w:val="auto"/>
              </w:rPr>
            </w:pPr>
            <w:r>
              <w:rPr>
                <w:rFonts w:ascii="Arial" w:cs="Arial" w:eastAsia="Arial" w:hAnsi="Arial"/>
                <w:sz w:val="16"/>
                <w:szCs w:val="16"/>
                <w:color w:val="0000EE"/>
              </w:rPr>
              <w:t>APPENDIX B: RECONCILIATION OF CERTAIN NON-U.S. GAAP FINANCIAL MEASURES</w:t>
            </w:r>
          </w:p>
        </w:tc>
        <w:tc>
          <w:tcPr>
            <w:tcW w:w="1820" w:type="dxa"/>
            <w:vAlign w:val="bottom"/>
          </w:tcPr>
          <w:p>
            <w:pPr>
              <w:spacing w:after="0"/>
              <w:rPr>
                <w:sz w:val="24"/>
                <w:szCs w:val="24"/>
                <w:color w:val="auto"/>
              </w:rPr>
            </w:pPr>
          </w:p>
        </w:tc>
        <w:tc>
          <w:tcPr>
            <w:tcW w:w="280" w:type="dxa"/>
            <w:vAlign w:val="bottom"/>
            <w:tcBorders>
              <w:top w:val="single" w:sz="8" w:color="0000EE"/>
            </w:tcBorders>
          </w:tcPr>
          <w:p>
            <w:pPr>
              <w:jc w:val="center"/>
              <w:spacing w:after="0"/>
              <w:rPr>
                <w:sz w:val="20"/>
                <w:szCs w:val="20"/>
                <w:color w:val="auto"/>
              </w:rPr>
            </w:pPr>
            <w:r>
              <w:rPr>
                <w:rFonts w:ascii="Arial" w:cs="Arial" w:eastAsia="Arial" w:hAnsi="Arial"/>
                <w:sz w:val="16"/>
                <w:szCs w:val="16"/>
                <w:color w:val="0000EE"/>
              </w:rPr>
              <w:t>126</w:t>
            </w:r>
          </w:p>
        </w:tc>
        <w:tc>
          <w:tcPr>
            <w:tcW w:w="920" w:type="dxa"/>
            <w:vAlign w:val="bottom"/>
          </w:tcPr>
          <w:p>
            <w:pPr>
              <w:spacing w:after="0"/>
              <w:rPr>
                <w:sz w:val="24"/>
                <w:szCs w:val="24"/>
                <w:color w:val="auto"/>
              </w:rPr>
            </w:pPr>
          </w:p>
        </w:tc>
      </w:tr>
      <w:tr>
        <w:trPr>
          <w:trHeight w:val="277"/>
        </w:trPr>
        <w:tc>
          <w:tcPr>
            <w:tcW w:w="920" w:type="dxa"/>
            <w:vAlign w:val="bottom"/>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1100" w:type="dxa"/>
            <w:vAlign w:val="bottom"/>
            <w:tcBorders>
              <w:top w:val="single" w:sz="8" w:color="0000EE"/>
              <w:bottom w:val="single" w:sz="8" w:color="808080"/>
            </w:tcBorders>
          </w:tcPr>
          <w:p>
            <w:pPr>
              <w:spacing w:after="0"/>
              <w:rPr>
                <w:sz w:val="24"/>
                <w:szCs w:val="24"/>
                <w:color w:val="auto"/>
              </w:rPr>
            </w:pPr>
          </w:p>
        </w:tc>
        <w:tc>
          <w:tcPr>
            <w:tcW w:w="320" w:type="dxa"/>
            <w:vAlign w:val="bottom"/>
            <w:tcBorders>
              <w:top w:val="single" w:sz="8" w:color="0000EE"/>
              <w:bottom w:val="single" w:sz="8" w:color="808080"/>
            </w:tcBorders>
          </w:tcPr>
          <w:p>
            <w:pPr>
              <w:spacing w:after="0"/>
              <w:rPr>
                <w:sz w:val="24"/>
                <w:szCs w:val="24"/>
                <w:color w:val="auto"/>
              </w:rPr>
            </w:pPr>
          </w:p>
        </w:tc>
        <w:tc>
          <w:tcPr>
            <w:tcW w:w="1860" w:type="dxa"/>
            <w:vAlign w:val="bottom"/>
            <w:tcBorders>
              <w:top w:val="single" w:sz="8" w:color="0000EE"/>
              <w:bottom w:val="single" w:sz="8" w:color="808080"/>
            </w:tcBorders>
          </w:tcPr>
          <w:p>
            <w:pPr>
              <w:spacing w:after="0"/>
              <w:rPr>
                <w:sz w:val="24"/>
                <w:szCs w:val="24"/>
                <w:color w:val="auto"/>
              </w:rPr>
            </w:pPr>
          </w:p>
        </w:tc>
        <w:tc>
          <w:tcPr>
            <w:tcW w:w="540" w:type="dxa"/>
            <w:vAlign w:val="bottom"/>
            <w:tcBorders>
              <w:top w:val="single" w:sz="8" w:color="0000EE"/>
              <w:bottom w:val="single" w:sz="8" w:color="808080"/>
            </w:tcBorders>
          </w:tcPr>
          <w:p>
            <w:pPr>
              <w:spacing w:after="0"/>
              <w:rPr>
                <w:sz w:val="24"/>
                <w:szCs w:val="24"/>
                <w:color w:val="auto"/>
              </w:rPr>
            </w:pPr>
          </w:p>
        </w:tc>
        <w:tc>
          <w:tcPr>
            <w:tcW w:w="1040" w:type="dxa"/>
            <w:vAlign w:val="bottom"/>
            <w:tcBorders>
              <w:top w:val="single" w:sz="8" w:color="0000EE"/>
              <w:bottom w:val="single" w:sz="8" w:color="808080"/>
            </w:tcBorders>
          </w:tcPr>
          <w:p>
            <w:pPr>
              <w:spacing w:after="0"/>
              <w:rPr>
                <w:sz w:val="24"/>
                <w:szCs w:val="24"/>
                <w:color w:val="auto"/>
              </w:rPr>
            </w:pPr>
          </w:p>
        </w:tc>
        <w:tc>
          <w:tcPr>
            <w:tcW w:w="1320" w:type="dxa"/>
            <w:vAlign w:val="bottom"/>
            <w:tcBorders>
              <w:top w:val="single" w:sz="8" w:color="0000EE"/>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80" w:type="dxa"/>
            <w:vAlign w:val="bottom"/>
            <w:tcBorders>
              <w:top w:val="single" w:sz="8" w:color="0000EE"/>
              <w:bottom w:val="single" w:sz="8" w:color="808080"/>
            </w:tcBorders>
          </w:tcPr>
          <w:p>
            <w:pPr>
              <w:spacing w:after="0"/>
              <w:rPr>
                <w:sz w:val="24"/>
                <w:szCs w:val="24"/>
                <w:color w:val="auto"/>
              </w:rPr>
            </w:pPr>
          </w:p>
        </w:tc>
        <w:tc>
          <w:tcPr>
            <w:tcW w:w="920" w:type="dxa"/>
            <w:vAlign w:val="bottom"/>
          </w:tcPr>
          <w:p>
            <w:pPr>
              <w:spacing w:after="0"/>
              <w:rPr>
                <w:sz w:val="24"/>
                <w:szCs w:val="24"/>
                <w:color w:val="auto"/>
              </w:rPr>
            </w:pPr>
          </w:p>
        </w:tc>
      </w:tr>
      <w:tr>
        <w:trPr>
          <w:trHeight w:val="423"/>
        </w:trPr>
        <w:tc>
          <w:tcPr>
            <w:tcW w:w="920" w:type="dxa"/>
            <w:vAlign w:val="bottom"/>
          </w:tcPr>
          <w:p>
            <w:pPr>
              <w:spacing w:after="0"/>
              <w:rPr>
                <w:sz w:val="24"/>
                <w:szCs w:val="24"/>
                <w:color w:val="auto"/>
              </w:rPr>
            </w:pPr>
          </w:p>
        </w:tc>
        <w:tc>
          <w:tcPr>
            <w:tcW w:w="8900" w:type="dxa"/>
            <w:vAlign w:val="bottom"/>
            <w:gridSpan w:val="9"/>
          </w:tcPr>
          <w:p>
            <w:pPr>
              <w:spacing w:after="0"/>
              <w:rPr>
                <w:sz w:val="20"/>
                <w:szCs w:val="20"/>
                <w:color w:val="auto"/>
              </w:rPr>
            </w:pPr>
            <w:r>
              <w:rPr>
                <w:rFonts w:ascii="Arial" w:cs="Arial" w:eastAsia="Arial" w:hAnsi="Arial"/>
                <w:sz w:val="14"/>
                <w:szCs w:val="14"/>
                <w:b w:val="1"/>
                <w:bCs w:val="1"/>
                <w:color w:val="001641"/>
              </w:rPr>
              <w:t xml:space="preserve">viii </w:t>
            </w:r>
            <w:r>
              <w:rPr>
                <w:rFonts w:ascii="Arial" w:cs="Arial" w:eastAsia="Arial" w:hAnsi="Arial"/>
                <w:sz w:val="14"/>
                <w:szCs w:val="14"/>
                <w:color w:val="808080"/>
              </w:rPr>
              <w:t>Ralph Lauren 2026 Proxy Statement</w:t>
            </w:r>
          </w:p>
        </w:tc>
        <w:tc>
          <w:tcPr>
            <w:tcW w:w="1200" w:type="dxa"/>
            <w:vAlign w:val="bottom"/>
            <w:gridSpan w:val="2"/>
          </w:tcPr>
          <w:p>
            <w:pPr>
              <w:jc w:val="center"/>
              <w:ind w:right="900"/>
              <w:spacing w:after="0"/>
              <w:rPr>
                <w:sz w:val="20"/>
                <w:szCs w:val="20"/>
                <w:color w:val="auto"/>
              </w:rPr>
            </w:pPr>
            <w:r>
              <w:rPr>
                <w:rFonts w:ascii="Arial" w:cs="Arial" w:eastAsia="Arial" w:hAnsi="Arial"/>
                <w:sz w:val="14"/>
                <w:szCs w:val="14"/>
                <w:color w:val="808080"/>
              </w:rPr>
              <w:t xml:space="preserve">    </w:t>
            </w:r>
          </w:p>
        </w:tc>
      </w:tr>
      <w:tr>
        <w:trPr>
          <w:trHeight w:val="158"/>
        </w:trPr>
        <w:tc>
          <w:tcPr>
            <w:tcW w:w="9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-256540</wp:posOffset>
            </wp:positionV>
            <wp:extent cx="128905" cy="1111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58293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53"/>
          <w:szCs w:val="53"/>
          <w:color w:val="001641"/>
        </w:rPr>
        <w:t>Proxy Summary</w:t>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27"/>
          <w:szCs w:val="27"/>
          <w:color w:val="BFA071"/>
        </w:rPr>
        <w:t>This summary highlights information contained elsewhere in this Proxy Statement. For more complete information about these topics, please review our Annual Report on Form 10-K for Fiscal 2026 and this entire Proxy Statement.</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are mailing the Notice of 2026 Annual Meeting of Stockholders and instructions on how to access this Proxy Statement (or, for those who request it, a hard copy of this Proxy Statement and the enclosed form of proxy) to our stockholders on or about 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43891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b w:val="1"/>
          <w:bCs w:val="1"/>
          <w:color w:val="001641"/>
        </w:rPr>
        <w:t>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-155575</wp:posOffset>
            </wp:positionV>
            <wp:extent cx="12344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July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1335405</wp:posOffset>
            </wp:positionV>
            <wp:extent cx="12344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887" w:lineRule="exact"/>
        <w:rPr>
          <w:sz w:val="20"/>
          <w:szCs w:val="20"/>
          <w:color w:val="auto"/>
        </w:rPr>
      </w:pPr>
    </w:p>
    <w:p>
      <w:pPr>
        <w:sectPr>
          <w:pgSz w:w="11900" w:h="16838" w:orient="portrait"/>
          <w:cols w:equalWidth="0" w:num="2">
            <w:col w:w="6700" w:space="540"/>
            <w:col w:w="1940"/>
          </w:cols>
          <w:pgMar w:left="1360" w:top="114" w:right="1359"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ABOUT RALPH LAUREN</w:t>
      </w:r>
    </w:p>
    <w:p>
      <w:pPr>
        <w:spacing w:after="0" w:line="15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Ralph Lauren Corporation (NYSE: RL) is a global leader in the design, marketing, and distribution of luxury lifestyle products in several categories: apparel, handbags, footwear &amp; accessories, fragrances, home, and hospitality. For nearly 60 years, Ralph Lauren has sought to inspire the dream of a better life through authenticity and timeless style. Its reputation and distinctive image have been developed across a wide range of products, brands, distribution channels and international markets. The Company’s brand names — which include Ralph Lauren, Ralph Lauren Collection, Ralph Lauren Purple Label, Double RL, Polo Ralph Lauren, Lauren Ralph Lauren, Polo Ralph Lauren Children and Chaps, among others — constitute one of the world’s most widely recognized families of consumer brands. For more information, go to http://investor.ralphlauren.com.</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001641"/>
        </w:rPr>
        <w:t>MEETING TIME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9:00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1549400</wp:posOffset>
            </wp:positionV>
            <wp:extent cx="12344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180" w:lineRule="exact"/>
        <w:rPr>
          <w:sz w:val="20"/>
          <w:szCs w:val="20"/>
          <w:color w:val="auto"/>
        </w:rPr>
      </w:pPr>
    </w:p>
    <w:p>
      <w:pPr>
        <w:sectPr>
          <w:pgSz w:w="11900" w:h="16838" w:orient="portrait"/>
          <w:cols w:equalWidth="0" w:num="2">
            <w:col w:w="6880" w:space="360"/>
            <w:col w:w="1940"/>
          </w:cols>
          <w:pgMar w:left="1360" w:top="114" w:right="1359"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SOLICITATION</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This Proxy Statement is furnished in connection with the solicitation of proxies by the Board of Directors (the “Board”) of the Company, for use in connection with the Annual Meeting of the Company’s Stockholders to be held on July 30, 2026 (the “2026 Annual Meeting”). This Proxy Statement, the accompanying Notice of Annual Meeting, proxy card, and the Company’s 2026 Annual Report on Form 10-K, or alternatively a Notice of Internet Availability of Proxy Materials (the “Notice of Internet Availability”), will be mailed to stockholders on or about June 18, 2026. The Board is soliciting your proxy in an effort to give all stockholders of record the opportunity to vote on matters that will be presented at the 2026 Annual Meeting. This Proxy Statement provides you with information on these matters to assist you in voting your shares.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58293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286385</wp:posOffset>
            </wp:positionV>
            <wp:extent cx="128905" cy="111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001641"/>
        </w:rPr>
        <w:t>MEETING LOCATION</w:t>
      </w:r>
    </w:p>
    <w:p>
      <w:pPr>
        <w:spacing w:after="0" w:line="55" w:lineRule="exact"/>
        <w:rPr>
          <w:sz w:val="20"/>
          <w:szCs w:val="20"/>
          <w:color w:val="auto"/>
        </w:rPr>
      </w:pPr>
    </w:p>
    <w:p>
      <w:pPr>
        <w:ind w:right="320"/>
        <w:spacing w:after="0" w:line="259" w:lineRule="auto"/>
        <w:rPr>
          <w:sz w:val="20"/>
          <w:szCs w:val="20"/>
          <w:color w:val="auto"/>
        </w:rPr>
      </w:pPr>
      <w:r>
        <w:rPr>
          <w:rFonts w:ascii="Arial" w:cs="Arial" w:eastAsia="Arial" w:hAnsi="Arial"/>
          <w:sz w:val="14"/>
          <w:szCs w:val="14"/>
          <w:color w:val="auto"/>
        </w:rPr>
        <w:t xml:space="preserve">Held virtually online via live webcast at </w:t>
      </w:r>
      <w:r>
        <w:rPr>
          <w:rFonts w:ascii="Arial" w:cs="Arial" w:eastAsia="Arial" w:hAnsi="Arial"/>
          <w:sz w:val="14"/>
          <w:szCs w:val="14"/>
          <w:b w:val="1"/>
          <w:bCs w:val="1"/>
          <w:color w:val="auto"/>
        </w:rPr>
        <w:t>www.virtualshareholder meeting.com/RL2026</w:t>
      </w:r>
    </w:p>
    <w:p>
      <w:pPr>
        <w:spacing w:after="0" w:line="1763" w:lineRule="exact"/>
        <w:rPr>
          <w:sz w:val="20"/>
          <w:szCs w:val="20"/>
          <w:color w:val="auto"/>
        </w:rPr>
      </w:pPr>
    </w:p>
    <w:p>
      <w:pPr>
        <w:sectPr>
          <w:pgSz w:w="11900" w:h="16838" w:orient="portrait"/>
          <w:cols w:equalWidth="0" w:num="2">
            <w:col w:w="6860" w:space="380"/>
            <w:col w:w="1940"/>
          </w:cols>
          <w:pgMar w:left="1360" w:top="114" w:right="1359" w:bottom="1440" w:gutter="0" w:footer="0" w:header="0"/>
          <w:type w:val="continuous"/>
        </w:sectPr>
      </w:pPr>
    </w:p>
    <w:p>
      <w:pPr>
        <w:spacing w:after="0" w:line="255" w:lineRule="exact"/>
        <w:rPr>
          <w:sz w:val="20"/>
          <w:szCs w:val="20"/>
          <w:color w:val="auto"/>
        </w:rPr>
      </w:pPr>
    </w:p>
    <w:p>
      <w:pPr>
        <w:ind w:left="6540"/>
        <w:spacing w:after="0"/>
        <w:tabs>
          <w:tab w:leader="none" w:pos="908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VIRTUAL STOCKHOLDER MEETING</w:t>
      </w:r>
    </w:p>
    <w:p>
      <w:pPr>
        <w:spacing w:after="0" w:line="153"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The 2026 Annual Meeting will be conducted exclusively online via live webcast, allowing all of our stockholders the option to participate in the live, online meeting from any location convenient to them, providing stockholder access to our Board and management and enhancing participation.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 xml:space="preserve">Stockholders at the close of business on June 2, 2026 will be allowed to communicate with us and ask questions in our virtual stockholder meeting forum before and during the meeting. All directors and key executive officers are expected to participate in the meeting, and we are committed to acknowledging each question we receive. For further information on the virtual meeting, please see the “Questions and Answers About the Annual Meeting and Voting” section on page </w:t>
      </w:r>
      <w:r>
        <w:rPr>
          <w:rFonts w:ascii="Arial" w:cs="Arial" w:eastAsia="Arial" w:hAnsi="Arial"/>
          <w:sz w:val="16"/>
          <w:szCs w:val="16"/>
          <w:u w:val="single" w:color="auto"/>
          <w:color w:val="0000EE"/>
        </w:rPr>
        <w:t>118</w:t>
      </w:r>
      <w:r>
        <w:rPr>
          <w:rFonts w:ascii="Arial" w:cs="Arial" w:eastAsia="Arial" w:hAnsi="Arial"/>
          <w:sz w:val="16"/>
          <w:szCs w:val="16"/>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58293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gridSpan w:val="3"/>
          </w:tcPr>
          <w:p>
            <w:pPr>
              <w:ind w:left="120"/>
              <w:spacing w:after="0"/>
              <w:rPr>
                <w:sz w:val="20"/>
                <w:szCs w:val="20"/>
                <w:color w:val="auto"/>
              </w:rPr>
            </w:pPr>
            <w:r>
              <w:rPr>
                <w:rFonts w:ascii="Arial" w:cs="Arial" w:eastAsia="Arial" w:hAnsi="Arial"/>
                <w:sz w:val="14"/>
                <w:szCs w:val="14"/>
                <w:b w:val="1"/>
                <w:bCs w:val="1"/>
                <w:color w:val="001641"/>
              </w:rPr>
              <w:t>Thursday, July 30, 2026</w:t>
            </w:r>
          </w:p>
        </w:tc>
        <w:tc>
          <w:tcPr>
            <w:tcW w:w="3920" w:type="dxa"/>
            <w:vAlign w:val="bottom"/>
          </w:tcPr>
          <w:p>
            <w:pPr>
              <w:ind w:left="1220"/>
              <w:spacing w:after="0"/>
              <w:rPr>
                <w:sz w:val="20"/>
                <w:szCs w:val="20"/>
                <w:color w:val="auto"/>
              </w:rPr>
            </w:pPr>
            <w:r>
              <w:rPr>
                <w:rFonts w:ascii="Arial" w:cs="Arial" w:eastAsia="Arial" w:hAnsi="Arial"/>
                <w:sz w:val="14"/>
                <w:szCs w:val="14"/>
                <w:b w:val="1"/>
                <w:bCs w:val="1"/>
                <w:color w:val="001641"/>
              </w:rPr>
              <w:t>Held virtually online via live webcast at</w:t>
            </w:r>
          </w:p>
        </w:tc>
      </w:tr>
      <w:tr>
        <w:trPr>
          <w:trHeight w:val="205"/>
        </w:trPr>
        <w:tc>
          <w:tcPr>
            <w:tcW w:w="5260" w:type="dxa"/>
            <w:vAlign w:val="bottom"/>
            <w:tcBorders>
              <w:bottom w:val="single" w:sz="8" w:color="BFA071"/>
            </w:tcBorders>
            <w:gridSpan w:val="3"/>
          </w:tcPr>
          <w:p>
            <w:pPr>
              <w:ind w:left="120"/>
              <w:spacing w:after="0"/>
              <w:rPr>
                <w:sz w:val="20"/>
                <w:szCs w:val="20"/>
                <w:color w:val="auto"/>
              </w:rPr>
            </w:pPr>
            <w:r>
              <w:rPr>
                <w:rFonts w:ascii="Arial" w:cs="Arial" w:eastAsia="Arial" w:hAnsi="Arial"/>
                <w:sz w:val="14"/>
                <w:szCs w:val="14"/>
                <w:b w:val="1"/>
                <w:bCs w:val="1"/>
                <w:color w:val="001641"/>
              </w:rPr>
              <w:t>9:00 a.m. Eastern Time</w:t>
            </w:r>
          </w:p>
        </w:tc>
        <w:tc>
          <w:tcPr>
            <w:tcW w:w="3920" w:type="dxa"/>
            <w:vAlign w:val="bottom"/>
            <w:tcBorders>
              <w:bottom w:val="single" w:sz="8" w:color="BFA071"/>
            </w:tcBorders>
          </w:tcPr>
          <w:p>
            <w:pPr>
              <w:ind w:left="840"/>
              <w:spacing w:after="0"/>
              <w:rPr>
                <w:sz w:val="20"/>
                <w:szCs w:val="20"/>
                <w:color w:val="auto"/>
              </w:rPr>
            </w:pPr>
            <w:r>
              <w:rPr>
                <w:rFonts w:ascii="Arial" w:cs="Arial" w:eastAsia="Arial" w:hAnsi="Arial"/>
                <w:sz w:val="14"/>
                <w:szCs w:val="14"/>
                <w:b w:val="1"/>
                <w:bCs w:val="1"/>
                <w:color w:val="001641"/>
              </w:rPr>
              <w:t>www.virtualshareholdermeeting.com/RL2026</w:t>
            </w:r>
          </w:p>
        </w:tc>
      </w:tr>
      <w:tr>
        <w:trPr>
          <w:trHeight w:val="180"/>
        </w:trPr>
        <w:tc>
          <w:tcPr>
            <w:tcW w:w="1260" w:type="dxa"/>
            <w:vAlign w:val="bottom"/>
          </w:tcPr>
          <w:p>
            <w:pPr>
              <w:ind w:left="120"/>
              <w:spacing w:after="0"/>
              <w:rPr>
                <w:sz w:val="20"/>
                <w:szCs w:val="20"/>
                <w:color w:val="auto"/>
              </w:rPr>
            </w:pPr>
            <w:r>
              <w:rPr>
                <w:rFonts w:ascii="Arial" w:cs="Arial" w:eastAsia="Arial" w:hAnsi="Arial"/>
                <w:sz w:val="14"/>
                <w:szCs w:val="14"/>
                <w:b w:val="1"/>
                <w:bCs w:val="1"/>
                <w:color w:val="001641"/>
              </w:rPr>
              <w:t>Record Date:</w:t>
            </w:r>
          </w:p>
        </w:tc>
        <w:tc>
          <w:tcPr>
            <w:tcW w:w="260" w:type="dxa"/>
            <w:vAlign w:val="bottom"/>
          </w:tcPr>
          <w:p>
            <w:pPr>
              <w:ind w:left="120"/>
              <w:spacing w:after="0"/>
              <w:rPr>
                <w:sz w:val="20"/>
                <w:szCs w:val="20"/>
                <w:color w:val="auto"/>
              </w:rPr>
            </w:pPr>
            <w:r>
              <w:rPr>
                <w:rFonts w:ascii="Arial" w:cs="Arial" w:eastAsia="Arial" w:hAnsi="Arial"/>
                <w:sz w:val="12"/>
                <w:szCs w:val="12"/>
                <w:color w:val="001641"/>
                <w:w w:val="73"/>
              </w:rPr>
              <w:t>• </w:t>
            </w:r>
          </w:p>
        </w:tc>
        <w:tc>
          <w:tcPr>
            <w:tcW w:w="3740" w:type="dxa"/>
            <w:vAlign w:val="bottom"/>
          </w:tcPr>
          <w:p>
            <w:pPr>
              <w:ind w:left="40"/>
              <w:spacing w:after="0"/>
              <w:rPr>
                <w:sz w:val="20"/>
                <w:szCs w:val="20"/>
                <w:color w:val="auto"/>
              </w:rPr>
            </w:pPr>
            <w:r>
              <w:rPr>
                <w:rFonts w:ascii="Arial" w:cs="Arial" w:eastAsia="Arial" w:hAnsi="Arial"/>
                <w:sz w:val="14"/>
                <w:szCs w:val="14"/>
                <w:color w:val="001641"/>
              </w:rPr>
              <w:t>Close of business on June 2, 2026, (the</w:t>
            </w:r>
          </w:p>
        </w:tc>
        <w:tc>
          <w:tcPr>
            <w:tcW w:w="3920" w:type="dxa"/>
            <w:vAlign w:val="bottom"/>
          </w:tcPr>
          <w:p>
            <w:pPr>
              <w:spacing w:after="0"/>
              <w:rPr>
                <w:sz w:val="15"/>
                <w:szCs w:val="15"/>
                <w:color w:val="auto"/>
              </w:rPr>
            </w:pPr>
          </w:p>
        </w:tc>
      </w:tr>
      <w:tr>
        <w:trPr>
          <w:trHeight w:val="190"/>
        </w:trPr>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40" w:type="dxa"/>
            <w:vAlign w:val="bottom"/>
          </w:tcPr>
          <w:p>
            <w:pPr>
              <w:ind w:left="40"/>
              <w:spacing w:after="0"/>
              <w:rPr>
                <w:sz w:val="20"/>
                <w:szCs w:val="20"/>
                <w:color w:val="auto"/>
              </w:rPr>
            </w:pPr>
            <w:r>
              <w:rPr>
                <w:rFonts w:ascii="Arial" w:cs="Arial" w:eastAsia="Arial" w:hAnsi="Arial"/>
                <w:sz w:val="14"/>
                <w:szCs w:val="14"/>
                <w:color w:val="001641"/>
              </w:rPr>
              <w:t>“Record Date”).</w:t>
            </w:r>
          </w:p>
        </w:tc>
        <w:tc>
          <w:tcPr>
            <w:tcW w:w="3920" w:type="dxa"/>
            <w:vAlign w:val="bottom"/>
          </w:tcPr>
          <w:p>
            <w:pPr>
              <w:spacing w:after="0"/>
              <w:rPr>
                <w:sz w:val="16"/>
                <w:szCs w:val="16"/>
                <w:color w:val="auto"/>
              </w:rPr>
            </w:pPr>
          </w:p>
        </w:tc>
      </w:tr>
      <w:tr>
        <w:trPr>
          <w:trHeight w:val="49"/>
        </w:trPr>
        <w:tc>
          <w:tcPr>
            <w:tcW w:w="1260" w:type="dxa"/>
            <w:vAlign w:val="bottom"/>
            <w:tcBorders>
              <w:bottom w:val="single" w:sz="8" w:color="BFA071"/>
            </w:tcBorders>
          </w:tcPr>
          <w:p>
            <w:pPr>
              <w:spacing w:after="0"/>
              <w:rPr>
                <w:sz w:val="4"/>
                <w:szCs w:val="4"/>
                <w:color w:val="auto"/>
              </w:rPr>
            </w:pPr>
          </w:p>
        </w:tc>
        <w:tc>
          <w:tcPr>
            <w:tcW w:w="260" w:type="dxa"/>
            <w:vAlign w:val="bottom"/>
            <w:tcBorders>
              <w:bottom w:val="single" w:sz="8" w:color="BFA071"/>
            </w:tcBorders>
          </w:tcPr>
          <w:p>
            <w:pPr>
              <w:spacing w:after="0"/>
              <w:rPr>
                <w:sz w:val="4"/>
                <w:szCs w:val="4"/>
                <w:color w:val="auto"/>
              </w:rPr>
            </w:pPr>
          </w:p>
        </w:tc>
        <w:tc>
          <w:tcPr>
            <w:tcW w:w="3740" w:type="dxa"/>
            <w:vAlign w:val="bottom"/>
            <w:tcBorders>
              <w:bottom w:val="single" w:sz="8" w:color="BFA071"/>
            </w:tcBorders>
          </w:tcPr>
          <w:p>
            <w:pPr>
              <w:spacing w:after="0"/>
              <w:rPr>
                <w:sz w:val="4"/>
                <w:szCs w:val="4"/>
                <w:color w:val="auto"/>
              </w:rPr>
            </w:pPr>
          </w:p>
        </w:tc>
        <w:tc>
          <w:tcPr>
            <w:tcW w:w="3920" w:type="dxa"/>
            <w:vAlign w:val="bottom"/>
            <w:tcBorders>
              <w:bottom w:val="single" w:sz="8" w:color="BFA071"/>
            </w:tcBorders>
          </w:tcPr>
          <w:p>
            <w:pPr>
              <w:spacing w:after="0"/>
              <w:rPr>
                <w:sz w:val="4"/>
                <w:szCs w:val="4"/>
                <w:color w:val="auto"/>
              </w:rPr>
            </w:pPr>
          </w:p>
        </w:tc>
      </w:tr>
      <w:tr>
        <w:trPr>
          <w:trHeight w:val="214"/>
        </w:trPr>
        <w:tc>
          <w:tcPr>
            <w:tcW w:w="1260" w:type="dxa"/>
            <w:vAlign w:val="bottom"/>
          </w:tcPr>
          <w:p>
            <w:pPr>
              <w:ind w:left="120"/>
              <w:spacing w:after="0"/>
              <w:rPr>
                <w:sz w:val="20"/>
                <w:szCs w:val="20"/>
                <w:color w:val="auto"/>
              </w:rPr>
            </w:pPr>
            <w:r>
              <w:rPr>
                <w:rFonts w:ascii="Arial" w:cs="Arial" w:eastAsia="Arial" w:hAnsi="Arial"/>
                <w:sz w:val="14"/>
                <w:szCs w:val="14"/>
                <w:b w:val="1"/>
                <w:bCs w:val="1"/>
                <w:color w:val="001641"/>
              </w:rPr>
              <w:t>Participating in</w:t>
            </w:r>
          </w:p>
        </w:tc>
        <w:tc>
          <w:tcPr>
            <w:tcW w:w="260" w:type="dxa"/>
            <w:vAlign w:val="bottom"/>
          </w:tcPr>
          <w:p>
            <w:pPr>
              <w:ind w:left="120"/>
              <w:spacing w:after="0"/>
              <w:rPr>
                <w:sz w:val="20"/>
                <w:szCs w:val="20"/>
                <w:color w:val="auto"/>
              </w:rPr>
            </w:pPr>
            <w:r>
              <w:rPr>
                <w:rFonts w:ascii="Arial" w:cs="Arial" w:eastAsia="Arial" w:hAnsi="Arial"/>
                <w:sz w:val="12"/>
                <w:szCs w:val="12"/>
                <w:color w:val="001641"/>
                <w:w w:val="73"/>
              </w:rPr>
              <w:t>• </w:t>
            </w:r>
          </w:p>
        </w:tc>
        <w:tc>
          <w:tcPr>
            <w:tcW w:w="3740" w:type="dxa"/>
            <w:vAlign w:val="bottom"/>
          </w:tcPr>
          <w:p>
            <w:pPr>
              <w:ind w:left="40"/>
              <w:spacing w:after="0"/>
              <w:rPr>
                <w:sz w:val="20"/>
                <w:szCs w:val="20"/>
                <w:color w:val="auto"/>
              </w:rPr>
            </w:pPr>
            <w:r>
              <w:rPr>
                <w:rFonts w:ascii="Arial" w:cs="Arial" w:eastAsia="Arial" w:hAnsi="Arial"/>
                <w:sz w:val="14"/>
                <w:szCs w:val="14"/>
                <w:color w:val="001641"/>
              </w:rPr>
              <w:t>We invite you to join the 2026 Annual</w:t>
            </w:r>
          </w:p>
        </w:tc>
        <w:tc>
          <w:tcPr>
            <w:tcW w:w="3920" w:type="dxa"/>
            <w:vAlign w:val="bottom"/>
          </w:tcPr>
          <w:p>
            <w:pPr>
              <w:ind w:left="820"/>
              <w:spacing w:after="0"/>
              <w:rPr>
                <w:sz w:val="20"/>
                <w:szCs w:val="20"/>
                <w:color w:val="auto"/>
              </w:rPr>
            </w:pPr>
            <w:r>
              <w:rPr>
                <w:rFonts w:ascii="Arial" w:cs="Arial" w:eastAsia="Arial" w:hAnsi="Arial"/>
                <w:sz w:val="14"/>
                <w:szCs w:val="14"/>
                <w:color w:val="001641"/>
              </w:rPr>
              <w:t>•   Please note that stockholders will need their</w:t>
            </w:r>
          </w:p>
        </w:tc>
      </w:tr>
      <w:tr>
        <w:trPr>
          <w:trHeight w:val="162"/>
        </w:trPr>
        <w:tc>
          <w:tcPr>
            <w:tcW w:w="1260" w:type="dxa"/>
            <w:vAlign w:val="bottom"/>
          </w:tcPr>
          <w:p>
            <w:pPr>
              <w:ind w:left="120"/>
              <w:spacing w:after="0"/>
              <w:rPr>
                <w:sz w:val="20"/>
                <w:szCs w:val="20"/>
                <w:color w:val="auto"/>
              </w:rPr>
            </w:pPr>
            <w:r>
              <w:rPr>
                <w:rFonts w:ascii="Arial" w:cs="Arial" w:eastAsia="Arial" w:hAnsi="Arial"/>
                <w:sz w:val="14"/>
                <w:szCs w:val="14"/>
                <w:b w:val="1"/>
                <w:bCs w:val="1"/>
                <w:color w:val="001641"/>
              </w:rPr>
              <w:t>the Annual</w:t>
            </w:r>
          </w:p>
        </w:tc>
        <w:tc>
          <w:tcPr>
            <w:tcW w:w="26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Arial" w:cs="Arial" w:eastAsia="Arial" w:hAnsi="Arial"/>
                <w:sz w:val="14"/>
                <w:szCs w:val="14"/>
                <w:color w:val="001641"/>
              </w:rPr>
              <w:t>Meeting of Stockholders (the “2026 Annual</w:t>
            </w:r>
          </w:p>
        </w:tc>
        <w:tc>
          <w:tcPr>
            <w:tcW w:w="3920" w:type="dxa"/>
            <w:vAlign w:val="bottom"/>
          </w:tcPr>
          <w:p>
            <w:pPr>
              <w:ind w:left="1020"/>
              <w:spacing w:after="0"/>
              <w:rPr>
                <w:sz w:val="20"/>
                <w:szCs w:val="20"/>
                <w:color w:val="auto"/>
              </w:rPr>
            </w:pPr>
            <w:r>
              <w:rPr>
                <w:rFonts w:ascii="Arial" w:cs="Arial" w:eastAsia="Arial" w:hAnsi="Arial"/>
                <w:sz w:val="14"/>
                <w:szCs w:val="14"/>
                <w:color w:val="001641"/>
              </w:rPr>
              <w:t>unique control number which appears on</w:t>
            </w:r>
          </w:p>
        </w:tc>
      </w:tr>
      <w:tr>
        <w:trPr>
          <w:trHeight w:val="162"/>
        </w:trPr>
        <w:tc>
          <w:tcPr>
            <w:tcW w:w="1260" w:type="dxa"/>
            <w:vAlign w:val="bottom"/>
          </w:tcPr>
          <w:p>
            <w:pPr>
              <w:ind w:left="120"/>
              <w:spacing w:after="0"/>
              <w:rPr>
                <w:sz w:val="20"/>
                <w:szCs w:val="20"/>
                <w:color w:val="auto"/>
              </w:rPr>
            </w:pPr>
            <w:r>
              <w:rPr>
                <w:rFonts w:ascii="Arial" w:cs="Arial" w:eastAsia="Arial" w:hAnsi="Arial"/>
                <w:sz w:val="14"/>
                <w:szCs w:val="14"/>
                <w:b w:val="1"/>
                <w:bCs w:val="1"/>
                <w:color w:val="001641"/>
              </w:rPr>
              <w:t>Meeting:</w:t>
            </w:r>
          </w:p>
        </w:tc>
        <w:tc>
          <w:tcPr>
            <w:tcW w:w="26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Arial" w:cs="Arial" w:eastAsia="Arial" w:hAnsi="Arial"/>
                <w:sz w:val="14"/>
                <w:szCs w:val="14"/>
                <w:color w:val="001641"/>
              </w:rPr>
              <w:t>Meeting” or “Meeting”) online via live</w:t>
            </w:r>
          </w:p>
        </w:tc>
        <w:tc>
          <w:tcPr>
            <w:tcW w:w="3920" w:type="dxa"/>
            <w:vAlign w:val="bottom"/>
          </w:tcPr>
          <w:p>
            <w:pPr>
              <w:ind w:left="1020"/>
              <w:spacing w:after="0"/>
              <w:rPr>
                <w:sz w:val="20"/>
                <w:szCs w:val="20"/>
                <w:color w:val="auto"/>
              </w:rPr>
            </w:pPr>
            <w:r>
              <w:rPr>
                <w:rFonts w:ascii="Arial" w:cs="Arial" w:eastAsia="Arial" w:hAnsi="Arial"/>
                <w:sz w:val="14"/>
                <w:szCs w:val="14"/>
                <w:color w:val="001641"/>
              </w:rPr>
              <w:t>their Notice of Internet Availability, the proxy</w:t>
            </w:r>
          </w:p>
        </w:tc>
      </w:tr>
      <w:tr>
        <w:trPr>
          <w:trHeight w:val="162"/>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Arial" w:cs="Arial" w:eastAsia="Arial" w:hAnsi="Arial"/>
                <w:sz w:val="14"/>
                <w:szCs w:val="14"/>
                <w:color w:val="001641"/>
              </w:rPr>
              <w:t>webcast. There will not be a physical</w:t>
            </w:r>
          </w:p>
        </w:tc>
        <w:tc>
          <w:tcPr>
            <w:tcW w:w="3920" w:type="dxa"/>
            <w:vAlign w:val="bottom"/>
          </w:tcPr>
          <w:p>
            <w:pPr>
              <w:ind w:left="1020"/>
              <w:spacing w:after="0"/>
              <w:rPr>
                <w:sz w:val="20"/>
                <w:szCs w:val="20"/>
                <w:color w:val="auto"/>
              </w:rPr>
            </w:pPr>
            <w:r>
              <w:rPr>
                <w:rFonts w:ascii="Arial" w:cs="Arial" w:eastAsia="Arial" w:hAnsi="Arial"/>
                <w:sz w:val="14"/>
                <w:szCs w:val="14"/>
                <w:color w:val="001641"/>
              </w:rPr>
              <w:t>card (printed in the box and marked by the</w:t>
            </w:r>
          </w:p>
        </w:tc>
      </w:tr>
      <w:tr>
        <w:trPr>
          <w:trHeight w:val="162"/>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Arial" w:cs="Arial" w:eastAsia="Arial" w:hAnsi="Arial"/>
                <w:sz w:val="14"/>
                <w:szCs w:val="14"/>
                <w:color w:val="001641"/>
              </w:rPr>
              <w:t>meeting in New York City. You will be able to</w:t>
            </w:r>
          </w:p>
        </w:tc>
        <w:tc>
          <w:tcPr>
            <w:tcW w:w="3920" w:type="dxa"/>
            <w:vAlign w:val="bottom"/>
          </w:tcPr>
          <w:p>
            <w:pPr>
              <w:ind w:left="1020"/>
              <w:spacing w:after="0"/>
              <w:rPr>
                <w:sz w:val="20"/>
                <w:szCs w:val="20"/>
                <w:color w:val="auto"/>
              </w:rPr>
            </w:pPr>
            <w:r>
              <w:rPr>
                <w:rFonts w:ascii="Arial" w:cs="Arial" w:eastAsia="Arial" w:hAnsi="Arial"/>
                <w:sz w:val="14"/>
                <w:szCs w:val="14"/>
                <w:color w:val="001641"/>
              </w:rPr>
              <w:t>arrow), and the instructions that</w:t>
            </w:r>
          </w:p>
        </w:tc>
      </w:tr>
      <w:tr>
        <w:trPr>
          <w:trHeight w:val="162"/>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Arial" w:cs="Arial" w:eastAsia="Arial" w:hAnsi="Arial"/>
                <w:sz w:val="14"/>
                <w:szCs w:val="14"/>
                <w:color w:val="001641"/>
              </w:rPr>
              <w:t>participate in the virtual Meeting online, vote</w:t>
            </w:r>
          </w:p>
        </w:tc>
        <w:tc>
          <w:tcPr>
            <w:tcW w:w="3920" w:type="dxa"/>
            <w:vAlign w:val="bottom"/>
          </w:tcPr>
          <w:p>
            <w:pPr>
              <w:ind w:left="1020"/>
              <w:spacing w:after="0"/>
              <w:rPr>
                <w:sz w:val="20"/>
                <w:szCs w:val="20"/>
                <w:color w:val="auto"/>
              </w:rPr>
            </w:pPr>
            <w:r>
              <w:rPr>
                <w:rFonts w:ascii="Arial" w:cs="Arial" w:eastAsia="Arial" w:hAnsi="Arial"/>
                <w:sz w:val="14"/>
                <w:szCs w:val="14"/>
                <w:color w:val="001641"/>
              </w:rPr>
              <w:t>accompanied the proxy materials in order to</w:t>
            </w:r>
          </w:p>
        </w:tc>
      </w:tr>
      <w:tr>
        <w:trPr>
          <w:trHeight w:val="162"/>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Arial" w:cs="Arial" w:eastAsia="Arial" w:hAnsi="Arial"/>
                <w:sz w:val="14"/>
                <w:szCs w:val="14"/>
                <w:color w:val="001641"/>
              </w:rPr>
              <w:t>your shares electronically, and submit your</w:t>
            </w:r>
          </w:p>
        </w:tc>
        <w:tc>
          <w:tcPr>
            <w:tcW w:w="3920" w:type="dxa"/>
            <w:vAlign w:val="bottom"/>
          </w:tcPr>
          <w:p>
            <w:pPr>
              <w:ind w:left="1020"/>
              <w:spacing w:after="0"/>
              <w:rPr>
                <w:sz w:val="20"/>
                <w:szCs w:val="20"/>
                <w:color w:val="auto"/>
              </w:rPr>
            </w:pPr>
            <w:r>
              <w:rPr>
                <w:rFonts w:ascii="Arial" w:cs="Arial" w:eastAsia="Arial" w:hAnsi="Arial"/>
                <w:sz w:val="14"/>
                <w:szCs w:val="14"/>
                <w:color w:val="001641"/>
              </w:rPr>
              <w:t>access these sites. Beneficial stockholders</w:t>
            </w:r>
          </w:p>
        </w:tc>
      </w:tr>
      <w:tr>
        <w:trPr>
          <w:trHeight w:val="162"/>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Arial" w:cs="Arial" w:eastAsia="Arial" w:hAnsi="Arial"/>
                <w:sz w:val="14"/>
                <w:szCs w:val="14"/>
                <w:color w:val="001641"/>
              </w:rPr>
              <w:t>questions during the Meeting by visiting:</w:t>
            </w:r>
          </w:p>
        </w:tc>
        <w:tc>
          <w:tcPr>
            <w:tcW w:w="3920" w:type="dxa"/>
            <w:vAlign w:val="bottom"/>
          </w:tcPr>
          <w:p>
            <w:pPr>
              <w:ind w:left="1020"/>
              <w:spacing w:after="0"/>
              <w:rPr>
                <w:sz w:val="20"/>
                <w:szCs w:val="20"/>
                <w:color w:val="auto"/>
              </w:rPr>
            </w:pPr>
            <w:r>
              <w:rPr>
                <w:rFonts w:ascii="Arial" w:cs="Arial" w:eastAsia="Arial" w:hAnsi="Arial"/>
                <w:sz w:val="14"/>
                <w:szCs w:val="14"/>
                <w:color w:val="001641"/>
              </w:rPr>
              <w:t>who do not have a control number may gain</w:t>
            </w:r>
          </w:p>
        </w:tc>
      </w:tr>
      <w:tr>
        <w:trPr>
          <w:trHeight w:val="162"/>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Arial" w:cs="Arial" w:eastAsia="Arial" w:hAnsi="Arial"/>
                <w:sz w:val="14"/>
                <w:szCs w:val="14"/>
                <w:i w:val="1"/>
                <w:iCs w:val="1"/>
                <w:color w:val="001641"/>
              </w:rPr>
              <w:t>www.virtualshareholdermeeting.com/RL2026</w:t>
            </w:r>
          </w:p>
        </w:tc>
        <w:tc>
          <w:tcPr>
            <w:tcW w:w="3920" w:type="dxa"/>
            <w:vAlign w:val="bottom"/>
          </w:tcPr>
          <w:p>
            <w:pPr>
              <w:ind w:left="1020"/>
              <w:spacing w:after="0"/>
              <w:rPr>
                <w:sz w:val="20"/>
                <w:szCs w:val="20"/>
                <w:color w:val="auto"/>
              </w:rPr>
            </w:pPr>
            <w:r>
              <w:rPr>
                <w:rFonts w:ascii="Arial" w:cs="Arial" w:eastAsia="Arial" w:hAnsi="Arial"/>
                <w:sz w:val="14"/>
                <w:szCs w:val="14"/>
                <w:color w:val="001641"/>
              </w:rPr>
              <w:t>access to the meeting by logging into their</w:t>
            </w:r>
          </w:p>
        </w:tc>
      </w:tr>
      <w:tr>
        <w:trPr>
          <w:trHeight w:val="162"/>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Arial" w:cs="Arial" w:eastAsia="Arial" w:hAnsi="Arial"/>
                <w:sz w:val="14"/>
                <w:szCs w:val="14"/>
                <w:color w:val="001641"/>
              </w:rPr>
              <w:t>(the “Annual Meeting Website”). Prior to the</w:t>
            </w:r>
          </w:p>
        </w:tc>
        <w:tc>
          <w:tcPr>
            <w:tcW w:w="3920" w:type="dxa"/>
            <w:vAlign w:val="bottom"/>
          </w:tcPr>
          <w:p>
            <w:pPr>
              <w:ind w:left="1020"/>
              <w:spacing w:after="0"/>
              <w:rPr>
                <w:sz w:val="20"/>
                <w:szCs w:val="20"/>
                <w:color w:val="auto"/>
              </w:rPr>
            </w:pPr>
            <w:r>
              <w:rPr>
                <w:rFonts w:ascii="Arial" w:cs="Arial" w:eastAsia="Arial" w:hAnsi="Arial"/>
                <w:sz w:val="14"/>
                <w:szCs w:val="14"/>
                <w:color w:val="001641"/>
              </w:rPr>
              <w:t>broker, brokerage firm, bank, or other</w:t>
            </w:r>
          </w:p>
        </w:tc>
      </w:tr>
      <w:tr>
        <w:trPr>
          <w:trHeight w:val="162"/>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Arial" w:cs="Arial" w:eastAsia="Arial" w:hAnsi="Arial"/>
                <w:sz w:val="14"/>
                <w:szCs w:val="14"/>
                <w:color w:val="001641"/>
              </w:rPr>
              <w:t>meeting, you may vote your shares and</w:t>
            </w:r>
          </w:p>
        </w:tc>
        <w:tc>
          <w:tcPr>
            <w:tcW w:w="3920" w:type="dxa"/>
            <w:vAlign w:val="bottom"/>
          </w:tcPr>
          <w:p>
            <w:pPr>
              <w:ind w:left="1020"/>
              <w:spacing w:after="0"/>
              <w:rPr>
                <w:sz w:val="20"/>
                <w:szCs w:val="20"/>
                <w:color w:val="auto"/>
              </w:rPr>
            </w:pPr>
            <w:r>
              <w:rPr>
                <w:rFonts w:ascii="Arial" w:cs="Arial" w:eastAsia="Arial" w:hAnsi="Arial"/>
                <w:sz w:val="14"/>
                <w:szCs w:val="14"/>
                <w:color w:val="001641"/>
              </w:rPr>
              <w:t>nominee’s website and selecting the</w:t>
            </w:r>
          </w:p>
        </w:tc>
      </w:tr>
      <w:tr>
        <w:trPr>
          <w:trHeight w:val="162"/>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Arial" w:cs="Arial" w:eastAsia="Arial" w:hAnsi="Arial"/>
                <w:sz w:val="14"/>
                <w:szCs w:val="14"/>
                <w:color w:val="001641"/>
              </w:rPr>
              <w:t>submit pre-meeting questions online by</w:t>
            </w:r>
          </w:p>
        </w:tc>
        <w:tc>
          <w:tcPr>
            <w:tcW w:w="3920" w:type="dxa"/>
            <w:vAlign w:val="bottom"/>
          </w:tcPr>
          <w:p>
            <w:pPr>
              <w:ind w:left="1020"/>
              <w:spacing w:after="0"/>
              <w:rPr>
                <w:sz w:val="20"/>
                <w:szCs w:val="20"/>
                <w:color w:val="auto"/>
              </w:rPr>
            </w:pPr>
            <w:r>
              <w:rPr>
                <w:rFonts w:ascii="Arial" w:cs="Arial" w:eastAsia="Arial" w:hAnsi="Arial"/>
                <w:sz w:val="14"/>
                <w:szCs w:val="14"/>
                <w:color w:val="001641"/>
              </w:rPr>
              <w:t>stockholder communications mailbox to link</w:t>
            </w:r>
          </w:p>
        </w:tc>
      </w:tr>
      <w:tr>
        <w:trPr>
          <w:trHeight w:val="162"/>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Arial" w:cs="Arial" w:eastAsia="Arial" w:hAnsi="Arial"/>
                <w:sz w:val="14"/>
                <w:szCs w:val="14"/>
                <w:color w:val="001641"/>
              </w:rPr>
              <w:t xml:space="preserve">visiting </w:t>
            </w:r>
            <w:r>
              <w:rPr>
                <w:rFonts w:ascii="Arial" w:cs="Arial" w:eastAsia="Arial" w:hAnsi="Arial"/>
                <w:sz w:val="14"/>
                <w:szCs w:val="14"/>
                <w:i w:val="1"/>
                <w:iCs w:val="1"/>
                <w:color w:val="001641"/>
              </w:rPr>
              <w:t>www.proxyvote.com</w:t>
            </w:r>
            <w:r>
              <w:rPr>
                <w:rFonts w:ascii="Arial" w:cs="Arial" w:eastAsia="Arial" w:hAnsi="Arial"/>
                <w:sz w:val="14"/>
                <w:szCs w:val="14"/>
                <w:color w:val="001641"/>
              </w:rPr>
              <w:t xml:space="preserve"> and following</w:t>
            </w:r>
          </w:p>
        </w:tc>
        <w:tc>
          <w:tcPr>
            <w:tcW w:w="3920" w:type="dxa"/>
            <w:vAlign w:val="bottom"/>
          </w:tcPr>
          <w:p>
            <w:pPr>
              <w:ind w:left="1020"/>
              <w:spacing w:after="0"/>
              <w:rPr>
                <w:sz w:val="20"/>
                <w:szCs w:val="20"/>
                <w:color w:val="auto"/>
              </w:rPr>
            </w:pPr>
            <w:r>
              <w:rPr>
                <w:rFonts w:ascii="Arial" w:cs="Arial" w:eastAsia="Arial" w:hAnsi="Arial"/>
                <w:sz w:val="14"/>
                <w:szCs w:val="14"/>
                <w:color w:val="001641"/>
              </w:rPr>
              <w:t>through to the Meeting. Instructions should</w:t>
            </w:r>
          </w:p>
        </w:tc>
      </w:tr>
      <w:tr>
        <w:trPr>
          <w:trHeight w:val="162"/>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Arial" w:cs="Arial" w:eastAsia="Arial" w:hAnsi="Arial"/>
                <w:sz w:val="14"/>
                <w:szCs w:val="14"/>
                <w:color w:val="001641"/>
              </w:rPr>
              <w:t>the instructions on your proxy card.</w:t>
            </w:r>
          </w:p>
        </w:tc>
        <w:tc>
          <w:tcPr>
            <w:tcW w:w="3920" w:type="dxa"/>
            <w:vAlign w:val="bottom"/>
          </w:tcPr>
          <w:p>
            <w:pPr>
              <w:ind w:left="1020"/>
              <w:spacing w:after="0"/>
              <w:rPr>
                <w:sz w:val="20"/>
                <w:szCs w:val="20"/>
                <w:color w:val="auto"/>
              </w:rPr>
            </w:pPr>
            <w:r>
              <w:rPr>
                <w:rFonts w:ascii="Arial" w:cs="Arial" w:eastAsia="Arial" w:hAnsi="Arial"/>
                <w:sz w:val="14"/>
                <w:szCs w:val="14"/>
                <w:color w:val="001641"/>
              </w:rPr>
              <w:t>also be provided on the voting instruction</w:t>
            </w:r>
          </w:p>
        </w:tc>
      </w:tr>
      <w:tr>
        <w:trPr>
          <w:trHeight w:val="162"/>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920" w:type="dxa"/>
            <w:vAlign w:val="bottom"/>
          </w:tcPr>
          <w:p>
            <w:pPr>
              <w:ind w:left="1020"/>
              <w:spacing w:after="0"/>
              <w:rPr>
                <w:sz w:val="20"/>
                <w:szCs w:val="20"/>
                <w:color w:val="auto"/>
              </w:rPr>
            </w:pPr>
            <w:r>
              <w:rPr>
                <w:rFonts w:ascii="Arial" w:cs="Arial" w:eastAsia="Arial" w:hAnsi="Arial"/>
                <w:sz w:val="14"/>
                <w:szCs w:val="14"/>
                <w:color w:val="001641"/>
              </w:rPr>
              <w:t>card provided by your broker, bank, or other</w:t>
            </w:r>
          </w:p>
        </w:tc>
      </w:tr>
      <w:tr>
        <w:trPr>
          <w:trHeight w:val="190"/>
        </w:trPr>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920" w:type="dxa"/>
            <w:vAlign w:val="bottom"/>
          </w:tcPr>
          <w:p>
            <w:pPr>
              <w:ind w:left="1020"/>
              <w:spacing w:after="0"/>
              <w:rPr>
                <w:sz w:val="20"/>
                <w:szCs w:val="20"/>
                <w:color w:val="auto"/>
              </w:rPr>
            </w:pPr>
            <w:r>
              <w:rPr>
                <w:rFonts w:ascii="Arial" w:cs="Arial" w:eastAsia="Arial" w:hAnsi="Arial"/>
                <w:sz w:val="14"/>
                <w:szCs w:val="14"/>
                <w:color w:val="001641"/>
              </w:rPr>
              <w:t>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-1974215</wp:posOffset>
            </wp:positionV>
            <wp:extent cx="5829300" cy="4200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29300" cy="420052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b w:val="1"/>
                <w:bCs w:val="1"/>
                <w:color w:val="001641"/>
              </w:rPr>
              <w:t>Virtual Meeting</w:t>
            </w:r>
          </w:p>
        </w:tc>
        <w:tc>
          <w:tcPr>
            <w:tcW w:w="3120" w:type="dxa"/>
            <w:vAlign w:val="bottom"/>
          </w:tcPr>
          <w:p>
            <w:pPr>
              <w:ind w:left="120"/>
              <w:spacing w:after="0"/>
              <w:rPr>
                <w:sz w:val="20"/>
                <w:szCs w:val="20"/>
                <w:color w:val="auto"/>
              </w:rPr>
            </w:pPr>
            <w:r>
              <w:rPr>
                <w:rFonts w:ascii="Arial" w:cs="Arial" w:eastAsia="Arial" w:hAnsi="Arial"/>
                <w:sz w:val="14"/>
                <w:szCs w:val="14"/>
                <w:color w:val="001641"/>
              </w:rPr>
              <w:t>•   All of our stockholders will be able to hear</w:t>
            </w:r>
          </w:p>
        </w:tc>
      </w:tr>
      <w:tr>
        <w:trPr>
          <w:trHeight w:val="162"/>
        </w:trPr>
        <w:tc>
          <w:tcPr>
            <w:tcW w:w="1140" w:type="dxa"/>
            <w:vAlign w:val="bottom"/>
          </w:tcPr>
          <w:p>
            <w:pPr>
              <w:spacing w:after="0"/>
              <w:rPr>
                <w:sz w:val="20"/>
                <w:szCs w:val="20"/>
                <w:color w:val="auto"/>
              </w:rPr>
            </w:pPr>
            <w:r>
              <w:rPr>
                <w:rFonts w:ascii="Arial" w:cs="Arial" w:eastAsia="Arial" w:hAnsi="Arial"/>
                <w:sz w:val="14"/>
                <w:szCs w:val="14"/>
                <w:b w:val="1"/>
                <w:bCs w:val="1"/>
                <w:color w:val="001641"/>
              </w:rPr>
              <w:t>Highlights:</w:t>
            </w:r>
          </w:p>
        </w:tc>
        <w:tc>
          <w:tcPr>
            <w:tcW w:w="3120" w:type="dxa"/>
            <w:vAlign w:val="bottom"/>
          </w:tcPr>
          <w:p>
            <w:pPr>
              <w:ind w:left="300"/>
              <w:spacing w:after="0"/>
              <w:rPr>
                <w:sz w:val="20"/>
                <w:szCs w:val="20"/>
                <w:color w:val="auto"/>
              </w:rPr>
            </w:pPr>
            <w:r>
              <w:rPr>
                <w:rFonts w:ascii="Arial" w:cs="Arial" w:eastAsia="Arial" w:hAnsi="Arial"/>
                <w:sz w:val="14"/>
                <w:szCs w:val="14"/>
                <w:color w:val="001641"/>
              </w:rPr>
              <w:t>directly from Mr. Ralph Lauren, our Founder,</w:t>
            </w:r>
          </w:p>
        </w:tc>
      </w:tr>
      <w:tr>
        <w:trPr>
          <w:trHeight w:val="162"/>
        </w:trPr>
        <w:tc>
          <w:tcPr>
            <w:tcW w:w="1140" w:type="dxa"/>
            <w:vAlign w:val="bottom"/>
          </w:tcPr>
          <w:p>
            <w:pPr>
              <w:spacing w:after="0"/>
              <w:rPr>
                <w:sz w:val="14"/>
                <w:szCs w:val="14"/>
                <w:color w:val="auto"/>
              </w:rPr>
            </w:pPr>
          </w:p>
        </w:tc>
        <w:tc>
          <w:tcPr>
            <w:tcW w:w="3120" w:type="dxa"/>
            <w:vAlign w:val="bottom"/>
          </w:tcPr>
          <w:p>
            <w:pPr>
              <w:ind w:left="300"/>
              <w:spacing w:after="0"/>
              <w:rPr>
                <w:sz w:val="20"/>
                <w:szCs w:val="20"/>
                <w:color w:val="auto"/>
              </w:rPr>
            </w:pPr>
            <w:r>
              <w:rPr>
                <w:rFonts w:ascii="Arial" w:cs="Arial" w:eastAsia="Arial" w:hAnsi="Arial"/>
                <w:sz w:val="14"/>
                <w:szCs w:val="14"/>
                <w:color w:val="001641"/>
              </w:rPr>
              <w:t>Executive Chairman, and Chief Creative</w:t>
            </w:r>
          </w:p>
        </w:tc>
      </w:tr>
      <w:tr>
        <w:trPr>
          <w:trHeight w:val="162"/>
        </w:trPr>
        <w:tc>
          <w:tcPr>
            <w:tcW w:w="1140" w:type="dxa"/>
            <w:vAlign w:val="bottom"/>
          </w:tcPr>
          <w:p>
            <w:pPr>
              <w:spacing w:after="0"/>
              <w:rPr>
                <w:sz w:val="14"/>
                <w:szCs w:val="14"/>
                <w:color w:val="auto"/>
              </w:rPr>
            </w:pPr>
          </w:p>
        </w:tc>
        <w:tc>
          <w:tcPr>
            <w:tcW w:w="3120" w:type="dxa"/>
            <w:vAlign w:val="bottom"/>
          </w:tcPr>
          <w:p>
            <w:pPr>
              <w:ind w:left="300"/>
              <w:spacing w:after="0"/>
              <w:rPr>
                <w:sz w:val="20"/>
                <w:szCs w:val="20"/>
                <w:color w:val="auto"/>
              </w:rPr>
            </w:pPr>
            <w:r>
              <w:rPr>
                <w:rFonts w:ascii="Arial" w:cs="Arial" w:eastAsia="Arial" w:hAnsi="Arial"/>
                <w:sz w:val="14"/>
                <w:szCs w:val="14"/>
                <w:color w:val="001641"/>
              </w:rPr>
              <w:t>Officer, and Mr. Patrice Louvet, our</w:t>
            </w:r>
          </w:p>
        </w:tc>
      </w:tr>
      <w:tr>
        <w:trPr>
          <w:trHeight w:val="162"/>
        </w:trPr>
        <w:tc>
          <w:tcPr>
            <w:tcW w:w="1140" w:type="dxa"/>
            <w:vAlign w:val="bottom"/>
          </w:tcPr>
          <w:p>
            <w:pPr>
              <w:spacing w:after="0"/>
              <w:rPr>
                <w:sz w:val="14"/>
                <w:szCs w:val="14"/>
                <w:color w:val="auto"/>
              </w:rPr>
            </w:pPr>
          </w:p>
        </w:tc>
        <w:tc>
          <w:tcPr>
            <w:tcW w:w="3120" w:type="dxa"/>
            <w:vAlign w:val="bottom"/>
          </w:tcPr>
          <w:p>
            <w:pPr>
              <w:ind w:left="300"/>
              <w:spacing w:after="0"/>
              <w:rPr>
                <w:sz w:val="20"/>
                <w:szCs w:val="20"/>
                <w:color w:val="auto"/>
              </w:rPr>
            </w:pPr>
            <w:r>
              <w:rPr>
                <w:rFonts w:ascii="Arial" w:cs="Arial" w:eastAsia="Arial" w:hAnsi="Arial"/>
                <w:sz w:val="14"/>
                <w:szCs w:val="14"/>
                <w:color w:val="001641"/>
              </w:rPr>
              <w:t>President and CEO, and others, regardless</w:t>
            </w:r>
          </w:p>
        </w:tc>
      </w:tr>
      <w:tr>
        <w:trPr>
          <w:trHeight w:val="190"/>
        </w:trPr>
        <w:tc>
          <w:tcPr>
            <w:tcW w:w="1140" w:type="dxa"/>
            <w:vAlign w:val="bottom"/>
          </w:tcPr>
          <w:p>
            <w:pPr>
              <w:spacing w:after="0"/>
              <w:rPr>
                <w:sz w:val="16"/>
                <w:szCs w:val="16"/>
                <w:color w:val="auto"/>
              </w:rPr>
            </w:pPr>
          </w:p>
        </w:tc>
        <w:tc>
          <w:tcPr>
            <w:tcW w:w="3120" w:type="dxa"/>
            <w:vAlign w:val="bottom"/>
          </w:tcPr>
          <w:p>
            <w:pPr>
              <w:ind w:left="300"/>
              <w:spacing w:after="0"/>
              <w:rPr>
                <w:sz w:val="20"/>
                <w:szCs w:val="20"/>
                <w:color w:val="auto"/>
              </w:rPr>
            </w:pPr>
            <w:r>
              <w:rPr>
                <w:rFonts w:ascii="Arial" w:cs="Arial" w:eastAsia="Arial" w:hAnsi="Arial"/>
                <w:sz w:val="14"/>
                <w:szCs w:val="14"/>
                <w:color w:val="001641"/>
              </w:rPr>
              <w:t>of location.</w:t>
            </w:r>
          </w:p>
        </w:tc>
      </w:tr>
    </w:tbl>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hanging="199"/>
        <w:spacing w:after="0" w:line="244" w:lineRule="auto"/>
        <w:rPr>
          <w:sz w:val="20"/>
          <w:szCs w:val="20"/>
          <w:color w:val="auto"/>
        </w:rPr>
      </w:pPr>
      <w:r>
        <w:rPr>
          <w:rFonts w:ascii="Arial" w:cs="Arial" w:eastAsia="Arial" w:hAnsi="Arial"/>
          <w:sz w:val="14"/>
          <w:szCs w:val="14"/>
          <w:color w:val="001641"/>
        </w:rPr>
        <w:t>• </w:t>
      </w:r>
      <w:r>
        <w:rPr>
          <w:sz w:val="20"/>
          <w:szCs w:val="20"/>
          <w:color w:val="auto"/>
        </w:rPr>
        <w:t xml:space="preserve"> </w:t>
      </w:r>
      <w:r>
        <w:rPr>
          <w:rFonts w:ascii="Arial" w:cs="Arial" w:eastAsia="Arial" w:hAnsi="Arial"/>
          <w:sz w:val="14"/>
          <w:szCs w:val="14"/>
          <w:color w:val="001641"/>
        </w:rPr>
        <w:t xml:space="preserve">To ensure access, all validated stockholders may submit questions in advance, beginning on June 18, 2026, by visiting </w:t>
      </w:r>
      <w:r>
        <w:rPr>
          <w:rFonts w:ascii="Arial" w:cs="Arial" w:eastAsia="Arial" w:hAnsi="Arial"/>
          <w:sz w:val="14"/>
          <w:szCs w:val="14"/>
          <w:i w:val="1"/>
          <w:iCs w:val="1"/>
          <w:color w:val="001641"/>
        </w:rPr>
        <w:t>www.proxyvote.com</w:t>
      </w:r>
      <w:r>
        <w:rPr>
          <w:rFonts w:ascii="Arial" w:cs="Arial" w:eastAsia="Arial" w:hAnsi="Arial"/>
          <w:sz w:val="14"/>
          <w:szCs w:val="14"/>
          <w:color w:val="001641"/>
        </w:rPr>
        <w:t>, and may submit</w:t>
      </w:r>
      <w:r>
        <w:rPr>
          <w:rFonts w:ascii="Arial" w:cs="Arial" w:eastAsia="Arial" w:hAnsi="Arial"/>
          <w:sz w:val="14"/>
          <w:szCs w:val="14"/>
          <w:i w:val="1"/>
          <w:iCs w:val="1"/>
          <w:color w:val="001641"/>
        </w:rPr>
        <w:t xml:space="preserve"> </w:t>
      </w:r>
      <w:r>
        <w:rPr>
          <w:rFonts w:ascii="Arial" w:cs="Arial" w:eastAsia="Arial" w:hAnsi="Arial"/>
          <w:sz w:val="14"/>
          <w:szCs w:val="14"/>
          <w:color w:val="001641"/>
        </w:rPr>
        <w:t xml:space="preserve">questions during the Meeting by visiting the Annual Meeting Website at </w:t>
      </w:r>
      <w:r>
        <w:rPr>
          <w:rFonts w:ascii="Arial" w:cs="Arial" w:eastAsia="Arial" w:hAnsi="Arial"/>
          <w:sz w:val="14"/>
          <w:szCs w:val="14"/>
          <w:i w:val="1"/>
          <w:iCs w:val="1"/>
          <w:color w:val="001641"/>
        </w:rPr>
        <w:t>www.virtualshareholdermeeting.com/RL2026</w:t>
      </w:r>
      <w:r>
        <w:rPr>
          <w:rFonts w:ascii="Arial" w:cs="Arial" w:eastAsia="Arial" w:hAnsi="Arial"/>
          <w:sz w:val="14"/>
          <w:szCs w:val="14"/>
          <w:color w:val="001641"/>
        </w:rPr>
        <w:t>.</w:t>
      </w:r>
      <w:r>
        <w:rPr>
          <w:rFonts w:ascii="Arial" w:cs="Arial" w:eastAsia="Arial" w:hAnsi="Arial"/>
          <w:sz w:val="14"/>
          <w:szCs w:val="14"/>
          <w:i w:val="1"/>
          <w:iCs w:val="1"/>
          <w:color w:val="001641"/>
        </w:rPr>
        <w:t xml:space="preserve"> </w:t>
      </w:r>
      <w:r>
        <w:rPr>
          <w:rFonts w:ascii="Arial" w:cs="Arial" w:eastAsia="Arial" w:hAnsi="Arial"/>
          <w:sz w:val="14"/>
          <w:szCs w:val="14"/>
          <w:color w:val="001641"/>
        </w:rPr>
        <w:t>All relevant questions received in accordance with the Meeting’s Rules of Conduct (available on the Annual Meeting Website) during the course of the Meeting or solicited in advance, as well as the Company’s responses, will be posted on http://investor.ralphlauren.com soon after the 2026 Annual Meeting.</w:t>
      </w:r>
    </w:p>
    <w:p>
      <w:pPr>
        <w:spacing w:after="0" w:line="200" w:lineRule="exact"/>
        <w:rPr>
          <w:sz w:val="20"/>
          <w:szCs w:val="20"/>
          <w:color w:val="auto"/>
        </w:rPr>
      </w:pPr>
    </w:p>
    <w:p>
      <w:pPr>
        <w:sectPr>
          <w:pgSz w:w="11900" w:h="16838" w:orient="portrait"/>
          <w:cols w:equalWidth="0" w:num="2">
            <w:col w:w="5560" w:space="720"/>
            <w:col w:w="2900"/>
          </w:cols>
          <w:pgMar w:left="1360" w:top="114" w:right="1359" w:bottom="1440" w:gutter="0" w:footer="0" w:header="0"/>
          <w:type w:val="continuous"/>
        </w:sectPr>
      </w:pPr>
    </w:p>
    <w:p>
      <w:pPr>
        <w:spacing w:after="0" w:line="209"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001641"/>
        </w:rPr>
        <w:t>•   Stockholders will be able to review the Rules of</w:t>
      </w:r>
    </w:p>
    <w:p>
      <w:pPr>
        <w:spacing w:after="0" w:line="27" w:lineRule="exact"/>
        <w:rPr>
          <w:sz w:val="20"/>
          <w:szCs w:val="20"/>
          <w:color w:val="auto"/>
        </w:rPr>
      </w:pPr>
    </w:p>
    <w:p>
      <w:pPr>
        <w:ind w:left="1560"/>
        <w:spacing w:after="0"/>
        <w:rPr>
          <w:sz w:val="20"/>
          <w:szCs w:val="20"/>
          <w:color w:val="auto"/>
        </w:rPr>
      </w:pPr>
      <w:r>
        <w:rPr>
          <w:rFonts w:ascii="Arial" w:cs="Arial" w:eastAsia="Arial" w:hAnsi="Arial"/>
          <w:sz w:val="14"/>
          <w:szCs w:val="14"/>
          <w:color w:val="001641"/>
        </w:rPr>
        <w:t>Conduct and other Meeting materials on the</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color w:val="001641"/>
        </w:rPr>
        <w:t>2026 Annual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58293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263525</wp:posOffset>
            </wp:positionV>
            <wp:extent cx="58293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001641"/>
        </w:rPr>
        <w:t>•   An audio replay of the 2026 Annual Meeting</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001641"/>
        </w:rPr>
        <w:t>will be available 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001641"/>
        </w:rPr>
        <w:t xml:space="preserve">http://investor.ralphlauren.com </w:t>
      </w:r>
      <w:r>
        <w:rPr>
          <w:rFonts w:ascii="Arial" w:cs="Arial" w:eastAsia="Arial" w:hAnsi="Arial"/>
          <w:sz w:val="14"/>
          <w:szCs w:val="14"/>
          <w:color w:val="001641"/>
        </w:rPr>
        <w:t>until the 2027</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001641"/>
        </w:rPr>
        <w:t>Annual Meeting of Stockholders.</w:t>
      </w:r>
    </w:p>
    <w:p>
      <w:pPr>
        <w:spacing w:after="0" w:line="200" w:lineRule="exact"/>
        <w:rPr>
          <w:sz w:val="20"/>
          <w:szCs w:val="20"/>
          <w:color w:val="auto"/>
        </w:rPr>
      </w:pPr>
    </w:p>
    <w:p>
      <w:pPr>
        <w:sectPr>
          <w:pgSz w:w="11900" w:h="16838" w:orient="portrait"/>
          <w:cols w:equalWidth="0" w:num="2">
            <w:col w:w="5360" w:space="720"/>
            <w:col w:w="3100"/>
          </w:cols>
          <w:pgMar w:left="1360" w:top="114" w:right="1359" w:bottom="1440" w:gutter="0" w:footer="0" w:header="0"/>
          <w:type w:val="continuous"/>
        </w:sectPr>
      </w:pPr>
    </w:p>
    <w:p>
      <w:pPr>
        <w:spacing w:after="0" w:line="26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2</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18859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29300" cy="188595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78" w:lineRule="exact"/>
        <w:rPr>
          <w:sz w:val="20"/>
          <w:szCs w:val="20"/>
          <w:color w:val="auto"/>
        </w:rPr>
      </w:pPr>
    </w:p>
    <w:p>
      <w:pPr>
        <w:ind w:left="1500" w:right="1440" w:hanging="1543"/>
        <w:spacing w:after="0" w:line="250" w:lineRule="auto"/>
        <w:tabs>
          <w:tab w:leader="none" w:pos="1480" w:val="left"/>
        </w:tabs>
        <w:rPr>
          <w:sz w:val="20"/>
          <w:szCs w:val="20"/>
          <w:color w:val="auto"/>
        </w:rPr>
      </w:pPr>
      <w:r>
        <w:rPr>
          <w:rFonts w:ascii="Arial" w:cs="Arial" w:eastAsia="Arial" w:hAnsi="Arial"/>
          <w:sz w:val="14"/>
          <w:szCs w:val="14"/>
          <w:b w:val="1"/>
          <w:bCs w:val="1"/>
          <w:color w:val="001641"/>
        </w:rPr>
        <w:t>Voting:</w:t>
      </w:r>
      <w:r>
        <w:rPr>
          <w:sz w:val="20"/>
          <w:szCs w:val="20"/>
          <w:color w:val="auto"/>
        </w:rPr>
        <w:tab/>
      </w:r>
      <w:r>
        <w:rPr>
          <w:rFonts w:ascii="Arial" w:cs="Arial" w:eastAsia="Arial" w:hAnsi="Arial"/>
          <w:sz w:val="14"/>
          <w:szCs w:val="14"/>
          <w:color w:val="001641"/>
        </w:rPr>
        <w:t>•  Only holders of record of the Company’s Class A and Class B Common Stock at the close of business on June 2, 2026 are entitled to notice of, and to vote at, the 2026 Annual Meeting, or at any adjournments or postponements thereof.</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ind w:right="140" w:hanging="179"/>
        <w:spacing w:after="0" w:line="266" w:lineRule="auto"/>
        <w:rPr>
          <w:sz w:val="20"/>
          <w:szCs w:val="20"/>
          <w:color w:val="auto"/>
        </w:rPr>
      </w:pPr>
      <w:r>
        <w:rPr>
          <w:rFonts w:ascii="Arial" w:cs="Arial" w:eastAsia="Arial" w:hAnsi="Arial"/>
          <w:sz w:val="13"/>
          <w:szCs w:val="13"/>
          <w:color w:val="001641"/>
        </w:rPr>
        <w:t>• </w:t>
      </w:r>
      <w:r>
        <w:rPr>
          <w:sz w:val="20"/>
          <w:szCs w:val="20"/>
          <w:color w:val="auto"/>
        </w:rPr>
        <w:t xml:space="preserve"> </w:t>
      </w:r>
      <w:r>
        <w:rPr>
          <w:rFonts w:ascii="Arial" w:cs="Arial" w:eastAsia="Arial" w:hAnsi="Arial"/>
          <w:sz w:val="13"/>
          <w:szCs w:val="13"/>
          <w:color w:val="001641"/>
        </w:rPr>
        <w:t>Please authorize a proxy to vote your shares as soon as possible. If you are a beneficial owner of shares of our common stock, your broker will NOT be able to vote your shares with respect to any of the matters presented at the Meeting other than the ratification of the selection of our independent registered public accounting firm, unless you give your broker specific voting instructions.</w:t>
      </w:r>
    </w:p>
    <w:p>
      <w:pPr>
        <w:spacing w:after="0" w:line="200" w:lineRule="exact"/>
        <w:rPr>
          <w:sz w:val="20"/>
          <w:szCs w:val="20"/>
          <w:color w:val="auto"/>
        </w:rPr>
      </w:pPr>
    </w:p>
    <w:p>
      <w:pPr>
        <w:sectPr>
          <w:pgSz w:w="11900" w:h="16838" w:orient="portrait"/>
          <w:cols w:equalWidth="0" w:num="2">
            <w:col w:w="5940" w:space="720"/>
            <w:col w:w="2520"/>
          </w:cols>
          <w:pgMar w:left="1360" w:top="114" w:right="1359" w:bottom="1440" w:gutter="0" w:footer="0" w:header="0"/>
          <w:type w:val="continuous"/>
        </w:sectPr>
      </w:pPr>
    </w:p>
    <w:p>
      <w:pPr>
        <w:spacing w:after="0" w:line="74" w:lineRule="exact"/>
        <w:rPr>
          <w:sz w:val="20"/>
          <w:szCs w:val="20"/>
          <w:color w:val="auto"/>
        </w:rPr>
      </w:pPr>
    </w:p>
    <w:p>
      <w:pPr>
        <w:ind w:left="1500"/>
        <w:spacing w:after="0"/>
        <w:rPr>
          <w:sz w:val="20"/>
          <w:szCs w:val="20"/>
          <w:color w:val="auto"/>
        </w:rPr>
      </w:pPr>
      <w:r>
        <w:rPr>
          <w:rFonts w:ascii="Arial" w:cs="Arial" w:eastAsia="Arial" w:hAnsi="Arial"/>
          <w:sz w:val="13"/>
          <w:szCs w:val="13"/>
          <w:color w:val="001641"/>
        </w:rPr>
        <w:t>•   You do not need to participate in the 2026</w:t>
      </w:r>
    </w:p>
    <w:p>
      <w:pPr>
        <w:spacing w:after="0" w:line="27" w:lineRule="exact"/>
        <w:rPr>
          <w:sz w:val="20"/>
          <w:szCs w:val="20"/>
          <w:color w:val="auto"/>
        </w:rPr>
      </w:pPr>
    </w:p>
    <w:p>
      <w:pPr>
        <w:ind w:left="1700"/>
        <w:spacing w:after="0"/>
        <w:rPr>
          <w:sz w:val="20"/>
          <w:szCs w:val="20"/>
          <w:color w:val="auto"/>
        </w:rPr>
      </w:pPr>
      <w:r>
        <w:rPr>
          <w:rFonts w:ascii="Arial" w:cs="Arial" w:eastAsia="Arial" w:hAnsi="Arial"/>
          <w:sz w:val="14"/>
          <w:szCs w:val="14"/>
          <w:color w:val="001641"/>
        </w:rPr>
        <w:t>Annual Meeting webcast to vote if you</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4"/>
          <w:szCs w:val="14"/>
          <w:color w:val="001641"/>
        </w:rPr>
        <w:t>submitted your proxy in advance of the</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4"/>
          <w:szCs w:val="14"/>
          <w:color w:val="001641"/>
        </w:rPr>
        <w:t>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58293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001641"/>
        </w:rPr>
        <w:t>•   See the “Questions and Answers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001641"/>
        </w:rPr>
        <w:t>About the Annual Meeting and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001641"/>
        </w:rPr>
        <w:t xml:space="preserve">Voting” section on page </w:t>
      </w:r>
      <w:r>
        <w:rPr>
          <w:rFonts w:ascii="Arial" w:cs="Arial" w:eastAsia="Arial" w:hAnsi="Arial"/>
          <w:sz w:val="14"/>
          <w:szCs w:val="14"/>
          <w:u w:val="single" w:color="auto"/>
          <w:color w:val="0000EE"/>
        </w:rPr>
        <w:t>118</w:t>
      </w:r>
      <w:r>
        <w:rPr>
          <w:rFonts w:ascii="Arial" w:cs="Arial" w:eastAsia="Arial" w:hAnsi="Arial"/>
          <w:sz w:val="14"/>
          <w:szCs w:val="14"/>
          <w:color w:val="001641"/>
        </w:rPr>
        <w:t xml:space="preserve"> of this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001641"/>
        </w:rPr>
        <w:t>Proxy Statement for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001641"/>
        </w:rPr>
        <w:t>more information.</w:t>
      </w:r>
    </w:p>
    <w:p>
      <w:pPr>
        <w:spacing w:after="0" w:line="200" w:lineRule="exact"/>
        <w:rPr>
          <w:sz w:val="20"/>
          <w:szCs w:val="20"/>
          <w:color w:val="auto"/>
        </w:rPr>
      </w:pPr>
    </w:p>
    <w:p>
      <w:pPr>
        <w:sectPr>
          <w:pgSz w:w="11900" w:h="16838" w:orient="portrait"/>
          <w:cols w:equalWidth="0" w:num="2">
            <w:col w:w="5760" w:space="720"/>
            <w:col w:w="2700"/>
          </w:cols>
          <w:pgMar w:left="1360" w:top="114" w:right="135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MATTERS TO BE VOTED 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00" w:type="dxa"/>
            <w:vAlign w:val="bottom"/>
            <w:gridSpan w:val="2"/>
            <w:shd w:val="clear" w:color="auto" w:fill="001641"/>
          </w:tcPr>
          <w:p>
            <w:pPr>
              <w:ind w:left="180"/>
              <w:spacing w:after="0"/>
              <w:rPr>
                <w:sz w:val="20"/>
                <w:szCs w:val="20"/>
                <w:color w:val="auto"/>
              </w:rPr>
            </w:pPr>
            <w:r>
              <w:rPr>
                <w:rFonts w:ascii="Arial" w:cs="Arial" w:eastAsia="Arial" w:hAnsi="Arial"/>
                <w:sz w:val="14"/>
                <w:szCs w:val="14"/>
                <w:b w:val="1"/>
                <w:bCs w:val="1"/>
                <w:color w:val="FFFFFF"/>
              </w:rPr>
              <w:t>Item for Business</w:t>
            </w:r>
          </w:p>
        </w:tc>
        <w:tc>
          <w:tcPr>
            <w:tcW w:w="2240" w:type="dxa"/>
            <w:vAlign w:val="bottom"/>
            <w:shd w:val="clear" w:color="auto" w:fill="BFA071"/>
          </w:tcPr>
          <w:p>
            <w:pPr>
              <w:ind w:left="100"/>
              <w:spacing w:after="0"/>
              <w:rPr>
                <w:sz w:val="20"/>
                <w:szCs w:val="20"/>
                <w:color w:val="auto"/>
              </w:rPr>
            </w:pPr>
            <w:r>
              <w:rPr>
                <w:rFonts w:ascii="Arial" w:cs="Arial" w:eastAsia="Arial" w:hAnsi="Arial"/>
                <w:sz w:val="14"/>
                <w:szCs w:val="14"/>
                <w:b w:val="1"/>
                <w:bCs w:val="1"/>
                <w:color w:val="FFFFFF"/>
              </w:rPr>
              <w:t>Board Recommendation</w:t>
            </w:r>
          </w:p>
        </w:tc>
        <w:tc>
          <w:tcPr>
            <w:tcW w:w="1540" w:type="dxa"/>
            <w:vAlign w:val="bottom"/>
            <w:gridSpan w:val="4"/>
            <w:shd w:val="clear" w:color="auto" w:fill="001641"/>
          </w:tcPr>
          <w:p>
            <w:pPr>
              <w:ind w:left="120"/>
              <w:spacing w:after="0"/>
              <w:rPr>
                <w:sz w:val="20"/>
                <w:szCs w:val="20"/>
                <w:color w:val="auto"/>
              </w:rPr>
            </w:pPr>
            <w:r>
              <w:rPr>
                <w:rFonts w:ascii="Arial" w:cs="Arial" w:eastAsia="Arial" w:hAnsi="Arial"/>
                <w:sz w:val="14"/>
                <w:szCs w:val="14"/>
                <w:b w:val="1"/>
                <w:bCs w:val="1"/>
                <w:color w:val="FFFFFF"/>
              </w:rPr>
              <w:t>Further Details</w:t>
            </w:r>
          </w:p>
        </w:tc>
      </w:tr>
      <w:tr>
        <w:trPr>
          <w:trHeight w:val="223"/>
        </w:trPr>
        <w:tc>
          <w:tcPr>
            <w:tcW w:w="400" w:type="dxa"/>
            <w:vAlign w:val="bottom"/>
          </w:tcPr>
          <w:p>
            <w:pPr>
              <w:ind w:left="180"/>
              <w:spacing w:after="0"/>
              <w:rPr>
                <w:sz w:val="20"/>
                <w:szCs w:val="20"/>
                <w:color w:val="auto"/>
              </w:rPr>
            </w:pPr>
            <w:r>
              <w:rPr>
                <w:rFonts w:ascii="Arial" w:cs="Arial" w:eastAsia="Arial" w:hAnsi="Arial"/>
                <w:sz w:val="14"/>
                <w:szCs w:val="14"/>
                <w:color w:val="001641"/>
              </w:rPr>
              <w:t>1.</w:t>
            </w:r>
          </w:p>
        </w:tc>
        <w:tc>
          <w:tcPr>
            <w:tcW w:w="5000" w:type="dxa"/>
            <w:vAlign w:val="bottom"/>
          </w:tcPr>
          <w:p>
            <w:pPr>
              <w:ind w:left="100"/>
              <w:spacing w:after="0"/>
              <w:rPr>
                <w:sz w:val="20"/>
                <w:szCs w:val="20"/>
                <w:color w:val="auto"/>
              </w:rPr>
            </w:pPr>
            <w:r>
              <w:rPr>
                <w:rFonts w:ascii="Arial" w:cs="Arial" w:eastAsia="Arial" w:hAnsi="Arial"/>
                <w:sz w:val="14"/>
                <w:szCs w:val="14"/>
                <w:color w:val="001641"/>
              </w:rPr>
              <w:t>Election of 12 Directors</w:t>
            </w:r>
          </w:p>
        </w:tc>
        <w:tc>
          <w:tcPr>
            <w:tcW w:w="2240" w:type="dxa"/>
            <w:vAlign w:val="bottom"/>
            <w:shd w:val="clear" w:color="auto" w:fill="EBE1D2"/>
          </w:tcPr>
          <w:p>
            <w:pPr>
              <w:ind w:left="100"/>
              <w:spacing w:after="0"/>
              <w:rPr>
                <w:sz w:val="20"/>
                <w:szCs w:val="20"/>
                <w:color w:val="auto"/>
              </w:rPr>
            </w:pPr>
            <w:r>
              <w:rPr>
                <w:rFonts w:ascii="Arial" w:cs="Arial" w:eastAsia="Arial" w:hAnsi="Arial"/>
                <w:sz w:val="14"/>
                <w:szCs w:val="14"/>
                <w:color w:val="001641"/>
              </w:rPr>
              <w:t>FOR ALL</w:t>
            </w:r>
          </w:p>
        </w:tc>
        <w:tc>
          <w:tcPr>
            <w:tcW w:w="1540" w:type="dxa"/>
            <w:vAlign w:val="bottom"/>
            <w:gridSpan w:val="4"/>
          </w:tcPr>
          <w:p>
            <w:pPr>
              <w:ind w:left="120"/>
              <w:spacing w:after="0"/>
              <w:rPr>
                <w:sz w:val="20"/>
                <w:szCs w:val="20"/>
                <w:color w:val="auto"/>
              </w:rPr>
            </w:pPr>
            <w:r>
              <w:rPr>
                <w:rFonts w:ascii="Arial" w:cs="Arial" w:eastAsia="Arial" w:hAnsi="Arial"/>
                <w:sz w:val="14"/>
                <w:szCs w:val="14"/>
                <w:color w:val="001641"/>
              </w:rPr>
              <w:t xml:space="preserve">Page </w:t>
            </w:r>
            <w:r>
              <w:rPr>
                <w:rFonts w:ascii="Arial" w:cs="Arial" w:eastAsia="Arial" w:hAnsi="Arial"/>
                <w:sz w:val="14"/>
                <w:szCs w:val="14"/>
                <w:color w:val="0000EE"/>
              </w:rPr>
              <w:t>15</w:t>
            </w:r>
          </w:p>
        </w:tc>
      </w:tr>
      <w:tr>
        <w:trPr>
          <w:trHeight w:val="20"/>
        </w:trPr>
        <w:tc>
          <w:tcPr>
            <w:tcW w:w="400" w:type="dxa"/>
            <w:vAlign w:val="bottom"/>
            <w:shd w:val="clear" w:color="auto" w:fill="BFA071"/>
          </w:tcPr>
          <w:p>
            <w:pPr>
              <w:spacing w:after="0" w:line="20" w:lineRule="exact"/>
              <w:rPr>
                <w:sz w:val="1"/>
                <w:szCs w:val="1"/>
                <w:color w:val="auto"/>
              </w:rPr>
            </w:pPr>
          </w:p>
        </w:tc>
        <w:tc>
          <w:tcPr>
            <w:tcW w:w="5000" w:type="dxa"/>
            <w:vAlign w:val="bottom"/>
            <w:shd w:val="clear" w:color="auto" w:fill="BFA071"/>
          </w:tcPr>
          <w:p>
            <w:pPr>
              <w:spacing w:after="0" w:line="20" w:lineRule="exact"/>
              <w:rPr>
                <w:sz w:val="1"/>
                <w:szCs w:val="1"/>
                <w:color w:val="auto"/>
              </w:rPr>
            </w:pPr>
          </w:p>
        </w:tc>
        <w:tc>
          <w:tcPr>
            <w:tcW w:w="2240" w:type="dxa"/>
            <w:vAlign w:val="bottom"/>
            <w:tcBorders>
              <w:top w:val="single" w:sz="8" w:color="EBE1D2"/>
            </w:tcBorders>
            <w:shd w:val="clear" w:color="auto" w:fill="BFA071"/>
          </w:tcPr>
          <w:p>
            <w:pPr>
              <w:spacing w:after="0" w:line="20" w:lineRule="exact"/>
              <w:rPr>
                <w:sz w:val="1"/>
                <w:szCs w:val="1"/>
                <w:color w:val="auto"/>
              </w:rPr>
            </w:pPr>
          </w:p>
        </w:tc>
        <w:tc>
          <w:tcPr>
            <w:tcW w:w="500" w:type="dxa"/>
            <w:vAlign w:val="bottom"/>
            <w:shd w:val="clear" w:color="auto" w:fill="BFA071"/>
          </w:tcPr>
          <w:p>
            <w:pPr>
              <w:spacing w:after="0" w:line="20" w:lineRule="exact"/>
              <w:rPr>
                <w:sz w:val="1"/>
                <w:szCs w:val="1"/>
                <w:color w:val="auto"/>
              </w:rPr>
            </w:pPr>
          </w:p>
        </w:tc>
        <w:tc>
          <w:tcPr>
            <w:tcW w:w="160" w:type="dxa"/>
            <w:vAlign w:val="bottom"/>
            <w:tcBorders>
              <w:top w:val="single" w:sz="8" w:color="0000EE"/>
            </w:tcBorders>
            <w:shd w:val="clear" w:color="auto" w:fill="BFA071"/>
          </w:tcPr>
          <w:p>
            <w:pPr>
              <w:spacing w:after="0" w:line="20" w:lineRule="exact"/>
              <w:rPr>
                <w:sz w:val="1"/>
                <w:szCs w:val="1"/>
                <w:color w:val="auto"/>
              </w:rPr>
            </w:pPr>
          </w:p>
        </w:tc>
        <w:tc>
          <w:tcPr>
            <w:tcW w:w="60" w:type="dxa"/>
            <w:vAlign w:val="bottom"/>
            <w:shd w:val="clear" w:color="auto" w:fill="BFA071"/>
          </w:tcPr>
          <w:p>
            <w:pPr>
              <w:spacing w:after="0" w:line="20" w:lineRule="exact"/>
              <w:rPr>
                <w:sz w:val="1"/>
                <w:szCs w:val="1"/>
                <w:color w:val="auto"/>
              </w:rPr>
            </w:pPr>
          </w:p>
        </w:tc>
        <w:tc>
          <w:tcPr>
            <w:tcW w:w="820" w:type="dxa"/>
            <w:vAlign w:val="bottom"/>
            <w:shd w:val="clear" w:color="auto" w:fill="BFA071"/>
          </w:tcPr>
          <w:p>
            <w:pPr>
              <w:spacing w:after="0" w:line="20" w:lineRule="exact"/>
              <w:rPr>
                <w:sz w:val="1"/>
                <w:szCs w:val="1"/>
                <w:color w:val="auto"/>
              </w:rPr>
            </w:pPr>
          </w:p>
        </w:tc>
      </w:tr>
      <w:tr>
        <w:trPr>
          <w:trHeight w:val="203"/>
        </w:trPr>
        <w:tc>
          <w:tcPr>
            <w:tcW w:w="400" w:type="dxa"/>
            <w:vAlign w:val="bottom"/>
          </w:tcPr>
          <w:p>
            <w:pPr>
              <w:ind w:left="180"/>
              <w:spacing w:after="0"/>
              <w:rPr>
                <w:sz w:val="20"/>
                <w:szCs w:val="20"/>
                <w:color w:val="auto"/>
              </w:rPr>
            </w:pPr>
            <w:r>
              <w:rPr>
                <w:rFonts w:ascii="Arial" w:cs="Arial" w:eastAsia="Arial" w:hAnsi="Arial"/>
                <w:sz w:val="14"/>
                <w:szCs w:val="14"/>
                <w:color w:val="001641"/>
              </w:rPr>
              <w:t>2.</w:t>
            </w:r>
          </w:p>
        </w:tc>
        <w:tc>
          <w:tcPr>
            <w:tcW w:w="5000" w:type="dxa"/>
            <w:vAlign w:val="bottom"/>
          </w:tcPr>
          <w:p>
            <w:pPr>
              <w:ind w:left="100"/>
              <w:spacing w:after="0"/>
              <w:rPr>
                <w:sz w:val="20"/>
                <w:szCs w:val="20"/>
                <w:color w:val="auto"/>
              </w:rPr>
            </w:pPr>
            <w:r>
              <w:rPr>
                <w:rFonts w:ascii="Arial" w:cs="Arial" w:eastAsia="Arial" w:hAnsi="Arial"/>
                <w:sz w:val="14"/>
                <w:szCs w:val="14"/>
                <w:color w:val="001641"/>
              </w:rPr>
              <w:t>Ratification of appointment of independent registered public accounting firm</w:t>
            </w:r>
          </w:p>
        </w:tc>
        <w:tc>
          <w:tcPr>
            <w:tcW w:w="2240" w:type="dxa"/>
            <w:vAlign w:val="bottom"/>
            <w:shd w:val="clear" w:color="auto" w:fill="EBE1D2"/>
          </w:tcPr>
          <w:p>
            <w:pPr>
              <w:ind w:left="100"/>
              <w:spacing w:after="0"/>
              <w:rPr>
                <w:sz w:val="20"/>
                <w:szCs w:val="20"/>
                <w:color w:val="auto"/>
              </w:rPr>
            </w:pPr>
            <w:r>
              <w:rPr>
                <w:rFonts w:ascii="Arial" w:cs="Arial" w:eastAsia="Arial" w:hAnsi="Arial"/>
                <w:sz w:val="14"/>
                <w:szCs w:val="14"/>
                <w:color w:val="001641"/>
              </w:rPr>
              <w:t>FOR</w:t>
            </w:r>
          </w:p>
        </w:tc>
        <w:tc>
          <w:tcPr>
            <w:tcW w:w="1540" w:type="dxa"/>
            <w:vAlign w:val="bottom"/>
            <w:gridSpan w:val="4"/>
          </w:tcPr>
          <w:p>
            <w:pPr>
              <w:ind w:left="120"/>
              <w:spacing w:after="0"/>
              <w:rPr>
                <w:sz w:val="20"/>
                <w:szCs w:val="20"/>
                <w:color w:val="auto"/>
              </w:rPr>
            </w:pPr>
            <w:r>
              <w:rPr>
                <w:rFonts w:ascii="Arial" w:cs="Arial" w:eastAsia="Arial" w:hAnsi="Arial"/>
                <w:sz w:val="14"/>
                <w:szCs w:val="14"/>
                <w:color w:val="001641"/>
              </w:rPr>
              <w:t xml:space="preserve">Page </w:t>
            </w:r>
            <w:r>
              <w:rPr>
                <w:rFonts w:ascii="Arial" w:cs="Arial" w:eastAsia="Arial" w:hAnsi="Arial"/>
                <w:sz w:val="14"/>
                <w:szCs w:val="14"/>
                <w:color w:val="0000EE"/>
              </w:rPr>
              <w:t>114</w:t>
            </w:r>
          </w:p>
        </w:tc>
      </w:tr>
      <w:tr>
        <w:trPr>
          <w:trHeight w:val="20"/>
        </w:trPr>
        <w:tc>
          <w:tcPr>
            <w:tcW w:w="400" w:type="dxa"/>
            <w:vAlign w:val="bottom"/>
            <w:shd w:val="clear" w:color="auto" w:fill="BFA071"/>
          </w:tcPr>
          <w:p>
            <w:pPr>
              <w:spacing w:after="0" w:line="20" w:lineRule="exact"/>
              <w:rPr>
                <w:sz w:val="1"/>
                <w:szCs w:val="1"/>
                <w:color w:val="auto"/>
              </w:rPr>
            </w:pPr>
          </w:p>
        </w:tc>
        <w:tc>
          <w:tcPr>
            <w:tcW w:w="5000" w:type="dxa"/>
            <w:vAlign w:val="bottom"/>
            <w:shd w:val="clear" w:color="auto" w:fill="BFA071"/>
          </w:tcPr>
          <w:p>
            <w:pPr>
              <w:spacing w:after="0" w:line="20" w:lineRule="exact"/>
              <w:rPr>
                <w:sz w:val="1"/>
                <w:szCs w:val="1"/>
                <w:color w:val="auto"/>
              </w:rPr>
            </w:pPr>
          </w:p>
        </w:tc>
        <w:tc>
          <w:tcPr>
            <w:tcW w:w="2240" w:type="dxa"/>
            <w:vAlign w:val="bottom"/>
            <w:tcBorders>
              <w:top w:val="single" w:sz="8" w:color="EBE1D2"/>
            </w:tcBorders>
            <w:shd w:val="clear" w:color="auto" w:fill="BFA071"/>
          </w:tcPr>
          <w:p>
            <w:pPr>
              <w:spacing w:after="0" w:line="20" w:lineRule="exact"/>
              <w:rPr>
                <w:sz w:val="1"/>
                <w:szCs w:val="1"/>
                <w:color w:val="auto"/>
              </w:rPr>
            </w:pPr>
          </w:p>
        </w:tc>
        <w:tc>
          <w:tcPr>
            <w:tcW w:w="500" w:type="dxa"/>
            <w:vAlign w:val="bottom"/>
            <w:shd w:val="clear" w:color="auto" w:fill="BFA071"/>
          </w:tcPr>
          <w:p>
            <w:pPr>
              <w:spacing w:after="0" w:line="20" w:lineRule="exact"/>
              <w:rPr>
                <w:sz w:val="1"/>
                <w:szCs w:val="1"/>
                <w:color w:val="auto"/>
              </w:rPr>
            </w:pPr>
          </w:p>
        </w:tc>
        <w:tc>
          <w:tcPr>
            <w:tcW w:w="160" w:type="dxa"/>
            <w:vAlign w:val="bottom"/>
            <w:tcBorders>
              <w:top w:val="single" w:sz="8" w:color="0000EE"/>
            </w:tcBorders>
            <w:shd w:val="clear" w:color="auto" w:fill="BFA071"/>
          </w:tcPr>
          <w:p>
            <w:pPr>
              <w:spacing w:after="0" w:line="20" w:lineRule="exact"/>
              <w:rPr>
                <w:sz w:val="1"/>
                <w:szCs w:val="1"/>
                <w:color w:val="auto"/>
              </w:rPr>
            </w:pPr>
          </w:p>
        </w:tc>
        <w:tc>
          <w:tcPr>
            <w:tcW w:w="60" w:type="dxa"/>
            <w:vAlign w:val="bottom"/>
            <w:tcBorders>
              <w:top w:val="single" w:sz="8" w:color="0000EE"/>
            </w:tcBorders>
            <w:shd w:val="clear" w:color="auto" w:fill="BFA071"/>
          </w:tcPr>
          <w:p>
            <w:pPr>
              <w:spacing w:after="0" w:line="20" w:lineRule="exact"/>
              <w:rPr>
                <w:sz w:val="1"/>
                <w:szCs w:val="1"/>
                <w:color w:val="auto"/>
              </w:rPr>
            </w:pPr>
          </w:p>
        </w:tc>
        <w:tc>
          <w:tcPr>
            <w:tcW w:w="820" w:type="dxa"/>
            <w:vAlign w:val="bottom"/>
            <w:shd w:val="clear" w:color="auto" w:fill="BFA071"/>
          </w:tcPr>
          <w:p>
            <w:pPr>
              <w:spacing w:after="0" w:line="20" w:lineRule="exact"/>
              <w:rPr>
                <w:sz w:val="1"/>
                <w:szCs w:val="1"/>
                <w:color w:val="auto"/>
              </w:rPr>
            </w:pPr>
          </w:p>
        </w:tc>
      </w:tr>
      <w:tr>
        <w:trPr>
          <w:trHeight w:val="210"/>
        </w:trPr>
        <w:tc>
          <w:tcPr>
            <w:tcW w:w="400" w:type="dxa"/>
            <w:vAlign w:val="bottom"/>
            <w:tcBorders>
              <w:bottom w:val="single" w:sz="8" w:color="001641"/>
            </w:tcBorders>
          </w:tcPr>
          <w:p>
            <w:pPr>
              <w:ind w:left="180"/>
              <w:spacing w:after="0"/>
              <w:rPr>
                <w:sz w:val="20"/>
                <w:szCs w:val="20"/>
                <w:color w:val="auto"/>
              </w:rPr>
            </w:pPr>
            <w:r>
              <w:rPr>
                <w:rFonts w:ascii="Arial" w:cs="Arial" w:eastAsia="Arial" w:hAnsi="Arial"/>
                <w:sz w:val="14"/>
                <w:szCs w:val="14"/>
                <w:color w:val="001641"/>
              </w:rPr>
              <w:t>3.</w:t>
            </w:r>
          </w:p>
        </w:tc>
        <w:tc>
          <w:tcPr>
            <w:tcW w:w="5000" w:type="dxa"/>
            <w:vAlign w:val="bottom"/>
            <w:tcBorders>
              <w:bottom w:val="single" w:sz="8" w:color="001641"/>
            </w:tcBorders>
          </w:tcPr>
          <w:p>
            <w:pPr>
              <w:ind w:left="100"/>
              <w:spacing w:after="0"/>
              <w:rPr>
                <w:sz w:val="20"/>
                <w:szCs w:val="20"/>
                <w:color w:val="auto"/>
              </w:rPr>
            </w:pPr>
            <w:r>
              <w:rPr>
                <w:rFonts w:ascii="Arial" w:cs="Arial" w:eastAsia="Arial" w:hAnsi="Arial"/>
                <w:sz w:val="14"/>
                <w:szCs w:val="14"/>
                <w:color w:val="001641"/>
              </w:rPr>
              <w:t>Advisory vote on executive compensation</w:t>
            </w:r>
          </w:p>
        </w:tc>
        <w:tc>
          <w:tcPr>
            <w:tcW w:w="2240" w:type="dxa"/>
            <w:vAlign w:val="bottom"/>
            <w:tcBorders>
              <w:bottom w:val="single" w:sz="8" w:color="001641"/>
            </w:tcBorders>
            <w:shd w:val="clear" w:color="auto" w:fill="EBE1D2"/>
          </w:tcPr>
          <w:p>
            <w:pPr>
              <w:ind w:left="100"/>
              <w:spacing w:after="0"/>
              <w:rPr>
                <w:sz w:val="20"/>
                <w:szCs w:val="20"/>
                <w:color w:val="auto"/>
              </w:rPr>
            </w:pPr>
            <w:r>
              <w:rPr>
                <w:rFonts w:ascii="Arial" w:cs="Arial" w:eastAsia="Arial" w:hAnsi="Arial"/>
                <w:sz w:val="14"/>
                <w:szCs w:val="14"/>
                <w:color w:val="001641"/>
              </w:rPr>
              <w:t>FOR</w:t>
            </w:r>
          </w:p>
        </w:tc>
        <w:tc>
          <w:tcPr>
            <w:tcW w:w="1540" w:type="dxa"/>
            <w:vAlign w:val="bottom"/>
            <w:tcBorders>
              <w:bottom w:val="single" w:sz="8" w:color="001641"/>
            </w:tcBorders>
            <w:gridSpan w:val="4"/>
          </w:tcPr>
          <w:p>
            <w:pPr>
              <w:ind w:left="120"/>
              <w:spacing w:after="0"/>
              <w:rPr>
                <w:sz w:val="20"/>
                <w:szCs w:val="20"/>
                <w:color w:val="auto"/>
              </w:rPr>
            </w:pPr>
            <w:r>
              <w:rPr>
                <w:rFonts w:ascii="Arial" w:cs="Arial" w:eastAsia="Arial" w:hAnsi="Arial"/>
                <w:sz w:val="14"/>
                <w:szCs w:val="14"/>
                <w:color w:val="001641"/>
              </w:rPr>
              <w:t xml:space="preserve">Page </w:t>
            </w:r>
            <w:r>
              <w:rPr>
                <w:rFonts w:ascii="Arial" w:cs="Arial" w:eastAsia="Arial" w:hAnsi="Arial"/>
                <w:sz w:val="14"/>
                <w:szCs w:val="14"/>
                <w:color w:val="0000EE"/>
              </w:rPr>
              <w:t>117</w:t>
            </w:r>
          </w:p>
        </w:tc>
      </w:tr>
      <w:tr>
        <w:trPr>
          <w:trHeight w:val="209"/>
        </w:trPr>
        <w:tc>
          <w:tcPr>
            <w:tcW w:w="400" w:type="dxa"/>
            <w:vAlign w:val="bottom"/>
            <w:tcBorders>
              <w:bottom w:val="single" w:sz="8" w:color="808080"/>
            </w:tcBorders>
          </w:tcPr>
          <w:p>
            <w:pPr>
              <w:spacing w:after="0"/>
              <w:rPr>
                <w:sz w:val="18"/>
                <w:szCs w:val="18"/>
                <w:color w:val="auto"/>
              </w:rPr>
            </w:pPr>
          </w:p>
        </w:tc>
        <w:tc>
          <w:tcPr>
            <w:tcW w:w="5000" w:type="dxa"/>
            <w:vAlign w:val="bottom"/>
            <w:tcBorders>
              <w:bottom w:val="single" w:sz="8" w:color="808080"/>
            </w:tcBorders>
          </w:tcPr>
          <w:p>
            <w:pPr>
              <w:spacing w:after="0"/>
              <w:rPr>
                <w:sz w:val="18"/>
                <w:szCs w:val="18"/>
                <w:color w:val="auto"/>
              </w:rPr>
            </w:pPr>
          </w:p>
        </w:tc>
        <w:tc>
          <w:tcPr>
            <w:tcW w:w="224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128905" cy="1117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18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4" w:name="page15"/>
    <w:bookmarkEnd w:id="14"/>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3"/>
          <w:szCs w:val="13"/>
          <w:b w:val="1"/>
          <w:bCs w:val="1"/>
          <w:color w:val="00164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53340</wp:posOffset>
            </wp:positionV>
            <wp:extent cx="58293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BFA071"/>
        </w:rPr>
        <w:t>DIRECTOR NOMINEES</w:t>
      </w:r>
    </w:p>
    <w:p>
      <w:pPr>
        <w:spacing w:after="0" w:line="166" w:lineRule="exact"/>
        <w:rPr>
          <w:sz w:val="20"/>
          <w:szCs w:val="20"/>
          <w:color w:val="auto"/>
        </w:rPr>
      </w:pPr>
    </w:p>
    <w:p>
      <w:pPr>
        <w:ind w:left="920" w:right="1480"/>
        <w:spacing w:after="0" w:line="286" w:lineRule="auto"/>
        <w:rPr>
          <w:sz w:val="20"/>
          <w:szCs w:val="20"/>
          <w:color w:val="auto"/>
        </w:rPr>
      </w:pPr>
      <w:r>
        <w:rPr>
          <w:rFonts w:ascii="Arial" w:cs="Arial" w:eastAsia="Arial" w:hAnsi="Arial"/>
          <w:sz w:val="16"/>
          <w:szCs w:val="16"/>
          <w:color w:val="auto"/>
        </w:rPr>
        <w:t>The below table shows prior year committee composition that will be rotated and updated effective after the 2026 Annual Meeting.</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220"/>
        </w:trPr>
        <w:tc>
          <w:tcPr>
            <w:tcW w:w="80" w:type="dxa"/>
            <w:vAlign w:val="bottom"/>
            <w:shd w:val="clear" w:color="auto" w:fill="001641"/>
          </w:tcPr>
          <w:p>
            <w:pPr>
              <w:spacing w:after="0"/>
              <w:rPr>
                <w:sz w:val="19"/>
                <w:szCs w:val="19"/>
                <w:color w:val="auto"/>
              </w:rPr>
            </w:pPr>
          </w:p>
        </w:tc>
        <w:tc>
          <w:tcPr>
            <w:tcW w:w="1540" w:type="dxa"/>
            <w:vAlign w:val="bottom"/>
            <w:shd w:val="clear" w:color="auto" w:fill="001641"/>
          </w:tcPr>
          <w:p>
            <w:pPr>
              <w:spacing w:after="0"/>
              <w:rPr>
                <w:sz w:val="19"/>
                <w:szCs w:val="19"/>
                <w:color w:val="auto"/>
              </w:rPr>
            </w:pPr>
          </w:p>
        </w:tc>
        <w:tc>
          <w:tcPr>
            <w:tcW w:w="460" w:type="dxa"/>
            <w:vAlign w:val="bottom"/>
            <w:shd w:val="clear" w:color="auto" w:fill="001641"/>
          </w:tcPr>
          <w:p>
            <w:pPr>
              <w:spacing w:after="0"/>
              <w:rPr>
                <w:sz w:val="19"/>
                <w:szCs w:val="19"/>
                <w:color w:val="auto"/>
              </w:rPr>
            </w:pPr>
          </w:p>
        </w:tc>
        <w:tc>
          <w:tcPr>
            <w:tcW w:w="1500" w:type="dxa"/>
            <w:vAlign w:val="bottom"/>
            <w:shd w:val="clear" w:color="auto" w:fill="001641"/>
          </w:tcPr>
          <w:p>
            <w:pPr>
              <w:spacing w:after="0"/>
              <w:rPr>
                <w:sz w:val="19"/>
                <w:szCs w:val="19"/>
                <w:color w:val="auto"/>
              </w:rPr>
            </w:pPr>
          </w:p>
        </w:tc>
        <w:tc>
          <w:tcPr>
            <w:tcW w:w="560" w:type="dxa"/>
            <w:vAlign w:val="bottom"/>
            <w:shd w:val="clear" w:color="auto" w:fill="001641"/>
          </w:tcPr>
          <w:p>
            <w:pPr>
              <w:spacing w:after="0"/>
              <w:rPr>
                <w:sz w:val="19"/>
                <w:szCs w:val="19"/>
                <w:color w:val="auto"/>
              </w:rPr>
            </w:pPr>
          </w:p>
        </w:tc>
        <w:tc>
          <w:tcPr>
            <w:tcW w:w="140" w:type="dxa"/>
            <w:vAlign w:val="bottom"/>
            <w:shd w:val="clear" w:color="auto" w:fill="001641"/>
          </w:tcPr>
          <w:p>
            <w:pPr>
              <w:spacing w:after="0"/>
              <w:rPr>
                <w:sz w:val="19"/>
                <w:szCs w:val="19"/>
                <w:color w:val="auto"/>
              </w:rPr>
            </w:pPr>
          </w:p>
        </w:tc>
        <w:tc>
          <w:tcPr>
            <w:tcW w:w="680" w:type="dxa"/>
            <w:vAlign w:val="bottom"/>
            <w:shd w:val="clear" w:color="auto" w:fill="001641"/>
          </w:tcPr>
          <w:p>
            <w:pPr>
              <w:spacing w:after="0"/>
              <w:rPr>
                <w:sz w:val="19"/>
                <w:szCs w:val="19"/>
                <w:color w:val="auto"/>
              </w:rPr>
            </w:pPr>
          </w:p>
        </w:tc>
        <w:tc>
          <w:tcPr>
            <w:tcW w:w="1140" w:type="dxa"/>
            <w:vAlign w:val="bottom"/>
            <w:shd w:val="clear" w:color="auto" w:fill="001641"/>
          </w:tcPr>
          <w:p>
            <w:pPr>
              <w:spacing w:after="0"/>
              <w:rPr>
                <w:sz w:val="19"/>
                <w:szCs w:val="19"/>
                <w:color w:val="auto"/>
              </w:rPr>
            </w:pPr>
          </w:p>
        </w:tc>
        <w:tc>
          <w:tcPr>
            <w:tcW w:w="140" w:type="dxa"/>
            <w:vAlign w:val="bottom"/>
            <w:shd w:val="clear" w:color="auto" w:fill="001641"/>
          </w:tcPr>
          <w:p>
            <w:pPr>
              <w:spacing w:after="0"/>
              <w:rPr>
                <w:sz w:val="19"/>
                <w:szCs w:val="19"/>
                <w:color w:val="auto"/>
              </w:rPr>
            </w:pPr>
          </w:p>
        </w:tc>
        <w:tc>
          <w:tcPr>
            <w:tcW w:w="1120" w:type="dxa"/>
            <w:vAlign w:val="bottom"/>
            <w:shd w:val="clear" w:color="auto" w:fill="001641"/>
          </w:tcPr>
          <w:p>
            <w:pPr>
              <w:jc w:val="center"/>
              <w:ind w:right="108"/>
              <w:spacing w:after="0"/>
              <w:rPr>
                <w:sz w:val="20"/>
                <w:szCs w:val="20"/>
                <w:color w:val="auto"/>
              </w:rPr>
            </w:pPr>
            <w:r>
              <w:rPr>
                <w:rFonts w:ascii="Arial" w:cs="Arial" w:eastAsia="Arial" w:hAnsi="Arial"/>
                <w:sz w:val="14"/>
                <w:szCs w:val="14"/>
                <w:b w:val="1"/>
                <w:bCs w:val="1"/>
                <w:color w:val="FFFFFF"/>
              </w:rPr>
              <w:t>Other Current</w:t>
            </w:r>
          </w:p>
        </w:tc>
        <w:tc>
          <w:tcPr>
            <w:tcW w:w="120" w:type="dxa"/>
            <w:vAlign w:val="bottom"/>
            <w:shd w:val="clear" w:color="auto" w:fill="001641"/>
          </w:tcPr>
          <w:p>
            <w:pPr>
              <w:spacing w:after="0"/>
              <w:rPr>
                <w:sz w:val="19"/>
                <w:szCs w:val="19"/>
                <w:color w:val="auto"/>
              </w:rPr>
            </w:pPr>
          </w:p>
        </w:tc>
        <w:tc>
          <w:tcPr>
            <w:tcW w:w="220" w:type="dxa"/>
            <w:vAlign w:val="bottom"/>
            <w:shd w:val="clear" w:color="auto" w:fill="001641"/>
          </w:tcPr>
          <w:p>
            <w:pPr>
              <w:spacing w:after="0"/>
              <w:rPr>
                <w:sz w:val="19"/>
                <w:szCs w:val="19"/>
                <w:color w:val="auto"/>
              </w:rPr>
            </w:pPr>
          </w:p>
        </w:tc>
        <w:tc>
          <w:tcPr>
            <w:tcW w:w="1040" w:type="dxa"/>
            <w:vAlign w:val="bottom"/>
            <w:gridSpan w:val="2"/>
            <w:vMerge w:val="restart"/>
            <w:shd w:val="clear" w:color="auto" w:fill="001641"/>
          </w:tcPr>
          <w:p>
            <w:pPr>
              <w:ind w:left="80"/>
              <w:spacing w:after="0"/>
              <w:rPr>
                <w:sz w:val="20"/>
                <w:szCs w:val="20"/>
                <w:color w:val="auto"/>
              </w:rPr>
            </w:pPr>
            <w:r>
              <w:rPr>
                <w:rFonts w:ascii="Arial" w:cs="Arial" w:eastAsia="Arial" w:hAnsi="Arial"/>
                <w:sz w:val="14"/>
                <w:szCs w:val="14"/>
                <w:b w:val="1"/>
                <w:bCs w:val="1"/>
                <w:color w:val="FFFFFF"/>
              </w:rPr>
              <w:t>Committees</w:t>
            </w:r>
            <w:r>
              <w:rPr>
                <w:rFonts w:ascii="Arial" w:cs="Arial" w:eastAsia="Arial" w:hAnsi="Arial"/>
                <w:sz w:val="23"/>
                <w:szCs w:val="23"/>
                <w:b w:val="1"/>
                <w:bCs w:val="1"/>
                <w:color w:val="FFFFFF"/>
                <w:vertAlign w:val="superscript"/>
              </w:rPr>
              <w:t>1</w:t>
            </w:r>
          </w:p>
        </w:tc>
        <w:tc>
          <w:tcPr>
            <w:tcW w:w="440" w:type="dxa"/>
            <w:vAlign w:val="bottom"/>
            <w:shd w:val="clear" w:color="auto" w:fill="001641"/>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0" w:type="dxa"/>
            <w:vAlign w:val="bottom"/>
            <w:shd w:val="clear" w:color="auto" w:fill="001641"/>
          </w:tcPr>
          <w:p>
            <w:pPr>
              <w:spacing w:after="0"/>
              <w:rPr>
                <w:sz w:val="14"/>
                <w:szCs w:val="14"/>
                <w:color w:val="auto"/>
              </w:rPr>
            </w:pPr>
          </w:p>
        </w:tc>
        <w:tc>
          <w:tcPr>
            <w:tcW w:w="1540" w:type="dxa"/>
            <w:vAlign w:val="bottom"/>
            <w:shd w:val="clear" w:color="auto" w:fill="001641"/>
          </w:tcPr>
          <w:p>
            <w:pPr>
              <w:spacing w:after="0"/>
              <w:rPr>
                <w:sz w:val="14"/>
                <w:szCs w:val="14"/>
                <w:color w:val="auto"/>
              </w:rPr>
            </w:pPr>
          </w:p>
        </w:tc>
        <w:tc>
          <w:tcPr>
            <w:tcW w:w="460" w:type="dxa"/>
            <w:vAlign w:val="bottom"/>
            <w:shd w:val="clear" w:color="auto" w:fill="001641"/>
          </w:tcPr>
          <w:p>
            <w:pPr>
              <w:spacing w:after="0"/>
              <w:rPr>
                <w:sz w:val="14"/>
                <w:szCs w:val="14"/>
                <w:color w:val="auto"/>
              </w:rPr>
            </w:pPr>
          </w:p>
        </w:tc>
        <w:tc>
          <w:tcPr>
            <w:tcW w:w="1500" w:type="dxa"/>
            <w:vAlign w:val="bottom"/>
            <w:shd w:val="clear" w:color="auto" w:fill="001641"/>
          </w:tcPr>
          <w:p>
            <w:pPr>
              <w:spacing w:after="0"/>
              <w:rPr>
                <w:sz w:val="14"/>
                <w:szCs w:val="14"/>
                <w:color w:val="auto"/>
              </w:rPr>
            </w:pPr>
          </w:p>
        </w:tc>
        <w:tc>
          <w:tcPr>
            <w:tcW w:w="560" w:type="dxa"/>
            <w:vAlign w:val="bottom"/>
            <w:shd w:val="clear" w:color="auto" w:fill="001641"/>
          </w:tcPr>
          <w:p>
            <w:pPr>
              <w:spacing w:after="0"/>
              <w:rPr>
                <w:sz w:val="14"/>
                <w:szCs w:val="14"/>
                <w:color w:val="auto"/>
              </w:rPr>
            </w:pPr>
          </w:p>
        </w:tc>
        <w:tc>
          <w:tcPr>
            <w:tcW w:w="140" w:type="dxa"/>
            <w:vAlign w:val="bottom"/>
            <w:shd w:val="clear" w:color="auto" w:fill="001641"/>
          </w:tcPr>
          <w:p>
            <w:pPr>
              <w:spacing w:after="0"/>
              <w:rPr>
                <w:sz w:val="14"/>
                <w:szCs w:val="14"/>
                <w:color w:val="auto"/>
              </w:rPr>
            </w:pPr>
          </w:p>
        </w:tc>
        <w:tc>
          <w:tcPr>
            <w:tcW w:w="680" w:type="dxa"/>
            <w:vAlign w:val="bottom"/>
            <w:shd w:val="clear" w:color="auto" w:fill="001641"/>
          </w:tcPr>
          <w:p>
            <w:pPr>
              <w:spacing w:after="0"/>
              <w:rPr>
                <w:sz w:val="14"/>
                <w:szCs w:val="14"/>
                <w:color w:val="auto"/>
              </w:rPr>
            </w:pPr>
          </w:p>
        </w:tc>
        <w:tc>
          <w:tcPr>
            <w:tcW w:w="1140" w:type="dxa"/>
            <w:vAlign w:val="bottom"/>
            <w:shd w:val="clear" w:color="auto" w:fill="001641"/>
          </w:tcPr>
          <w:p>
            <w:pPr>
              <w:spacing w:after="0"/>
              <w:rPr>
                <w:sz w:val="14"/>
                <w:szCs w:val="14"/>
                <w:color w:val="auto"/>
              </w:rPr>
            </w:pPr>
          </w:p>
        </w:tc>
        <w:tc>
          <w:tcPr>
            <w:tcW w:w="140" w:type="dxa"/>
            <w:vAlign w:val="bottom"/>
            <w:shd w:val="clear" w:color="auto" w:fill="001641"/>
          </w:tcPr>
          <w:p>
            <w:pPr>
              <w:spacing w:after="0"/>
              <w:rPr>
                <w:sz w:val="14"/>
                <w:szCs w:val="14"/>
                <w:color w:val="auto"/>
              </w:rPr>
            </w:pPr>
          </w:p>
        </w:tc>
        <w:tc>
          <w:tcPr>
            <w:tcW w:w="1120" w:type="dxa"/>
            <w:vAlign w:val="bottom"/>
            <w:shd w:val="clear" w:color="auto" w:fill="001641"/>
          </w:tcPr>
          <w:p>
            <w:pPr>
              <w:jc w:val="center"/>
              <w:ind w:right="128"/>
              <w:spacing w:after="0"/>
              <w:rPr>
                <w:sz w:val="20"/>
                <w:szCs w:val="20"/>
                <w:color w:val="auto"/>
              </w:rPr>
            </w:pPr>
            <w:r>
              <w:rPr>
                <w:rFonts w:ascii="Arial" w:cs="Arial" w:eastAsia="Arial" w:hAnsi="Arial"/>
                <w:sz w:val="14"/>
                <w:szCs w:val="14"/>
                <w:b w:val="1"/>
                <w:bCs w:val="1"/>
                <w:color w:val="FFFFFF"/>
              </w:rPr>
              <w:t>Public</w:t>
            </w:r>
          </w:p>
        </w:tc>
        <w:tc>
          <w:tcPr>
            <w:tcW w:w="120" w:type="dxa"/>
            <w:vAlign w:val="bottom"/>
            <w:shd w:val="clear" w:color="auto" w:fill="001641"/>
          </w:tcPr>
          <w:p>
            <w:pPr>
              <w:spacing w:after="0"/>
              <w:rPr>
                <w:sz w:val="14"/>
                <w:szCs w:val="14"/>
                <w:color w:val="auto"/>
              </w:rPr>
            </w:pPr>
          </w:p>
        </w:tc>
        <w:tc>
          <w:tcPr>
            <w:tcW w:w="220" w:type="dxa"/>
            <w:vAlign w:val="bottom"/>
            <w:shd w:val="clear" w:color="auto" w:fill="001641"/>
          </w:tcPr>
          <w:p>
            <w:pPr>
              <w:spacing w:after="0"/>
              <w:rPr>
                <w:sz w:val="14"/>
                <w:szCs w:val="14"/>
                <w:color w:val="auto"/>
              </w:rPr>
            </w:pPr>
          </w:p>
        </w:tc>
        <w:tc>
          <w:tcPr>
            <w:tcW w:w="1040" w:type="dxa"/>
            <w:vAlign w:val="bottom"/>
            <w:gridSpan w:val="2"/>
            <w:vMerge w:val="continue"/>
            <w:shd w:val="clear" w:color="auto" w:fill="001641"/>
          </w:tcPr>
          <w:p>
            <w:pPr>
              <w:spacing w:after="0"/>
              <w:rPr>
                <w:sz w:val="14"/>
                <w:szCs w:val="14"/>
                <w:color w:val="auto"/>
              </w:rPr>
            </w:pPr>
          </w:p>
        </w:tc>
        <w:tc>
          <w:tcPr>
            <w:tcW w:w="440" w:type="dxa"/>
            <w:vAlign w:val="bottom"/>
            <w:shd w:val="clear" w:color="auto" w:fill="001641"/>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 w:type="dxa"/>
            <w:vAlign w:val="bottom"/>
            <w:shd w:val="clear" w:color="auto" w:fill="001641"/>
          </w:tcPr>
          <w:p>
            <w:pPr>
              <w:spacing w:after="0"/>
              <w:rPr>
                <w:sz w:val="13"/>
                <w:szCs w:val="13"/>
                <w:color w:val="auto"/>
              </w:rPr>
            </w:pPr>
          </w:p>
        </w:tc>
        <w:tc>
          <w:tcPr>
            <w:tcW w:w="1540" w:type="dxa"/>
            <w:vAlign w:val="bottom"/>
            <w:shd w:val="clear" w:color="auto" w:fill="001641"/>
          </w:tcPr>
          <w:p>
            <w:pPr>
              <w:spacing w:after="0"/>
              <w:rPr>
                <w:sz w:val="13"/>
                <w:szCs w:val="13"/>
                <w:color w:val="auto"/>
              </w:rPr>
            </w:pPr>
          </w:p>
        </w:tc>
        <w:tc>
          <w:tcPr>
            <w:tcW w:w="460" w:type="dxa"/>
            <w:vAlign w:val="bottom"/>
            <w:shd w:val="clear" w:color="auto" w:fill="001641"/>
          </w:tcPr>
          <w:p>
            <w:pPr>
              <w:spacing w:after="0"/>
              <w:rPr>
                <w:sz w:val="13"/>
                <w:szCs w:val="13"/>
                <w:color w:val="auto"/>
              </w:rPr>
            </w:pPr>
          </w:p>
        </w:tc>
        <w:tc>
          <w:tcPr>
            <w:tcW w:w="1500" w:type="dxa"/>
            <w:vAlign w:val="bottom"/>
            <w:shd w:val="clear" w:color="auto" w:fill="001641"/>
          </w:tcPr>
          <w:p>
            <w:pPr>
              <w:spacing w:after="0"/>
              <w:rPr>
                <w:sz w:val="13"/>
                <w:szCs w:val="13"/>
                <w:color w:val="auto"/>
              </w:rPr>
            </w:pPr>
          </w:p>
        </w:tc>
        <w:tc>
          <w:tcPr>
            <w:tcW w:w="560" w:type="dxa"/>
            <w:vAlign w:val="bottom"/>
            <w:shd w:val="clear" w:color="auto" w:fill="001641"/>
          </w:tcPr>
          <w:p>
            <w:pPr>
              <w:spacing w:after="0"/>
              <w:rPr>
                <w:sz w:val="13"/>
                <w:szCs w:val="13"/>
                <w:color w:val="auto"/>
              </w:rPr>
            </w:pPr>
          </w:p>
        </w:tc>
        <w:tc>
          <w:tcPr>
            <w:tcW w:w="140" w:type="dxa"/>
            <w:vAlign w:val="bottom"/>
            <w:shd w:val="clear" w:color="auto" w:fill="001641"/>
          </w:tcPr>
          <w:p>
            <w:pPr>
              <w:spacing w:after="0"/>
              <w:rPr>
                <w:sz w:val="13"/>
                <w:szCs w:val="13"/>
                <w:color w:val="auto"/>
              </w:rPr>
            </w:pPr>
          </w:p>
        </w:tc>
        <w:tc>
          <w:tcPr>
            <w:tcW w:w="680" w:type="dxa"/>
            <w:vAlign w:val="bottom"/>
            <w:shd w:val="clear" w:color="auto" w:fill="001641"/>
          </w:tcPr>
          <w:p>
            <w:pPr>
              <w:jc w:val="center"/>
              <w:ind w:right="68"/>
              <w:spacing w:after="0" w:line="153" w:lineRule="exact"/>
              <w:rPr>
                <w:sz w:val="20"/>
                <w:szCs w:val="20"/>
                <w:color w:val="auto"/>
              </w:rPr>
            </w:pPr>
            <w:r>
              <w:rPr>
                <w:rFonts w:ascii="Arial" w:cs="Arial" w:eastAsia="Arial" w:hAnsi="Arial"/>
                <w:sz w:val="14"/>
                <w:szCs w:val="14"/>
                <w:b w:val="1"/>
                <w:bCs w:val="1"/>
                <w:color w:val="FFFFFF"/>
              </w:rPr>
              <w:t>Director</w:t>
            </w:r>
          </w:p>
        </w:tc>
        <w:tc>
          <w:tcPr>
            <w:tcW w:w="1140" w:type="dxa"/>
            <w:vAlign w:val="bottom"/>
            <w:shd w:val="clear" w:color="auto" w:fill="001641"/>
          </w:tcPr>
          <w:p>
            <w:pPr>
              <w:spacing w:after="0"/>
              <w:rPr>
                <w:sz w:val="13"/>
                <w:szCs w:val="13"/>
                <w:color w:val="auto"/>
              </w:rPr>
            </w:pPr>
          </w:p>
        </w:tc>
        <w:tc>
          <w:tcPr>
            <w:tcW w:w="140" w:type="dxa"/>
            <w:vAlign w:val="bottom"/>
            <w:shd w:val="clear" w:color="auto" w:fill="001641"/>
          </w:tcPr>
          <w:p>
            <w:pPr>
              <w:spacing w:after="0"/>
              <w:rPr>
                <w:sz w:val="13"/>
                <w:szCs w:val="13"/>
                <w:color w:val="auto"/>
              </w:rPr>
            </w:pPr>
          </w:p>
        </w:tc>
        <w:tc>
          <w:tcPr>
            <w:tcW w:w="1120" w:type="dxa"/>
            <w:vAlign w:val="bottom"/>
            <w:shd w:val="clear" w:color="auto" w:fill="001641"/>
          </w:tcPr>
          <w:p>
            <w:pPr>
              <w:jc w:val="center"/>
              <w:ind w:right="108"/>
              <w:spacing w:after="0" w:line="153" w:lineRule="exact"/>
              <w:rPr>
                <w:sz w:val="20"/>
                <w:szCs w:val="20"/>
                <w:color w:val="auto"/>
              </w:rPr>
            </w:pPr>
            <w:r>
              <w:rPr>
                <w:rFonts w:ascii="Arial" w:cs="Arial" w:eastAsia="Arial" w:hAnsi="Arial"/>
                <w:sz w:val="14"/>
                <w:szCs w:val="14"/>
                <w:b w:val="1"/>
                <w:bCs w:val="1"/>
                <w:color w:val="FFFFFF"/>
              </w:rPr>
              <w:t>Company</w:t>
            </w:r>
          </w:p>
        </w:tc>
        <w:tc>
          <w:tcPr>
            <w:tcW w:w="120" w:type="dxa"/>
            <w:vAlign w:val="bottom"/>
            <w:shd w:val="clear" w:color="auto" w:fill="001641"/>
          </w:tcPr>
          <w:p>
            <w:pPr>
              <w:spacing w:after="0"/>
              <w:rPr>
                <w:sz w:val="13"/>
                <w:szCs w:val="13"/>
                <w:color w:val="auto"/>
              </w:rPr>
            </w:pPr>
          </w:p>
        </w:tc>
        <w:tc>
          <w:tcPr>
            <w:tcW w:w="220" w:type="dxa"/>
            <w:vAlign w:val="bottom"/>
            <w:vMerge w:val="restart"/>
            <w:shd w:val="clear" w:color="auto" w:fill="001641"/>
          </w:tcPr>
          <w:p>
            <w:pPr>
              <w:ind w:left="20"/>
              <w:spacing w:after="0"/>
              <w:rPr>
                <w:sz w:val="20"/>
                <w:szCs w:val="20"/>
                <w:color w:val="auto"/>
              </w:rPr>
            </w:pPr>
            <w:r>
              <w:rPr>
                <w:rFonts w:ascii="Arial" w:cs="Arial" w:eastAsia="Arial" w:hAnsi="Arial"/>
                <w:sz w:val="14"/>
                <w:szCs w:val="14"/>
                <w:b w:val="1"/>
                <w:bCs w:val="1"/>
                <w:color w:val="FFFFFF"/>
              </w:rPr>
              <w:t>A</w:t>
            </w:r>
          </w:p>
        </w:tc>
        <w:tc>
          <w:tcPr>
            <w:tcW w:w="520" w:type="dxa"/>
            <w:vAlign w:val="bottom"/>
            <w:vMerge w:val="restart"/>
            <w:shd w:val="clear" w:color="auto" w:fill="001641"/>
          </w:tcPr>
          <w:p>
            <w:pPr>
              <w:ind w:left="260"/>
              <w:spacing w:after="0"/>
              <w:rPr>
                <w:sz w:val="20"/>
                <w:szCs w:val="20"/>
                <w:color w:val="auto"/>
              </w:rPr>
            </w:pPr>
            <w:r>
              <w:rPr>
                <w:rFonts w:ascii="Arial" w:cs="Arial" w:eastAsia="Arial" w:hAnsi="Arial"/>
                <w:sz w:val="14"/>
                <w:szCs w:val="14"/>
                <w:b w:val="1"/>
                <w:bCs w:val="1"/>
                <w:color w:val="FFFFFF"/>
              </w:rPr>
              <w:t>T</w:t>
            </w:r>
          </w:p>
        </w:tc>
        <w:tc>
          <w:tcPr>
            <w:tcW w:w="520" w:type="dxa"/>
            <w:vAlign w:val="bottom"/>
            <w:vMerge w:val="restart"/>
            <w:shd w:val="clear" w:color="auto" w:fill="001641"/>
          </w:tcPr>
          <w:p>
            <w:pPr>
              <w:ind w:left="180"/>
              <w:spacing w:after="0"/>
              <w:rPr>
                <w:sz w:val="20"/>
                <w:szCs w:val="20"/>
                <w:color w:val="auto"/>
              </w:rPr>
            </w:pPr>
            <w:r>
              <w:rPr>
                <w:rFonts w:ascii="Arial" w:cs="Arial" w:eastAsia="Arial" w:hAnsi="Arial"/>
                <w:sz w:val="14"/>
                <w:szCs w:val="14"/>
                <w:b w:val="1"/>
                <w:bCs w:val="1"/>
                <w:color w:val="FFFFFF"/>
              </w:rPr>
              <w:t>N</w:t>
            </w:r>
          </w:p>
        </w:tc>
        <w:tc>
          <w:tcPr>
            <w:tcW w:w="440" w:type="dxa"/>
            <w:vAlign w:val="bottom"/>
            <w:vMerge w:val="restart"/>
            <w:shd w:val="clear" w:color="auto" w:fill="001641"/>
          </w:tcPr>
          <w:p>
            <w:pPr>
              <w:ind w:left="120"/>
              <w:spacing w:after="0"/>
              <w:rPr>
                <w:sz w:val="20"/>
                <w:szCs w:val="20"/>
                <w:color w:val="auto"/>
              </w:rPr>
            </w:pPr>
            <w:r>
              <w:rPr>
                <w:rFonts w:ascii="Arial" w:cs="Arial" w:eastAsia="Arial" w:hAnsi="Arial"/>
                <w:sz w:val="14"/>
                <w:szCs w:val="14"/>
                <w:b w:val="1"/>
                <w:bCs w:val="1"/>
                <w:color w:val="FFFFFF"/>
              </w:rPr>
              <w:t>F</w:t>
            </w:r>
          </w:p>
        </w:tc>
        <w:tc>
          <w:tcPr>
            <w:tcW w:w="0" w:type="dxa"/>
            <w:vAlign w:val="bottom"/>
          </w:tcPr>
          <w:p>
            <w:pPr>
              <w:spacing w:after="0"/>
              <w:rPr>
                <w:sz w:val="1"/>
                <w:szCs w:val="1"/>
                <w:color w:val="auto"/>
              </w:rPr>
            </w:pPr>
          </w:p>
        </w:tc>
      </w:tr>
      <w:tr>
        <w:trPr>
          <w:trHeight w:val="129"/>
        </w:trPr>
        <w:tc>
          <w:tcPr>
            <w:tcW w:w="80" w:type="dxa"/>
            <w:vAlign w:val="bottom"/>
            <w:shd w:val="clear" w:color="auto" w:fill="001641"/>
          </w:tcPr>
          <w:p>
            <w:pPr>
              <w:spacing w:after="0"/>
              <w:rPr>
                <w:sz w:val="11"/>
                <w:szCs w:val="11"/>
                <w:color w:val="auto"/>
              </w:rPr>
            </w:pPr>
          </w:p>
        </w:tc>
        <w:tc>
          <w:tcPr>
            <w:tcW w:w="1540" w:type="dxa"/>
            <w:vAlign w:val="bottom"/>
            <w:vMerge w:val="restart"/>
            <w:shd w:val="clear" w:color="auto" w:fill="001641"/>
          </w:tcPr>
          <w:p>
            <w:pPr>
              <w:ind w:left="40"/>
              <w:spacing w:after="0"/>
              <w:rPr>
                <w:sz w:val="20"/>
                <w:szCs w:val="20"/>
                <w:color w:val="auto"/>
              </w:rPr>
            </w:pPr>
            <w:r>
              <w:rPr>
                <w:rFonts w:ascii="Arial" w:cs="Arial" w:eastAsia="Arial" w:hAnsi="Arial"/>
                <w:sz w:val="14"/>
                <w:szCs w:val="14"/>
                <w:b w:val="1"/>
                <w:bCs w:val="1"/>
                <w:color w:val="FFFFFF"/>
              </w:rPr>
              <w:t>Name</w:t>
            </w:r>
          </w:p>
        </w:tc>
        <w:tc>
          <w:tcPr>
            <w:tcW w:w="1960" w:type="dxa"/>
            <w:vAlign w:val="bottom"/>
            <w:gridSpan w:val="2"/>
            <w:vMerge w:val="restart"/>
            <w:shd w:val="clear" w:color="auto" w:fill="001641"/>
          </w:tcPr>
          <w:p>
            <w:pPr>
              <w:ind w:left="140"/>
              <w:spacing w:after="0"/>
              <w:rPr>
                <w:sz w:val="20"/>
                <w:szCs w:val="20"/>
                <w:color w:val="auto"/>
              </w:rPr>
            </w:pPr>
            <w:r>
              <w:rPr>
                <w:rFonts w:ascii="Arial" w:cs="Arial" w:eastAsia="Arial" w:hAnsi="Arial"/>
                <w:sz w:val="14"/>
                <w:szCs w:val="14"/>
                <w:b w:val="1"/>
                <w:bCs w:val="1"/>
                <w:color w:val="FFFFFF"/>
              </w:rPr>
              <w:t>Occupation</w:t>
            </w:r>
          </w:p>
        </w:tc>
        <w:tc>
          <w:tcPr>
            <w:tcW w:w="560" w:type="dxa"/>
            <w:vAlign w:val="bottom"/>
            <w:vMerge w:val="restart"/>
            <w:shd w:val="clear" w:color="auto" w:fill="001641"/>
          </w:tcPr>
          <w:p>
            <w:pPr>
              <w:jc w:val="center"/>
              <w:spacing w:after="0"/>
              <w:rPr>
                <w:sz w:val="20"/>
                <w:szCs w:val="20"/>
                <w:color w:val="auto"/>
              </w:rPr>
            </w:pPr>
            <w:r>
              <w:rPr>
                <w:rFonts w:ascii="Arial" w:cs="Arial" w:eastAsia="Arial" w:hAnsi="Arial"/>
                <w:sz w:val="14"/>
                <w:szCs w:val="14"/>
                <w:b w:val="1"/>
                <w:bCs w:val="1"/>
                <w:color w:val="FFFFFF"/>
              </w:rPr>
              <w:t>Age</w:t>
            </w:r>
          </w:p>
        </w:tc>
        <w:tc>
          <w:tcPr>
            <w:tcW w:w="140" w:type="dxa"/>
            <w:vAlign w:val="bottom"/>
            <w:shd w:val="clear" w:color="auto" w:fill="001641"/>
          </w:tcPr>
          <w:p>
            <w:pPr>
              <w:spacing w:after="0"/>
              <w:rPr>
                <w:sz w:val="11"/>
                <w:szCs w:val="11"/>
                <w:color w:val="auto"/>
              </w:rPr>
            </w:pPr>
          </w:p>
        </w:tc>
        <w:tc>
          <w:tcPr>
            <w:tcW w:w="680" w:type="dxa"/>
            <w:vAlign w:val="bottom"/>
            <w:vMerge w:val="restart"/>
            <w:shd w:val="clear" w:color="auto" w:fill="001641"/>
          </w:tcPr>
          <w:p>
            <w:pPr>
              <w:jc w:val="center"/>
              <w:ind w:right="68"/>
              <w:spacing w:after="0"/>
              <w:rPr>
                <w:sz w:val="20"/>
                <w:szCs w:val="20"/>
                <w:color w:val="auto"/>
              </w:rPr>
            </w:pPr>
            <w:r>
              <w:rPr>
                <w:rFonts w:ascii="Arial" w:cs="Arial" w:eastAsia="Arial" w:hAnsi="Arial"/>
                <w:sz w:val="14"/>
                <w:szCs w:val="14"/>
                <w:b w:val="1"/>
                <w:bCs w:val="1"/>
                <w:color w:val="FFFFFF"/>
              </w:rPr>
              <w:t>Since</w:t>
            </w:r>
          </w:p>
        </w:tc>
        <w:tc>
          <w:tcPr>
            <w:tcW w:w="1140" w:type="dxa"/>
            <w:vAlign w:val="bottom"/>
            <w:vMerge w:val="restart"/>
            <w:shd w:val="clear" w:color="auto" w:fill="001641"/>
          </w:tcPr>
          <w:p>
            <w:pPr>
              <w:ind w:left="140"/>
              <w:spacing w:after="0"/>
              <w:rPr>
                <w:sz w:val="20"/>
                <w:szCs w:val="20"/>
                <w:color w:val="auto"/>
              </w:rPr>
            </w:pPr>
            <w:r>
              <w:rPr>
                <w:rFonts w:ascii="Arial" w:cs="Arial" w:eastAsia="Arial" w:hAnsi="Arial"/>
                <w:sz w:val="14"/>
                <w:szCs w:val="14"/>
                <w:b w:val="1"/>
                <w:bCs w:val="1"/>
                <w:color w:val="FFFFFF"/>
              </w:rPr>
              <w:t>Independent</w:t>
            </w:r>
          </w:p>
        </w:tc>
        <w:tc>
          <w:tcPr>
            <w:tcW w:w="140" w:type="dxa"/>
            <w:vAlign w:val="bottom"/>
            <w:shd w:val="clear" w:color="auto" w:fill="001641"/>
          </w:tcPr>
          <w:p>
            <w:pPr>
              <w:spacing w:after="0"/>
              <w:rPr>
                <w:sz w:val="11"/>
                <w:szCs w:val="11"/>
                <w:color w:val="auto"/>
              </w:rPr>
            </w:pPr>
          </w:p>
        </w:tc>
        <w:tc>
          <w:tcPr>
            <w:tcW w:w="1120" w:type="dxa"/>
            <w:vAlign w:val="bottom"/>
            <w:vMerge w:val="restart"/>
            <w:shd w:val="clear" w:color="auto" w:fill="001641"/>
          </w:tcPr>
          <w:p>
            <w:pPr>
              <w:jc w:val="center"/>
              <w:ind w:right="88"/>
              <w:spacing w:after="0"/>
              <w:rPr>
                <w:sz w:val="20"/>
                <w:szCs w:val="20"/>
                <w:color w:val="auto"/>
              </w:rPr>
            </w:pPr>
            <w:r>
              <w:rPr>
                <w:rFonts w:ascii="Arial" w:cs="Arial" w:eastAsia="Arial" w:hAnsi="Arial"/>
                <w:sz w:val="14"/>
                <w:szCs w:val="14"/>
                <w:b w:val="1"/>
                <w:bCs w:val="1"/>
                <w:color w:val="FFFFFF"/>
              </w:rPr>
              <w:t>Directorships</w:t>
            </w:r>
          </w:p>
        </w:tc>
        <w:tc>
          <w:tcPr>
            <w:tcW w:w="120" w:type="dxa"/>
            <w:vAlign w:val="bottom"/>
            <w:shd w:val="clear" w:color="auto" w:fill="001641"/>
          </w:tcPr>
          <w:p>
            <w:pPr>
              <w:spacing w:after="0"/>
              <w:rPr>
                <w:sz w:val="11"/>
                <w:szCs w:val="11"/>
                <w:color w:val="auto"/>
              </w:rPr>
            </w:pPr>
          </w:p>
        </w:tc>
        <w:tc>
          <w:tcPr>
            <w:tcW w:w="220" w:type="dxa"/>
            <w:vAlign w:val="bottom"/>
            <w:vMerge w:val="continue"/>
            <w:shd w:val="clear" w:color="auto" w:fill="001641"/>
          </w:tcPr>
          <w:p>
            <w:pPr>
              <w:spacing w:after="0"/>
              <w:rPr>
                <w:sz w:val="11"/>
                <w:szCs w:val="11"/>
                <w:color w:val="auto"/>
              </w:rPr>
            </w:pPr>
          </w:p>
        </w:tc>
        <w:tc>
          <w:tcPr>
            <w:tcW w:w="520" w:type="dxa"/>
            <w:vAlign w:val="bottom"/>
            <w:vMerge w:val="continue"/>
            <w:shd w:val="clear" w:color="auto" w:fill="001641"/>
          </w:tcPr>
          <w:p>
            <w:pPr>
              <w:spacing w:after="0"/>
              <w:rPr>
                <w:sz w:val="11"/>
                <w:szCs w:val="11"/>
                <w:color w:val="auto"/>
              </w:rPr>
            </w:pPr>
          </w:p>
        </w:tc>
        <w:tc>
          <w:tcPr>
            <w:tcW w:w="520" w:type="dxa"/>
            <w:vAlign w:val="bottom"/>
            <w:vMerge w:val="continue"/>
            <w:shd w:val="clear" w:color="auto" w:fill="001641"/>
          </w:tcPr>
          <w:p>
            <w:pPr>
              <w:spacing w:after="0"/>
              <w:rPr>
                <w:sz w:val="11"/>
                <w:szCs w:val="11"/>
                <w:color w:val="auto"/>
              </w:rPr>
            </w:pPr>
          </w:p>
        </w:tc>
        <w:tc>
          <w:tcPr>
            <w:tcW w:w="440" w:type="dxa"/>
            <w:vAlign w:val="bottom"/>
            <w:vMerge w:val="continue"/>
            <w:shd w:val="clear" w:color="auto" w:fill="001641"/>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80" w:type="dxa"/>
            <w:vAlign w:val="bottom"/>
            <w:shd w:val="clear" w:color="auto" w:fill="001641"/>
          </w:tcPr>
          <w:p>
            <w:pPr>
              <w:spacing w:after="0"/>
              <w:rPr>
                <w:sz w:val="7"/>
                <w:szCs w:val="7"/>
                <w:color w:val="auto"/>
              </w:rPr>
            </w:pPr>
          </w:p>
        </w:tc>
        <w:tc>
          <w:tcPr>
            <w:tcW w:w="1540" w:type="dxa"/>
            <w:vAlign w:val="bottom"/>
            <w:vMerge w:val="continue"/>
            <w:shd w:val="clear" w:color="auto" w:fill="001641"/>
          </w:tcPr>
          <w:p>
            <w:pPr>
              <w:spacing w:after="0"/>
              <w:rPr>
                <w:sz w:val="7"/>
                <w:szCs w:val="7"/>
                <w:color w:val="auto"/>
              </w:rPr>
            </w:pPr>
          </w:p>
        </w:tc>
        <w:tc>
          <w:tcPr>
            <w:tcW w:w="1960" w:type="dxa"/>
            <w:vAlign w:val="bottom"/>
            <w:gridSpan w:val="2"/>
            <w:vMerge w:val="continue"/>
            <w:shd w:val="clear" w:color="auto" w:fill="001641"/>
          </w:tcPr>
          <w:p>
            <w:pPr>
              <w:spacing w:after="0"/>
              <w:rPr>
                <w:sz w:val="7"/>
                <w:szCs w:val="7"/>
                <w:color w:val="auto"/>
              </w:rPr>
            </w:pPr>
          </w:p>
        </w:tc>
        <w:tc>
          <w:tcPr>
            <w:tcW w:w="560" w:type="dxa"/>
            <w:vAlign w:val="bottom"/>
            <w:vMerge w:val="continue"/>
            <w:shd w:val="clear" w:color="auto" w:fill="001641"/>
          </w:tcPr>
          <w:p>
            <w:pPr>
              <w:spacing w:after="0"/>
              <w:rPr>
                <w:sz w:val="7"/>
                <w:szCs w:val="7"/>
                <w:color w:val="auto"/>
              </w:rPr>
            </w:pPr>
          </w:p>
        </w:tc>
        <w:tc>
          <w:tcPr>
            <w:tcW w:w="140" w:type="dxa"/>
            <w:vAlign w:val="bottom"/>
            <w:shd w:val="clear" w:color="auto" w:fill="001641"/>
          </w:tcPr>
          <w:p>
            <w:pPr>
              <w:spacing w:after="0"/>
              <w:rPr>
                <w:sz w:val="7"/>
                <w:szCs w:val="7"/>
                <w:color w:val="auto"/>
              </w:rPr>
            </w:pPr>
          </w:p>
        </w:tc>
        <w:tc>
          <w:tcPr>
            <w:tcW w:w="680" w:type="dxa"/>
            <w:vAlign w:val="bottom"/>
            <w:vMerge w:val="continue"/>
            <w:shd w:val="clear" w:color="auto" w:fill="001641"/>
          </w:tcPr>
          <w:p>
            <w:pPr>
              <w:spacing w:after="0"/>
              <w:rPr>
                <w:sz w:val="7"/>
                <w:szCs w:val="7"/>
                <w:color w:val="auto"/>
              </w:rPr>
            </w:pPr>
          </w:p>
        </w:tc>
        <w:tc>
          <w:tcPr>
            <w:tcW w:w="1140" w:type="dxa"/>
            <w:vAlign w:val="bottom"/>
            <w:vMerge w:val="continue"/>
            <w:shd w:val="clear" w:color="auto" w:fill="001641"/>
          </w:tcPr>
          <w:p>
            <w:pPr>
              <w:spacing w:after="0"/>
              <w:rPr>
                <w:sz w:val="7"/>
                <w:szCs w:val="7"/>
                <w:color w:val="auto"/>
              </w:rPr>
            </w:pPr>
          </w:p>
        </w:tc>
        <w:tc>
          <w:tcPr>
            <w:tcW w:w="140" w:type="dxa"/>
            <w:vAlign w:val="bottom"/>
            <w:shd w:val="clear" w:color="auto" w:fill="001641"/>
          </w:tcPr>
          <w:p>
            <w:pPr>
              <w:spacing w:after="0"/>
              <w:rPr>
                <w:sz w:val="7"/>
                <w:szCs w:val="7"/>
                <w:color w:val="auto"/>
              </w:rPr>
            </w:pPr>
          </w:p>
        </w:tc>
        <w:tc>
          <w:tcPr>
            <w:tcW w:w="1120" w:type="dxa"/>
            <w:vAlign w:val="bottom"/>
            <w:vMerge w:val="continue"/>
            <w:shd w:val="clear" w:color="auto" w:fill="001641"/>
          </w:tcPr>
          <w:p>
            <w:pPr>
              <w:spacing w:after="0"/>
              <w:rPr>
                <w:sz w:val="7"/>
                <w:szCs w:val="7"/>
                <w:color w:val="auto"/>
              </w:rPr>
            </w:pPr>
          </w:p>
        </w:tc>
        <w:tc>
          <w:tcPr>
            <w:tcW w:w="120" w:type="dxa"/>
            <w:vAlign w:val="bottom"/>
            <w:shd w:val="clear" w:color="auto" w:fill="001641"/>
          </w:tcPr>
          <w:p>
            <w:pPr>
              <w:spacing w:after="0"/>
              <w:rPr>
                <w:sz w:val="7"/>
                <w:szCs w:val="7"/>
                <w:color w:val="auto"/>
              </w:rPr>
            </w:pPr>
          </w:p>
        </w:tc>
        <w:tc>
          <w:tcPr>
            <w:tcW w:w="220" w:type="dxa"/>
            <w:vAlign w:val="bottom"/>
            <w:shd w:val="clear" w:color="auto" w:fill="001641"/>
          </w:tcPr>
          <w:p>
            <w:pPr>
              <w:spacing w:after="0"/>
              <w:rPr>
                <w:sz w:val="7"/>
                <w:szCs w:val="7"/>
                <w:color w:val="auto"/>
              </w:rPr>
            </w:pPr>
          </w:p>
        </w:tc>
        <w:tc>
          <w:tcPr>
            <w:tcW w:w="520" w:type="dxa"/>
            <w:vAlign w:val="bottom"/>
            <w:shd w:val="clear" w:color="auto" w:fill="001641"/>
          </w:tcPr>
          <w:p>
            <w:pPr>
              <w:spacing w:after="0"/>
              <w:rPr>
                <w:sz w:val="7"/>
                <w:szCs w:val="7"/>
                <w:color w:val="auto"/>
              </w:rPr>
            </w:pPr>
          </w:p>
        </w:tc>
        <w:tc>
          <w:tcPr>
            <w:tcW w:w="520" w:type="dxa"/>
            <w:vAlign w:val="bottom"/>
            <w:shd w:val="clear" w:color="auto" w:fill="001641"/>
          </w:tcPr>
          <w:p>
            <w:pPr>
              <w:spacing w:after="0"/>
              <w:rPr>
                <w:sz w:val="7"/>
                <w:szCs w:val="7"/>
                <w:color w:val="auto"/>
              </w:rPr>
            </w:pPr>
          </w:p>
        </w:tc>
        <w:tc>
          <w:tcPr>
            <w:tcW w:w="440" w:type="dxa"/>
            <w:vAlign w:val="bottom"/>
            <w:shd w:val="clear" w:color="auto" w:fill="001641"/>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80" w:type="dxa"/>
            <w:vAlign w:val="bottom"/>
            <w:tcBorders>
              <w:bottom w:val="single" w:sz="8" w:color="BFA071"/>
            </w:tcBorders>
            <w:shd w:val="clear" w:color="auto" w:fill="BFA071"/>
          </w:tcPr>
          <w:p>
            <w:pPr>
              <w:spacing w:after="0"/>
              <w:rPr>
                <w:sz w:val="20"/>
                <w:szCs w:val="20"/>
                <w:color w:val="auto"/>
              </w:rPr>
            </w:pPr>
          </w:p>
        </w:tc>
        <w:tc>
          <w:tcPr>
            <w:tcW w:w="1540" w:type="dxa"/>
            <w:vAlign w:val="bottom"/>
            <w:tcBorders>
              <w:bottom w:val="single" w:sz="8" w:color="BFA071"/>
            </w:tcBorders>
            <w:shd w:val="clear" w:color="auto" w:fill="BFA071"/>
          </w:tcPr>
          <w:p>
            <w:pPr>
              <w:ind w:left="40"/>
              <w:spacing w:after="0"/>
              <w:rPr>
                <w:sz w:val="20"/>
                <w:szCs w:val="20"/>
                <w:color w:val="auto"/>
              </w:rPr>
            </w:pPr>
            <w:r>
              <w:rPr>
                <w:rFonts w:ascii="Arial" w:cs="Arial" w:eastAsia="Arial" w:hAnsi="Arial"/>
                <w:sz w:val="14"/>
                <w:szCs w:val="14"/>
                <w:b w:val="1"/>
                <w:bCs w:val="1"/>
                <w:color w:val="FFFFFF"/>
              </w:rPr>
              <w:t>Class A Directors</w:t>
            </w:r>
          </w:p>
        </w:tc>
        <w:tc>
          <w:tcPr>
            <w:tcW w:w="460" w:type="dxa"/>
            <w:vAlign w:val="bottom"/>
            <w:tcBorders>
              <w:bottom w:val="single" w:sz="8" w:color="BFA071"/>
            </w:tcBorders>
            <w:shd w:val="clear" w:color="auto" w:fill="BFA071"/>
          </w:tcPr>
          <w:p>
            <w:pPr>
              <w:spacing w:after="0"/>
              <w:rPr>
                <w:sz w:val="20"/>
                <w:szCs w:val="20"/>
                <w:color w:val="auto"/>
              </w:rPr>
            </w:pPr>
          </w:p>
        </w:tc>
        <w:tc>
          <w:tcPr>
            <w:tcW w:w="1500" w:type="dxa"/>
            <w:vAlign w:val="bottom"/>
            <w:tcBorders>
              <w:bottom w:val="single" w:sz="8" w:color="BFA071"/>
            </w:tcBorders>
            <w:shd w:val="clear" w:color="auto" w:fill="BFA071"/>
          </w:tcPr>
          <w:p>
            <w:pPr>
              <w:spacing w:after="0"/>
              <w:rPr>
                <w:sz w:val="20"/>
                <w:szCs w:val="20"/>
                <w:color w:val="auto"/>
              </w:rPr>
            </w:pPr>
          </w:p>
        </w:tc>
        <w:tc>
          <w:tcPr>
            <w:tcW w:w="560" w:type="dxa"/>
            <w:vAlign w:val="bottom"/>
            <w:tcBorders>
              <w:bottom w:val="single" w:sz="8" w:color="BFA071"/>
            </w:tcBorders>
            <w:shd w:val="clear" w:color="auto" w:fill="BFA071"/>
          </w:tcPr>
          <w:p>
            <w:pPr>
              <w:spacing w:after="0"/>
              <w:rPr>
                <w:sz w:val="20"/>
                <w:szCs w:val="20"/>
                <w:color w:val="auto"/>
              </w:rPr>
            </w:pPr>
          </w:p>
        </w:tc>
        <w:tc>
          <w:tcPr>
            <w:tcW w:w="140" w:type="dxa"/>
            <w:vAlign w:val="bottom"/>
            <w:tcBorders>
              <w:bottom w:val="single" w:sz="8" w:color="BFA071"/>
            </w:tcBorders>
            <w:shd w:val="clear" w:color="auto" w:fill="BFA071"/>
          </w:tcPr>
          <w:p>
            <w:pPr>
              <w:spacing w:after="0"/>
              <w:rPr>
                <w:sz w:val="20"/>
                <w:szCs w:val="20"/>
                <w:color w:val="auto"/>
              </w:rPr>
            </w:pPr>
          </w:p>
        </w:tc>
        <w:tc>
          <w:tcPr>
            <w:tcW w:w="680" w:type="dxa"/>
            <w:vAlign w:val="bottom"/>
            <w:tcBorders>
              <w:bottom w:val="single" w:sz="8" w:color="BFA071"/>
            </w:tcBorders>
            <w:shd w:val="clear" w:color="auto" w:fill="BFA071"/>
          </w:tcPr>
          <w:p>
            <w:pPr>
              <w:spacing w:after="0"/>
              <w:rPr>
                <w:sz w:val="20"/>
                <w:szCs w:val="20"/>
                <w:color w:val="auto"/>
              </w:rPr>
            </w:pPr>
          </w:p>
        </w:tc>
        <w:tc>
          <w:tcPr>
            <w:tcW w:w="1140" w:type="dxa"/>
            <w:vAlign w:val="bottom"/>
            <w:tcBorders>
              <w:bottom w:val="single" w:sz="8" w:color="BFA071"/>
            </w:tcBorders>
            <w:shd w:val="clear" w:color="auto" w:fill="BFA071"/>
          </w:tcPr>
          <w:p>
            <w:pPr>
              <w:spacing w:after="0"/>
              <w:rPr>
                <w:sz w:val="20"/>
                <w:szCs w:val="20"/>
                <w:color w:val="auto"/>
              </w:rPr>
            </w:pPr>
          </w:p>
        </w:tc>
        <w:tc>
          <w:tcPr>
            <w:tcW w:w="140" w:type="dxa"/>
            <w:vAlign w:val="bottom"/>
            <w:tcBorders>
              <w:bottom w:val="single" w:sz="8" w:color="BFA071"/>
            </w:tcBorders>
            <w:shd w:val="clear" w:color="auto" w:fill="BFA071"/>
          </w:tcPr>
          <w:p>
            <w:pPr>
              <w:spacing w:after="0"/>
              <w:rPr>
                <w:sz w:val="20"/>
                <w:szCs w:val="20"/>
                <w:color w:val="auto"/>
              </w:rPr>
            </w:pPr>
          </w:p>
        </w:tc>
        <w:tc>
          <w:tcPr>
            <w:tcW w:w="1120" w:type="dxa"/>
            <w:vAlign w:val="bottom"/>
            <w:tcBorders>
              <w:bottom w:val="single" w:sz="8" w:color="BFA071"/>
            </w:tcBorders>
            <w:shd w:val="clear" w:color="auto" w:fill="BFA071"/>
          </w:tcPr>
          <w:p>
            <w:pPr>
              <w:spacing w:after="0"/>
              <w:rPr>
                <w:sz w:val="20"/>
                <w:szCs w:val="20"/>
                <w:color w:val="auto"/>
              </w:rPr>
            </w:pPr>
          </w:p>
        </w:tc>
        <w:tc>
          <w:tcPr>
            <w:tcW w:w="120" w:type="dxa"/>
            <w:vAlign w:val="bottom"/>
            <w:tcBorders>
              <w:bottom w:val="single" w:sz="8" w:color="BFA071"/>
            </w:tcBorders>
            <w:shd w:val="clear" w:color="auto" w:fill="BFA071"/>
          </w:tcPr>
          <w:p>
            <w:pPr>
              <w:spacing w:after="0"/>
              <w:rPr>
                <w:sz w:val="20"/>
                <w:szCs w:val="20"/>
                <w:color w:val="auto"/>
              </w:rPr>
            </w:pPr>
          </w:p>
        </w:tc>
        <w:tc>
          <w:tcPr>
            <w:tcW w:w="220" w:type="dxa"/>
            <w:vAlign w:val="bottom"/>
            <w:tcBorders>
              <w:bottom w:val="single" w:sz="8" w:color="BFA071"/>
            </w:tcBorders>
            <w:shd w:val="clear" w:color="auto" w:fill="BFA071"/>
          </w:tcPr>
          <w:p>
            <w:pPr>
              <w:spacing w:after="0"/>
              <w:rPr>
                <w:sz w:val="20"/>
                <w:szCs w:val="20"/>
                <w:color w:val="auto"/>
              </w:rPr>
            </w:pPr>
          </w:p>
        </w:tc>
        <w:tc>
          <w:tcPr>
            <w:tcW w:w="520" w:type="dxa"/>
            <w:vAlign w:val="bottom"/>
            <w:tcBorders>
              <w:bottom w:val="single" w:sz="8" w:color="BFA071"/>
            </w:tcBorders>
            <w:shd w:val="clear" w:color="auto" w:fill="BFA071"/>
          </w:tcPr>
          <w:p>
            <w:pPr>
              <w:spacing w:after="0"/>
              <w:rPr>
                <w:sz w:val="20"/>
                <w:szCs w:val="20"/>
                <w:color w:val="auto"/>
              </w:rPr>
            </w:pPr>
          </w:p>
        </w:tc>
        <w:tc>
          <w:tcPr>
            <w:tcW w:w="520" w:type="dxa"/>
            <w:vAlign w:val="bottom"/>
            <w:tcBorders>
              <w:bottom w:val="single" w:sz="8" w:color="BFA071"/>
            </w:tcBorders>
            <w:shd w:val="clear" w:color="auto" w:fill="BFA071"/>
          </w:tcPr>
          <w:p>
            <w:pPr>
              <w:spacing w:after="0"/>
              <w:rPr>
                <w:sz w:val="20"/>
                <w:szCs w:val="20"/>
                <w:color w:val="auto"/>
              </w:rPr>
            </w:pPr>
          </w:p>
        </w:tc>
        <w:tc>
          <w:tcPr>
            <w:tcW w:w="440" w:type="dxa"/>
            <w:vAlign w:val="bottom"/>
            <w:tcBorders>
              <w:bottom w:val="single" w:sz="8" w:color="BFA071"/>
            </w:tcBorders>
            <w:shd w:val="clear" w:color="auto" w:fill="BFA071"/>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540" w:type="dxa"/>
            <w:vAlign w:val="bottom"/>
          </w:tcPr>
          <w:p>
            <w:pPr>
              <w:ind w:left="40"/>
              <w:spacing w:after="0" w:line="189" w:lineRule="exact"/>
              <w:rPr>
                <w:sz w:val="20"/>
                <w:szCs w:val="20"/>
                <w:color w:val="auto"/>
              </w:rPr>
            </w:pPr>
            <w:r>
              <w:rPr>
                <w:rFonts w:ascii="Arial" w:cs="Arial" w:eastAsia="Arial" w:hAnsi="Arial"/>
                <w:sz w:val="13"/>
                <w:szCs w:val="13"/>
                <w:color w:val="001641"/>
              </w:rPr>
              <w:t>Angela Ahrendts</w:t>
            </w:r>
            <w:r>
              <w:rPr>
                <w:rFonts w:ascii="Arial" w:cs="Arial" w:eastAsia="Arial" w:hAnsi="Arial"/>
                <w:sz w:val="21"/>
                <w:szCs w:val="21"/>
                <w:color w:val="001641"/>
                <w:vertAlign w:val="superscript"/>
              </w:rPr>
              <w:t>2</w:t>
            </w:r>
          </w:p>
        </w:tc>
        <w:tc>
          <w:tcPr>
            <w:tcW w:w="1960" w:type="dxa"/>
            <w:vAlign w:val="bottom"/>
            <w:gridSpan w:val="2"/>
            <w:shd w:val="clear" w:color="auto" w:fill="EBE1D2"/>
          </w:tcPr>
          <w:p>
            <w:pPr>
              <w:ind w:left="140"/>
              <w:spacing w:after="0"/>
              <w:rPr>
                <w:sz w:val="20"/>
                <w:szCs w:val="20"/>
                <w:color w:val="auto"/>
              </w:rPr>
            </w:pPr>
            <w:r>
              <w:rPr>
                <w:rFonts w:ascii="Arial" w:cs="Arial" w:eastAsia="Arial" w:hAnsi="Arial"/>
                <w:sz w:val="14"/>
                <w:szCs w:val="14"/>
                <w:color w:val="001641"/>
              </w:rPr>
              <w:t>Formerly Senior Vice</w:t>
            </w:r>
          </w:p>
        </w:tc>
        <w:tc>
          <w:tcPr>
            <w:tcW w:w="560" w:type="dxa"/>
            <w:vAlign w:val="bottom"/>
          </w:tcPr>
          <w:p>
            <w:pPr>
              <w:jc w:val="center"/>
              <w:spacing w:after="0"/>
              <w:rPr>
                <w:sz w:val="20"/>
                <w:szCs w:val="20"/>
                <w:color w:val="auto"/>
              </w:rPr>
            </w:pPr>
            <w:r>
              <w:rPr>
                <w:rFonts w:ascii="Arial" w:cs="Arial" w:eastAsia="Arial" w:hAnsi="Arial"/>
                <w:sz w:val="14"/>
                <w:szCs w:val="14"/>
                <w:color w:val="001641"/>
              </w:rPr>
              <w:t>66</w:t>
            </w:r>
          </w:p>
        </w:tc>
        <w:tc>
          <w:tcPr>
            <w:tcW w:w="820" w:type="dxa"/>
            <w:vAlign w:val="bottom"/>
            <w:gridSpan w:val="2"/>
            <w:shd w:val="clear" w:color="auto" w:fill="EBE1D2"/>
          </w:tcPr>
          <w:p>
            <w:pPr>
              <w:jc w:val="center"/>
              <w:spacing w:after="0"/>
              <w:rPr>
                <w:sz w:val="20"/>
                <w:szCs w:val="20"/>
                <w:color w:val="auto"/>
              </w:rPr>
            </w:pPr>
            <w:r>
              <w:rPr>
                <w:rFonts w:ascii="Arial" w:cs="Arial" w:eastAsia="Arial" w:hAnsi="Arial"/>
                <w:sz w:val="14"/>
                <w:szCs w:val="14"/>
                <w:color w:val="001641"/>
              </w:rPr>
              <w:t>2018</w:t>
            </w:r>
          </w:p>
        </w:tc>
        <w:tc>
          <w:tcPr>
            <w:tcW w:w="1140" w:type="dxa"/>
            <w:vAlign w:val="bottom"/>
          </w:tcPr>
          <w:p>
            <w:pPr>
              <w:spacing w:after="0"/>
              <w:rPr>
                <w:sz w:val="16"/>
                <w:szCs w:val="16"/>
                <w:color w:val="auto"/>
              </w:rPr>
            </w:pPr>
          </w:p>
        </w:tc>
        <w:tc>
          <w:tcPr>
            <w:tcW w:w="1260" w:type="dxa"/>
            <w:vAlign w:val="bottom"/>
            <w:gridSpan w:val="2"/>
            <w:shd w:val="clear" w:color="auto" w:fill="EBE1D2"/>
          </w:tcPr>
          <w:p>
            <w:pPr>
              <w:jc w:val="center"/>
              <w:spacing w:after="0"/>
              <w:rPr>
                <w:sz w:val="20"/>
                <w:szCs w:val="20"/>
                <w:color w:val="auto"/>
              </w:rPr>
            </w:pPr>
            <w:r>
              <w:rPr>
                <w:rFonts w:ascii="Arial" w:cs="Arial" w:eastAsia="Arial" w:hAnsi="Arial"/>
                <w:sz w:val="14"/>
                <w:szCs w:val="14"/>
                <w:color w:val="001641"/>
              </w:rPr>
              <w:t>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60" w:type="dxa"/>
            <w:vAlign w:val="bottom"/>
            <w:gridSpan w:val="2"/>
            <w:shd w:val="clear" w:color="auto" w:fill="EBE1D2"/>
          </w:tcPr>
          <w:p>
            <w:pPr>
              <w:ind w:left="140"/>
              <w:spacing w:after="0"/>
              <w:rPr>
                <w:sz w:val="20"/>
                <w:szCs w:val="20"/>
                <w:color w:val="auto"/>
              </w:rPr>
            </w:pPr>
            <w:r>
              <w:rPr>
                <w:rFonts w:ascii="Arial" w:cs="Arial" w:eastAsia="Arial" w:hAnsi="Arial"/>
                <w:sz w:val="14"/>
                <w:szCs w:val="14"/>
                <w:color w:val="001641"/>
              </w:rPr>
              <w:t>President, Retail</w:t>
            </w:r>
          </w:p>
        </w:tc>
        <w:tc>
          <w:tcPr>
            <w:tcW w:w="560" w:type="dxa"/>
            <w:vAlign w:val="bottom"/>
          </w:tcPr>
          <w:p>
            <w:pPr>
              <w:spacing w:after="0"/>
              <w:rPr>
                <w:sz w:val="14"/>
                <w:szCs w:val="14"/>
                <w:color w:val="auto"/>
              </w:rPr>
            </w:pPr>
          </w:p>
        </w:tc>
        <w:tc>
          <w:tcPr>
            <w:tcW w:w="140" w:type="dxa"/>
            <w:vAlign w:val="bottom"/>
            <w:shd w:val="clear" w:color="auto" w:fill="EBE1D2"/>
          </w:tcPr>
          <w:p>
            <w:pPr>
              <w:spacing w:after="0"/>
              <w:rPr>
                <w:sz w:val="14"/>
                <w:szCs w:val="14"/>
                <w:color w:val="auto"/>
              </w:rPr>
            </w:pPr>
          </w:p>
        </w:tc>
        <w:tc>
          <w:tcPr>
            <w:tcW w:w="680" w:type="dxa"/>
            <w:vAlign w:val="bottom"/>
            <w:shd w:val="clear" w:color="auto" w:fill="EBE1D2"/>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shd w:val="clear" w:color="auto" w:fill="EBE1D2"/>
          </w:tcPr>
          <w:p>
            <w:pPr>
              <w:spacing w:after="0"/>
              <w:rPr>
                <w:sz w:val="14"/>
                <w:szCs w:val="14"/>
                <w:color w:val="auto"/>
              </w:rPr>
            </w:pPr>
          </w:p>
        </w:tc>
        <w:tc>
          <w:tcPr>
            <w:tcW w:w="1120" w:type="dxa"/>
            <w:vAlign w:val="bottom"/>
            <w:shd w:val="clear" w:color="auto" w:fill="EBE1D2"/>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1641"/>
              </w:rPr>
              <w:t> </w:t>
            </w:r>
          </w:p>
        </w:tc>
        <w:tc>
          <w:tcPr>
            <w:tcW w:w="440" w:type="dxa"/>
            <w:vAlign w:val="bottom"/>
          </w:tcPr>
          <w:p>
            <w:pPr>
              <w:ind w:left="80"/>
              <w:spacing w:after="0"/>
              <w:rPr>
                <w:sz w:val="20"/>
                <w:szCs w:val="20"/>
                <w:color w:val="auto"/>
              </w:rPr>
            </w:pPr>
            <w:r>
              <w:rPr>
                <w:rFonts w:ascii="Arial" w:cs="Arial" w:eastAsia="Arial" w:hAnsi="Arial"/>
                <w:sz w:val="14"/>
                <w:szCs w:val="14"/>
                <w:color w:val="001641"/>
              </w:rPr>
              <w:t xml:space="preserve">  </w:t>
            </w:r>
          </w:p>
        </w:tc>
        <w:tc>
          <w:tcPr>
            <w:tcW w:w="0" w:type="dxa"/>
            <w:vAlign w:val="bottom"/>
          </w:tcPr>
          <w:p>
            <w:pPr>
              <w:spacing w:after="0"/>
              <w:rPr>
                <w:sz w:val="1"/>
                <w:szCs w:val="1"/>
                <w:color w:val="auto"/>
              </w:rPr>
            </w:pPr>
          </w:p>
        </w:tc>
      </w:tr>
      <w:tr>
        <w:trPr>
          <w:trHeight w:val="193"/>
        </w:trPr>
        <w:tc>
          <w:tcPr>
            <w:tcW w:w="80" w:type="dxa"/>
            <w:vAlign w:val="bottom"/>
            <w:tcBorders>
              <w:bottom w:val="single" w:sz="8" w:color="BFA071"/>
            </w:tcBorders>
          </w:tcPr>
          <w:p>
            <w:pPr>
              <w:spacing w:after="0"/>
              <w:rPr>
                <w:sz w:val="16"/>
                <w:szCs w:val="16"/>
                <w:color w:val="auto"/>
              </w:rPr>
            </w:pPr>
          </w:p>
        </w:tc>
        <w:tc>
          <w:tcPr>
            <w:tcW w:w="1540" w:type="dxa"/>
            <w:vAlign w:val="bottom"/>
            <w:tcBorders>
              <w:bottom w:val="single" w:sz="8" w:color="BFA071"/>
            </w:tcBorders>
          </w:tcPr>
          <w:p>
            <w:pPr>
              <w:spacing w:after="0"/>
              <w:rPr>
                <w:sz w:val="16"/>
                <w:szCs w:val="16"/>
                <w:color w:val="auto"/>
              </w:rPr>
            </w:pPr>
          </w:p>
        </w:tc>
        <w:tc>
          <w:tcPr>
            <w:tcW w:w="1960" w:type="dxa"/>
            <w:vAlign w:val="bottom"/>
            <w:tcBorders>
              <w:bottom w:val="single" w:sz="8" w:color="BFA071"/>
            </w:tcBorders>
            <w:gridSpan w:val="2"/>
            <w:shd w:val="clear" w:color="auto" w:fill="EBE1D2"/>
          </w:tcPr>
          <w:p>
            <w:pPr>
              <w:ind w:left="140"/>
              <w:spacing w:after="0"/>
              <w:rPr>
                <w:sz w:val="20"/>
                <w:szCs w:val="20"/>
                <w:color w:val="auto"/>
              </w:rPr>
            </w:pPr>
            <w:r>
              <w:rPr>
                <w:rFonts w:ascii="Arial" w:cs="Arial" w:eastAsia="Arial" w:hAnsi="Arial"/>
                <w:sz w:val="14"/>
                <w:szCs w:val="14"/>
                <w:i w:val="1"/>
                <w:iCs w:val="1"/>
                <w:color w:val="001641"/>
              </w:rPr>
              <w:t>Apple, Inc.</w:t>
            </w:r>
          </w:p>
        </w:tc>
        <w:tc>
          <w:tcPr>
            <w:tcW w:w="560" w:type="dxa"/>
            <w:vAlign w:val="bottom"/>
            <w:tcBorders>
              <w:bottom w:val="single" w:sz="8" w:color="BFA071"/>
            </w:tcBorders>
          </w:tcPr>
          <w:p>
            <w:pPr>
              <w:spacing w:after="0"/>
              <w:rPr>
                <w:sz w:val="16"/>
                <w:szCs w:val="16"/>
                <w:color w:val="auto"/>
              </w:rPr>
            </w:pPr>
          </w:p>
        </w:tc>
        <w:tc>
          <w:tcPr>
            <w:tcW w:w="140" w:type="dxa"/>
            <w:vAlign w:val="bottom"/>
            <w:tcBorders>
              <w:bottom w:val="single" w:sz="8" w:color="BFA071"/>
            </w:tcBorders>
            <w:shd w:val="clear" w:color="auto" w:fill="EBE1D2"/>
          </w:tcPr>
          <w:p>
            <w:pPr>
              <w:spacing w:after="0"/>
              <w:rPr>
                <w:sz w:val="16"/>
                <w:szCs w:val="16"/>
                <w:color w:val="auto"/>
              </w:rPr>
            </w:pPr>
          </w:p>
        </w:tc>
        <w:tc>
          <w:tcPr>
            <w:tcW w:w="680" w:type="dxa"/>
            <w:vAlign w:val="bottom"/>
            <w:tcBorders>
              <w:bottom w:val="single" w:sz="8" w:color="BFA071"/>
            </w:tcBorders>
            <w:shd w:val="clear" w:color="auto" w:fill="EBE1D2"/>
          </w:tcPr>
          <w:p>
            <w:pPr>
              <w:spacing w:after="0"/>
              <w:rPr>
                <w:sz w:val="16"/>
                <w:szCs w:val="16"/>
                <w:color w:val="auto"/>
              </w:rPr>
            </w:pPr>
          </w:p>
        </w:tc>
        <w:tc>
          <w:tcPr>
            <w:tcW w:w="1140" w:type="dxa"/>
            <w:vAlign w:val="bottom"/>
            <w:tcBorders>
              <w:bottom w:val="single" w:sz="8" w:color="BFA071"/>
            </w:tcBorders>
          </w:tcPr>
          <w:p>
            <w:pPr>
              <w:spacing w:after="0"/>
              <w:rPr>
                <w:sz w:val="16"/>
                <w:szCs w:val="16"/>
                <w:color w:val="auto"/>
              </w:rPr>
            </w:pPr>
          </w:p>
        </w:tc>
        <w:tc>
          <w:tcPr>
            <w:tcW w:w="140" w:type="dxa"/>
            <w:vAlign w:val="bottom"/>
            <w:tcBorders>
              <w:bottom w:val="single" w:sz="8" w:color="BFA071"/>
            </w:tcBorders>
            <w:shd w:val="clear" w:color="auto" w:fill="EBE1D2"/>
          </w:tcPr>
          <w:p>
            <w:pPr>
              <w:spacing w:after="0"/>
              <w:rPr>
                <w:sz w:val="16"/>
                <w:szCs w:val="16"/>
                <w:color w:val="auto"/>
              </w:rPr>
            </w:pPr>
          </w:p>
        </w:tc>
        <w:tc>
          <w:tcPr>
            <w:tcW w:w="1120" w:type="dxa"/>
            <w:vAlign w:val="bottom"/>
            <w:tcBorders>
              <w:bottom w:val="single" w:sz="8" w:color="BFA071"/>
            </w:tcBorders>
            <w:shd w:val="clear" w:color="auto" w:fill="EBE1D2"/>
          </w:tcPr>
          <w:p>
            <w:pPr>
              <w:spacing w:after="0"/>
              <w:rPr>
                <w:sz w:val="16"/>
                <w:szCs w:val="16"/>
                <w:color w:val="auto"/>
              </w:rPr>
            </w:pPr>
          </w:p>
        </w:tc>
        <w:tc>
          <w:tcPr>
            <w:tcW w:w="120" w:type="dxa"/>
            <w:vAlign w:val="bottom"/>
            <w:tcBorders>
              <w:bottom w:val="single" w:sz="8" w:color="BFA071"/>
            </w:tcBorders>
          </w:tcPr>
          <w:p>
            <w:pPr>
              <w:spacing w:after="0"/>
              <w:rPr>
                <w:sz w:val="16"/>
                <w:szCs w:val="16"/>
                <w:color w:val="auto"/>
              </w:rPr>
            </w:pPr>
          </w:p>
        </w:tc>
        <w:tc>
          <w:tcPr>
            <w:tcW w:w="220" w:type="dxa"/>
            <w:vAlign w:val="bottom"/>
            <w:tcBorders>
              <w:bottom w:val="single" w:sz="8" w:color="BFA071"/>
            </w:tcBorders>
          </w:tcPr>
          <w:p>
            <w:pPr>
              <w:spacing w:after="0"/>
              <w:rPr>
                <w:sz w:val="16"/>
                <w:szCs w:val="16"/>
                <w:color w:val="auto"/>
              </w:rPr>
            </w:pPr>
          </w:p>
        </w:tc>
        <w:tc>
          <w:tcPr>
            <w:tcW w:w="520" w:type="dxa"/>
            <w:vAlign w:val="bottom"/>
            <w:tcBorders>
              <w:bottom w:val="single" w:sz="8" w:color="BFA071"/>
            </w:tcBorders>
          </w:tcPr>
          <w:p>
            <w:pPr>
              <w:spacing w:after="0"/>
              <w:rPr>
                <w:sz w:val="16"/>
                <w:szCs w:val="16"/>
                <w:color w:val="auto"/>
              </w:rPr>
            </w:pPr>
          </w:p>
        </w:tc>
        <w:tc>
          <w:tcPr>
            <w:tcW w:w="520" w:type="dxa"/>
            <w:vAlign w:val="bottom"/>
            <w:tcBorders>
              <w:bottom w:val="single" w:sz="8" w:color="BFA071"/>
            </w:tcBorders>
          </w:tcPr>
          <w:p>
            <w:pPr>
              <w:spacing w:after="0"/>
              <w:rPr>
                <w:sz w:val="16"/>
                <w:szCs w:val="16"/>
                <w:color w:val="auto"/>
              </w:rPr>
            </w:pPr>
          </w:p>
        </w:tc>
        <w:tc>
          <w:tcPr>
            <w:tcW w:w="440" w:type="dxa"/>
            <w:vAlign w:val="bottom"/>
            <w:tcBorders>
              <w:bottom w:val="single" w:sz="8" w:color="BFA071"/>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540" w:type="dxa"/>
            <w:vAlign w:val="bottom"/>
          </w:tcPr>
          <w:p>
            <w:pPr>
              <w:ind w:left="40"/>
              <w:spacing w:after="0"/>
              <w:rPr>
                <w:sz w:val="20"/>
                <w:szCs w:val="20"/>
                <w:color w:val="auto"/>
              </w:rPr>
            </w:pPr>
            <w:r>
              <w:rPr>
                <w:rFonts w:ascii="Arial" w:cs="Arial" w:eastAsia="Arial" w:hAnsi="Arial"/>
                <w:sz w:val="14"/>
                <w:szCs w:val="14"/>
                <w:color w:val="001641"/>
              </w:rPr>
              <w:t>Linda Findley</w:t>
            </w:r>
          </w:p>
        </w:tc>
        <w:tc>
          <w:tcPr>
            <w:tcW w:w="1960" w:type="dxa"/>
            <w:vAlign w:val="bottom"/>
            <w:gridSpan w:val="2"/>
            <w:shd w:val="clear" w:color="auto" w:fill="EBE1D2"/>
          </w:tcPr>
          <w:p>
            <w:pPr>
              <w:ind w:left="140"/>
              <w:spacing w:after="0"/>
              <w:rPr>
                <w:sz w:val="20"/>
                <w:szCs w:val="20"/>
                <w:color w:val="auto"/>
              </w:rPr>
            </w:pPr>
            <w:r>
              <w:rPr>
                <w:rFonts w:ascii="Arial" w:cs="Arial" w:eastAsia="Arial" w:hAnsi="Arial"/>
                <w:sz w:val="14"/>
                <w:szCs w:val="14"/>
                <w:color w:val="001641"/>
              </w:rPr>
              <w:t>President and Chief</w:t>
            </w:r>
          </w:p>
        </w:tc>
        <w:tc>
          <w:tcPr>
            <w:tcW w:w="560" w:type="dxa"/>
            <w:vAlign w:val="bottom"/>
          </w:tcPr>
          <w:p>
            <w:pPr>
              <w:jc w:val="center"/>
              <w:spacing w:after="0"/>
              <w:rPr>
                <w:sz w:val="20"/>
                <w:szCs w:val="20"/>
                <w:color w:val="auto"/>
              </w:rPr>
            </w:pPr>
            <w:r>
              <w:rPr>
                <w:rFonts w:ascii="Arial" w:cs="Arial" w:eastAsia="Arial" w:hAnsi="Arial"/>
                <w:sz w:val="14"/>
                <w:szCs w:val="14"/>
                <w:color w:val="001641"/>
              </w:rPr>
              <w:t>53</w:t>
            </w:r>
          </w:p>
        </w:tc>
        <w:tc>
          <w:tcPr>
            <w:tcW w:w="820" w:type="dxa"/>
            <w:vAlign w:val="bottom"/>
            <w:gridSpan w:val="2"/>
            <w:shd w:val="clear" w:color="auto" w:fill="EBE1D2"/>
          </w:tcPr>
          <w:p>
            <w:pPr>
              <w:jc w:val="center"/>
              <w:spacing w:after="0"/>
              <w:rPr>
                <w:sz w:val="20"/>
                <w:szCs w:val="20"/>
                <w:color w:val="auto"/>
              </w:rPr>
            </w:pPr>
            <w:r>
              <w:rPr>
                <w:rFonts w:ascii="Arial" w:cs="Arial" w:eastAsia="Arial" w:hAnsi="Arial"/>
                <w:sz w:val="14"/>
                <w:szCs w:val="14"/>
                <w:color w:val="001641"/>
              </w:rPr>
              <w:t>2018</w:t>
            </w:r>
          </w:p>
        </w:tc>
        <w:tc>
          <w:tcPr>
            <w:tcW w:w="1140" w:type="dxa"/>
            <w:vAlign w:val="bottom"/>
          </w:tcPr>
          <w:p>
            <w:pPr>
              <w:spacing w:after="0"/>
              <w:rPr>
                <w:sz w:val="15"/>
                <w:szCs w:val="15"/>
                <w:color w:val="auto"/>
              </w:rPr>
            </w:pPr>
          </w:p>
        </w:tc>
        <w:tc>
          <w:tcPr>
            <w:tcW w:w="1260" w:type="dxa"/>
            <w:vAlign w:val="bottom"/>
            <w:gridSpan w:val="2"/>
            <w:shd w:val="clear" w:color="auto" w:fill="EBE1D2"/>
          </w:tcPr>
          <w:p>
            <w:pPr>
              <w:jc w:val="center"/>
              <w:spacing w:after="0"/>
              <w:rPr>
                <w:sz w:val="20"/>
                <w:szCs w:val="20"/>
                <w:color w:val="auto"/>
              </w:rPr>
            </w:pPr>
            <w:r>
              <w:rPr>
                <w:rFonts w:ascii="Arial" w:cs="Arial" w:eastAsia="Arial" w:hAnsi="Arial"/>
                <w:sz w:val="14"/>
                <w:szCs w:val="14"/>
                <w:color w:val="001641"/>
              </w:rPr>
              <w:t>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60" w:type="dxa"/>
            <w:vAlign w:val="bottom"/>
            <w:gridSpan w:val="2"/>
            <w:shd w:val="clear" w:color="auto" w:fill="EBE1D2"/>
          </w:tcPr>
          <w:p>
            <w:pPr>
              <w:ind w:left="140"/>
              <w:spacing w:after="0"/>
              <w:rPr>
                <w:sz w:val="20"/>
                <w:szCs w:val="20"/>
                <w:color w:val="auto"/>
              </w:rPr>
            </w:pPr>
            <w:r>
              <w:rPr>
                <w:rFonts w:ascii="Arial" w:cs="Arial" w:eastAsia="Arial" w:hAnsi="Arial"/>
                <w:sz w:val="14"/>
                <w:szCs w:val="14"/>
                <w:color w:val="001641"/>
              </w:rPr>
              <w:t>Executive Officer</w:t>
            </w:r>
          </w:p>
        </w:tc>
        <w:tc>
          <w:tcPr>
            <w:tcW w:w="560" w:type="dxa"/>
            <w:vAlign w:val="bottom"/>
          </w:tcPr>
          <w:p>
            <w:pPr>
              <w:spacing w:after="0"/>
              <w:rPr>
                <w:sz w:val="15"/>
                <w:szCs w:val="15"/>
                <w:color w:val="auto"/>
              </w:rPr>
            </w:pPr>
          </w:p>
        </w:tc>
        <w:tc>
          <w:tcPr>
            <w:tcW w:w="140" w:type="dxa"/>
            <w:vAlign w:val="bottom"/>
            <w:shd w:val="clear" w:color="auto" w:fill="EBE1D2"/>
          </w:tcPr>
          <w:p>
            <w:pPr>
              <w:spacing w:after="0"/>
              <w:rPr>
                <w:sz w:val="15"/>
                <w:szCs w:val="15"/>
                <w:color w:val="auto"/>
              </w:rPr>
            </w:pPr>
          </w:p>
        </w:tc>
        <w:tc>
          <w:tcPr>
            <w:tcW w:w="680" w:type="dxa"/>
            <w:vAlign w:val="bottom"/>
            <w:shd w:val="clear" w:color="auto" w:fill="EBE1D2"/>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shd w:val="clear" w:color="auto" w:fill="EBE1D2"/>
          </w:tcPr>
          <w:p>
            <w:pPr>
              <w:spacing w:after="0"/>
              <w:rPr>
                <w:sz w:val="15"/>
                <w:szCs w:val="15"/>
                <w:color w:val="auto"/>
              </w:rPr>
            </w:pPr>
          </w:p>
        </w:tc>
        <w:tc>
          <w:tcPr>
            <w:tcW w:w="1120" w:type="dxa"/>
            <w:vAlign w:val="bottom"/>
            <w:shd w:val="clear" w:color="auto" w:fill="EBE1D2"/>
          </w:tcPr>
          <w:p>
            <w:pPr>
              <w:spacing w:after="0"/>
              <w:rPr>
                <w:sz w:val="15"/>
                <w:szCs w:val="15"/>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001641"/>
              </w:rPr>
              <w:t> </w:t>
            </w:r>
          </w:p>
        </w:tc>
        <w:tc>
          <w:tcPr>
            <w:tcW w:w="520" w:type="dxa"/>
            <w:vAlign w:val="bottom"/>
          </w:tcPr>
          <w:p>
            <w:pPr>
              <w:ind w:left="240"/>
              <w:spacing w:after="0"/>
              <w:rPr>
                <w:sz w:val="20"/>
                <w:szCs w:val="20"/>
                <w:color w:val="auto"/>
              </w:rPr>
            </w:pPr>
            <w:r>
              <w:rPr>
                <w:rFonts w:ascii="Arial" w:cs="Arial" w:eastAsia="Arial" w:hAnsi="Arial"/>
                <w:sz w:val="14"/>
                <w:szCs w:val="14"/>
                <w:color w:val="001641"/>
              </w:rPr>
              <w:t> </w:t>
            </w:r>
          </w:p>
        </w:tc>
        <w:tc>
          <w:tcPr>
            <w:tcW w:w="520" w:type="dxa"/>
            <w:vAlign w:val="bottom"/>
          </w:tcPr>
          <w:p>
            <w:pPr>
              <w:spacing w:after="0"/>
              <w:rPr>
                <w:sz w:val="15"/>
                <w:szCs w:val="15"/>
                <w:color w:val="auto"/>
              </w:rPr>
            </w:pPr>
          </w:p>
        </w:tc>
        <w:tc>
          <w:tcPr>
            <w:tcW w:w="440" w:type="dxa"/>
            <w:vAlign w:val="bottom"/>
          </w:tcPr>
          <w:p>
            <w:pPr>
              <w:ind w:left="80"/>
              <w:spacing w:after="0"/>
              <w:rPr>
                <w:sz w:val="20"/>
                <w:szCs w:val="20"/>
                <w:color w:val="auto"/>
              </w:rPr>
            </w:pPr>
            <w:r>
              <w:rPr>
                <w:rFonts w:ascii="Arial" w:cs="Arial" w:eastAsia="Arial" w:hAnsi="Arial"/>
                <w:sz w:val="14"/>
                <w:szCs w:val="14"/>
                <w:color w:val="001641"/>
              </w:rPr>
              <w:t xml:space="preserve">  </w:t>
            </w: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960" w:type="dxa"/>
            <w:vAlign w:val="bottom"/>
            <w:gridSpan w:val="2"/>
            <w:shd w:val="clear" w:color="auto" w:fill="EBE1D2"/>
          </w:tcPr>
          <w:p>
            <w:pPr>
              <w:ind w:left="140"/>
              <w:spacing w:after="0" w:line="150" w:lineRule="exact"/>
              <w:rPr>
                <w:sz w:val="20"/>
                <w:szCs w:val="20"/>
                <w:color w:val="auto"/>
              </w:rPr>
            </w:pPr>
            <w:r>
              <w:rPr>
                <w:rFonts w:ascii="Arial" w:cs="Arial" w:eastAsia="Arial" w:hAnsi="Arial"/>
                <w:sz w:val="14"/>
                <w:szCs w:val="14"/>
                <w:i w:val="1"/>
                <w:iCs w:val="1"/>
                <w:color w:val="001641"/>
              </w:rPr>
              <w:t>Sleep Number</w:t>
            </w:r>
          </w:p>
        </w:tc>
        <w:tc>
          <w:tcPr>
            <w:tcW w:w="560" w:type="dxa"/>
            <w:vAlign w:val="bottom"/>
          </w:tcPr>
          <w:p>
            <w:pPr>
              <w:spacing w:after="0"/>
              <w:rPr>
                <w:sz w:val="13"/>
                <w:szCs w:val="13"/>
                <w:color w:val="auto"/>
              </w:rPr>
            </w:pPr>
          </w:p>
        </w:tc>
        <w:tc>
          <w:tcPr>
            <w:tcW w:w="140" w:type="dxa"/>
            <w:vAlign w:val="bottom"/>
            <w:shd w:val="clear" w:color="auto" w:fill="EBE1D2"/>
          </w:tcPr>
          <w:p>
            <w:pPr>
              <w:spacing w:after="0"/>
              <w:rPr>
                <w:sz w:val="13"/>
                <w:szCs w:val="13"/>
                <w:color w:val="auto"/>
              </w:rPr>
            </w:pPr>
          </w:p>
        </w:tc>
        <w:tc>
          <w:tcPr>
            <w:tcW w:w="680" w:type="dxa"/>
            <w:vAlign w:val="bottom"/>
            <w:shd w:val="clear" w:color="auto" w:fill="EBE1D2"/>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shd w:val="clear" w:color="auto" w:fill="EBE1D2"/>
          </w:tcPr>
          <w:p>
            <w:pPr>
              <w:spacing w:after="0"/>
              <w:rPr>
                <w:sz w:val="13"/>
                <w:szCs w:val="13"/>
                <w:color w:val="auto"/>
              </w:rPr>
            </w:pPr>
          </w:p>
        </w:tc>
        <w:tc>
          <w:tcPr>
            <w:tcW w:w="1120" w:type="dxa"/>
            <w:vAlign w:val="bottom"/>
            <w:shd w:val="clear" w:color="auto" w:fill="EBE1D2"/>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tcBorders>
              <w:bottom w:val="single" w:sz="8" w:color="EBE1D2"/>
            </w:tcBorders>
            <w:gridSpan w:val="2"/>
            <w:shd w:val="clear" w:color="auto" w:fill="EBE1D2"/>
          </w:tcPr>
          <w:p>
            <w:pPr>
              <w:ind w:left="140"/>
              <w:spacing w:after="0"/>
              <w:rPr>
                <w:sz w:val="20"/>
                <w:szCs w:val="20"/>
                <w:color w:val="auto"/>
              </w:rPr>
            </w:pPr>
            <w:r>
              <w:rPr>
                <w:rFonts w:ascii="Arial" w:cs="Arial" w:eastAsia="Arial" w:hAnsi="Arial"/>
                <w:sz w:val="14"/>
                <w:szCs w:val="14"/>
                <w:i w:val="1"/>
                <w:iCs w:val="1"/>
                <w:color w:val="001641"/>
              </w:rPr>
              <w:t>Corporation</w:t>
            </w:r>
          </w:p>
        </w:tc>
        <w:tc>
          <w:tcPr>
            <w:tcW w:w="560" w:type="dxa"/>
            <w:vAlign w:val="bottom"/>
          </w:tcPr>
          <w:p>
            <w:pPr>
              <w:spacing w:after="0"/>
              <w:rPr>
                <w:sz w:val="18"/>
                <w:szCs w:val="18"/>
                <w:color w:val="auto"/>
              </w:rPr>
            </w:pPr>
          </w:p>
        </w:tc>
        <w:tc>
          <w:tcPr>
            <w:tcW w:w="140" w:type="dxa"/>
            <w:vAlign w:val="bottom"/>
            <w:tcBorders>
              <w:bottom w:val="single" w:sz="8" w:color="EBE1D2"/>
            </w:tcBorders>
            <w:shd w:val="clear" w:color="auto" w:fill="EBE1D2"/>
          </w:tcPr>
          <w:p>
            <w:pPr>
              <w:spacing w:after="0"/>
              <w:rPr>
                <w:sz w:val="18"/>
                <w:szCs w:val="18"/>
                <w:color w:val="auto"/>
              </w:rPr>
            </w:pPr>
          </w:p>
        </w:tc>
        <w:tc>
          <w:tcPr>
            <w:tcW w:w="680" w:type="dxa"/>
            <w:vAlign w:val="bottom"/>
            <w:tcBorders>
              <w:bottom w:val="single" w:sz="8" w:color="EBE1D2"/>
            </w:tcBorders>
            <w:shd w:val="clear" w:color="auto" w:fill="EBE1D2"/>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bottom w:val="single" w:sz="8" w:color="EBE1D2"/>
            </w:tcBorders>
            <w:shd w:val="clear" w:color="auto" w:fill="EBE1D2"/>
          </w:tcPr>
          <w:p>
            <w:pPr>
              <w:spacing w:after="0"/>
              <w:rPr>
                <w:sz w:val="18"/>
                <w:szCs w:val="18"/>
                <w:color w:val="auto"/>
              </w:rPr>
            </w:pPr>
          </w:p>
        </w:tc>
        <w:tc>
          <w:tcPr>
            <w:tcW w:w="1120" w:type="dxa"/>
            <w:vAlign w:val="bottom"/>
            <w:tcBorders>
              <w:bottom w:val="single" w:sz="8" w:color="EBE1D2"/>
            </w:tcBorders>
            <w:shd w:val="clear" w:color="auto" w:fill="EBE1D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0" w:type="dxa"/>
            <w:vAlign w:val="bottom"/>
            <w:tcBorders>
              <w:top w:val="single" w:sz="8" w:color="BFA071"/>
            </w:tcBorders>
          </w:tcPr>
          <w:p>
            <w:pPr>
              <w:spacing w:after="0"/>
              <w:rPr>
                <w:sz w:val="15"/>
                <w:szCs w:val="15"/>
                <w:color w:val="auto"/>
              </w:rPr>
            </w:pPr>
          </w:p>
        </w:tc>
        <w:tc>
          <w:tcPr>
            <w:tcW w:w="1540" w:type="dxa"/>
            <w:vAlign w:val="bottom"/>
            <w:tcBorders>
              <w:top w:val="single" w:sz="8" w:color="BFA071"/>
            </w:tcBorders>
          </w:tcPr>
          <w:p>
            <w:pPr>
              <w:ind w:left="40"/>
              <w:spacing w:after="0"/>
              <w:rPr>
                <w:sz w:val="20"/>
                <w:szCs w:val="20"/>
                <w:color w:val="auto"/>
              </w:rPr>
            </w:pPr>
            <w:r>
              <w:rPr>
                <w:rFonts w:ascii="Arial" w:cs="Arial" w:eastAsia="Arial" w:hAnsi="Arial"/>
                <w:sz w:val="14"/>
                <w:szCs w:val="14"/>
                <w:color w:val="001641"/>
              </w:rPr>
              <w:t>Darren Walker</w:t>
            </w:r>
          </w:p>
        </w:tc>
        <w:tc>
          <w:tcPr>
            <w:tcW w:w="1960" w:type="dxa"/>
            <w:vAlign w:val="bottom"/>
            <w:tcBorders>
              <w:top w:val="single" w:sz="8" w:color="BFA071"/>
            </w:tcBorders>
            <w:gridSpan w:val="2"/>
            <w:shd w:val="clear" w:color="auto" w:fill="EBE1D2"/>
          </w:tcPr>
          <w:p>
            <w:pPr>
              <w:ind w:left="140"/>
              <w:spacing w:after="0"/>
              <w:rPr>
                <w:sz w:val="20"/>
                <w:szCs w:val="20"/>
                <w:color w:val="auto"/>
              </w:rPr>
            </w:pPr>
            <w:r>
              <w:rPr>
                <w:rFonts w:ascii="Arial" w:cs="Arial" w:eastAsia="Arial" w:hAnsi="Arial"/>
                <w:sz w:val="14"/>
                <w:szCs w:val="14"/>
                <w:color w:val="001641"/>
              </w:rPr>
              <w:t>President and Chief</w:t>
            </w:r>
          </w:p>
        </w:tc>
        <w:tc>
          <w:tcPr>
            <w:tcW w:w="560" w:type="dxa"/>
            <w:vAlign w:val="bottom"/>
            <w:tcBorders>
              <w:top w:val="single" w:sz="8" w:color="BFA071"/>
            </w:tcBorders>
          </w:tcPr>
          <w:p>
            <w:pPr>
              <w:jc w:val="center"/>
              <w:spacing w:after="0"/>
              <w:rPr>
                <w:sz w:val="20"/>
                <w:szCs w:val="20"/>
                <w:color w:val="auto"/>
              </w:rPr>
            </w:pPr>
            <w:r>
              <w:rPr>
                <w:rFonts w:ascii="Arial" w:cs="Arial" w:eastAsia="Arial" w:hAnsi="Arial"/>
                <w:sz w:val="14"/>
                <w:szCs w:val="14"/>
                <w:color w:val="001641"/>
              </w:rPr>
              <w:t>66</w:t>
            </w:r>
          </w:p>
        </w:tc>
        <w:tc>
          <w:tcPr>
            <w:tcW w:w="820" w:type="dxa"/>
            <w:vAlign w:val="bottom"/>
            <w:tcBorders>
              <w:top w:val="single" w:sz="8" w:color="BFA071"/>
            </w:tcBorders>
            <w:gridSpan w:val="2"/>
            <w:shd w:val="clear" w:color="auto" w:fill="EBE1D2"/>
          </w:tcPr>
          <w:p>
            <w:pPr>
              <w:jc w:val="center"/>
              <w:spacing w:after="0"/>
              <w:rPr>
                <w:sz w:val="20"/>
                <w:szCs w:val="20"/>
                <w:color w:val="auto"/>
              </w:rPr>
            </w:pPr>
            <w:r>
              <w:rPr>
                <w:rFonts w:ascii="Arial" w:cs="Arial" w:eastAsia="Arial" w:hAnsi="Arial"/>
                <w:sz w:val="14"/>
                <w:szCs w:val="14"/>
                <w:color w:val="001641"/>
              </w:rPr>
              <w:t>2020</w:t>
            </w:r>
          </w:p>
        </w:tc>
        <w:tc>
          <w:tcPr>
            <w:tcW w:w="1140" w:type="dxa"/>
            <w:vAlign w:val="bottom"/>
            <w:tcBorders>
              <w:top w:val="single" w:sz="8" w:color="BFA071"/>
            </w:tcBorders>
          </w:tcPr>
          <w:p>
            <w:pPr>
              <w:spacing w:after="0"/>
              <w:rPr>
                <w:sz w:val="15"/>
                <w:szCs w:val="15"/>
                <w:color w:val="auto"/>
              </w:rPr>
            </w:pPr>
          </w:p>
        </w:tc>
        <w:tc>
          <w:tcPr>
            <w:tcW w:w="1260" w:type="dxa"/>
            <w:vAlign w:val="bottom"/>
            <w:tcBorders>
              <w:top w:val="single" w:sz="8" w:color="BFA071"/>
            </w:tcBorders>
            <w:gridSpan w:val="2"/>
            <w:shd w:val="clear" w:color="auto" w:fill="EBE1D2"/>
          </w:tcPr>
          <w:p>
            <w:pPr>
              <w:jc w:val="center"/>
              <w:spacing w:after="0"/>
              <w:rPr>
                <w:sz w:val="20"/>
                <w:szCs w:val="20"/>
                <w:color w:val="auto"/>
              </w:rPr>
            </w:pPr>
            <w:r>
              <w:rPr>
                <w:rFonts w:ascii="Arial" w:cs="Arial" w:eastAsia="Arial" w:hAnsi="Arial"/>
                <w:sz w:val="14"/>
                <w:szCs w:val="14"/>
                <w:color w:val="001641"/>
              </w:rPr>
              <w:t>0</w:t>
            </w:r>
          </w:p>
        </w:tc>
        <w:tc>
          <w:tcPr>
            <w:tcW w:w="120" w:type="dxa"/>
            <w:vAlign w:val="bottom"/>
            <w:tcBorders>
              <w:top w:val="single" w:sz="8" w:color="BFA071"/>
            </w:tcBorders>
          </w:tcPr>
          <w:p>
            <w:pPr>
              <w:spacing w:after="0"/>
              <w:rPr>
                <w:sz w:val="15"/>
                <w:szCs w:val="15"/>
                <w:color w:val="auto"/>
              </w:rPr>
            </w:pPr>
          </w:p>
        </w:tc>
        <w:tc>
          <w:tcPr>
            <w:tcW w:w="220" w:type="dxa"/>
            <w:vAlign w:val="bottom"/>
            <w:tcBorders>
              <w:top w:val="single" w:sz="8" w:color="BFA071"/>
            </w:tcBorders>
          </w:tcPr>
          <w:p>
            <w:pPr>
              <w:spacing w:after="0"/>
              <w:rPr>
                <w:sz w:val="15"/>
                <w:szCs w:val="15"/>
                <w:color w:val="auto"/>
              </w:rPr>
            </w:pPr>
          </w:p>
        </w:tc>
        <w:tc>
          <w:tcPr>
            <w:tcW w:w="520" w:type="dxa"/>
            <w:vAlign w:val="bottom"/>
            <w:tcBorders>
              <w:top w:val="single" w:sz="8" w:color="BFA071"/>
            </w:tcBorders>
          </w:tcPr>
          <w:p>
            <w:pPr>
              <w:spacing w:after="0"/>
              <w:rPr>
                <w:sz w:val="15"/>
                <w:szCs w:val="15"/>
                <w:color w:val="auto"/>
              </w:rPr>
            </w:pPr>
          </w:p>
        </w:tc>
        <w:tc>
          <w:tcPr>
            <w:tcW w:w="520" w:type="dxa"/>
            <w:vAlign w:val="bottom"/>
            <w:tcBorders>
              <w:top w:val="single" w:sz="8" w:color="BFA071"/>
            </w:tcBorders>
          </w:tcPr>
          <w:p>
            <w:pPr>
              <w:spacing w:after="0"/>
              <w:rPr>
                <w:sz w:val="15"/>
                <w:szCs w:val="15"/>
                <w:color w:val="auto"/>
              </w:rPr>
            </w:pPr>
          </w:p>
        </w:tc>
        <w:tc>
          <w:tcPr>
            <w:tcW w:w="440" w:type="dxa"/>
            <w:vAlign w:val="bottom"/>
            <w:tcBorders>
              <w:top w:val="single" w:sz="8" w:color="BFA071"/>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60" w:type="dxa"/>
            <w:vAlign w:val="bottom"/>
            <w:gridSpan w:val="2"/>
            <w:shd w:val="clear" w:color="auto" w:fill="EBE1D2"/>
          </w:tcPr>
          <w:p>
            <w:pPr>
              <w:ind w:left="140"/>
              <w:spacing w:after="0"/>
              <w:rPr>
                <w:sz w:val="20"/>
                <w:szCs w:val="20"/>
                <w:color w:val="auto"/>
              </w:rPr>
            </w:pPr>
            <w:r>
              <w:rPr>
                <w:rFonts w:ascii="Arial" w:cs="Arial" w:eastAsia="Arial" w:hAnsi="Arial"/>
                <w:sz w:val="14"/>
                <w:szCs w:val="14"/>
                <w:color w:val="001641"/>
              </w:rPr>
              <w:t>Executive Officer</w:t>
            </w:r>
          </w:p>
        </w:tc>
        <w:tc>
          <w:tcPr>
            <w:tcW w:w="560" w:type="dxa"/>
            <w:vAlign w:val="bottom"/>
          </w:tcPr>
          <w:p>
            <w:pPr>
              <w:spacing w:after="0"/>
              <w:rPr>
                <w:sz w:val="15"/>
                <w:szCs w:val="15"/>
                <w:color w:val="auto"/>
              </w:rPr>
            </w:pPr>
          </w:p>
        </w:tc>
        <w:tc>
          <w:tcPr>
            <w:tcW w:w="140" w:type="dxa"/>
            <w:vAlign w:val="bottom"/>
            <w:shd w:val="clear" w:color="auto" w:fill="EBE1D2"/>
          </w:tcPr>
          <w:p>
            <w:pPr>
              <w:spacing w:after="0"/>
              <w:rPr>
                <w:sz w:val="15"/>
                <w:szCs w:val="15"/>
                <w:color w:val="auto"/>
              </w:rPr>
            </w:pPr>
          </w:p>
        </w:tc>
        <w:tc>
          <w:tcPr>
            <w:tcW w:w="680" w:type="dxa"/>
            <w:vAlign w:val="bottom"/>
            <w:shd w:val="clear" w:color="auto" w:fill="EBE1D2"/>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shd w:val="clear" w:color="auto" w:fill="EBE1D2"/>
          </w:tcPr>
          <w:p>
            <w:pPr>
              <w:spacing w:after="0"/>
              <w:rPr>
                <w:sz w:val="15"/>
                <w:szCs w:val="15"/>
                <w:color w:val="auto"/>
              </w:rPr>
            </w:pPr>
          </w:p>
        </w:tc>
        <w:tc>
          <w:tcPr>
            <w:tcW w:w="1120" w:type="dxa"/>
            <w:vAlign w:val="bottom"/>
            <w:shd w:val="clear" w:color="auto" w:fill="EBE1D2"/>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ind w:left="240"/>
              <w:spacing w:after="0"/>
              <w:rPr>
                <w:sz w:val="20"/>
                <w:szCs w:val="20"/>
                <w:color w:val="auto"/>
              </w:rPr>
            </w:pPr>
            <w:r>
              <w:rPr>
                <w:rFonts w:ascii="Arial" w:cs="Arial" w:eastAsia="Arial" w:hAnsi="Arial"/>
                <w:sz w:val="14"/>
                <w:szCs w:val="14"/>
                <w:color w:val="001641"/>
              </w:rPr>
              <w:t> </w:t>
            </w:r>
          </w:p>
        </w:tc>
        <w:tc>
          <w:tcPr>
            <w:tcW w:w="520" w:type="dxa"/>
            <w:vAlign w:val="bottom"/>
          </w:tcPr>
          <w:p>
            <w:pPr>
              <w:ind w:left="160"/>
              <w:spacing w:after="0"/>
              <w:rPr>
                <w:sz w:val="20"/>
                <w:szCs w:val="20"/>
                <w:color w:val="auto"/>
              </w:rPr>
            </w:pPr>
            <w:r>
              <w:rPr>
                <w:rFonts w:ascii="Arial" w:cs="Arial" w:eastAsia="Arial" w:hAnsi="Arial"/>
                <w:sz w:val="14"/>
                <w:szCs w:val="14"/>
                <w:color w:val="001641"/>
              </w:rPr>
              <w:t> </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960" w:type="dxa"/>
            <w:vAlign w:val="bottom"/>
            <w:gridSpan w:val="2"/>
            <w:shd w:val="clear" w:color="auto" w:fill="EBE1D2"/>
          </w:tcPr>
          <w:p>
            <w:pPr>
              <w:ind w:left="140"/>
              <w:spacing w:after="0"/>
              <w:rPr>
                <w:sz w:val="20"/>
                <w:szCs w:val="20"/>
                <w:color w:val="auto"/>
              </w:rPr>
            </w:pPr>
            <w:r>
              <w:rPr>
                <w:rFonts w:ascii="Arial" w:cs="Arial" w:eastAsia="Arial" w:hAnsi="Arial"/>
                <w:sz w:val="14"/>
                <w:szCs w:val="14"/>
                <w:i w:val="1"/>
                <w:iCs w:val="1"/>
                <w:color w:val="001641"/>
              </w:rPr>
              <w:t>Anonymous Content</w:t>
            </w:r>
          </w:p>
        </w:tc>
        <w:tc>
          <w:tcPr>
            <w:tcW w:w="560" w:type="dxa"/>
            <w:vAlign w:val="bottom"/>
          </w:tcPr>
          <w:p>
            <w:pPr>
              <w:spacing w:after="0"/>
              <w:rPr>
                <w:sz w:val="16"/>
                <w:szCs w:val="16"/>
                <w:color w:val="auto"/>
              </w:rPr>
            </w:pPr>
          </w:p>
        </w:tc>
        <w:tc>
          <w:tcPr>
            <w:tcW w:w="140" w:type="dxa"/>
            <w:vAlign w:val="bottom"/>
            <w:shd w:val="clear" w:color="auto" w:fill="EBE1D2"/>
          </w:tcPr>
          <w:p>
            <w:pPr>
              <w:spacing w:after="0"/>
              <w:rPr>
                <w:sz w:val="16"/>
                <w:szCs w:val="16"/>
                <w:color w:val="auto"/>
              </w:rPr>
            </w:pPr>
          </w:p>
        </w:tc>
        <w:tc>
          <w:tcPr>
            <w:tcW w:w="680" w:type="dxa"/>
            <w:vAlign w:val="bottom"/>
            <w:shd w:val="clear" w:color="auto" w:fill="EBE1D2"/>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shd w:val="clear" w:color="auto" w:fill="EBE1D2"/>
          </w:tcPr>
          <w:p>
            <w:pPr>
              <w:spacing w:after="0"/>
              <w:rPr>
                <w:sz w:val="16"/>
                <w:szCs w:val="16"/>
                <w:color w:val="auto"/>
              </w:rPr>
            </w:pPr>
          </w:p>
        </w:tc>
        <w:tc>
          <w:tcPr>
            <w:tcW w:w="1120" w:type="dxa"/>
            <w:vAlign w:val="bottom"/>
            <w:shd w:val="clear" w:color="auto" w:fill="EBE1D2"/>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0" w:type="dxa"/>
            <w:vAlign w:val="bottom"/>
            <w:tcBorders>
              <w:bottom w:val="single" w:sz="8" w:color="BFA071"/>
            </w:tcBorders>
            <w:shd w:val="clear" w:color="auto" w:fill="BFA071"/>
          </w:tcPr>
          <w:p>
            <w:pPr>
              <w:spacing w:after="0"/>
              <w:rPr>
                <w:sz w:val="20"/>
                <w:szCs w:val="20"/>
                <w:color w:val="auto"/>
              </w:rPr>
            </w:pPr>
          </w:p>
        </w:tc>
        <w:tc>
          <w:tcPr>
            <w:tcW w:w="1540" w:type="dxa"/>
            <w:vAlign w:val="bottom"/>
            <w:tcBorders>
              <w:bottom w:val="single" w:sz="8" w:color="BFA071"/>
            </w:tcBorders>
            <w:shd w:val="clear" w:color="auto" w:fill="BFA071"/>
          </w:tcPr>
          <w:p>
            <w:pPr>
              <w:ind w:left="40"/>
              <w:spacing w:after="0"/>
              <w:rPr>
                <w:sz w:val="20"/>
                <w:szCs w:val="20"/>
                <w:color w:val="auto"/>
              </w:rPr>
            </w:pPr>
            <w:r>
              <w:rPr>
                <w:rFonts w:ascii="Arial" w:cs="Arial" w:eastAsia="Arial" w:hAnsi="Arial"/>
                <w:sz w:val="14"/>
                <w:szCs w:val="14"/>
                <w:b w:val="1"/>
                <w:bCs w:val="1"/>
                <w:color w:val="FFFFFF"/>
              </w:rPr>
              <w:t>Class B Directors</w:t>
            </w:r>
          </w:p>
        </w:tc>
        <w:tc>
          <w:tcPr>
            <w:tcW w:w="460" w:type="dxa"/>
            <w:vAlign w:val="bottom"/>
            <w:tcBorders>
              <w:bottom w:val="single" w:sz="8" w:color="BFA071"/>
            </w:tcBorders>
            <w:shd w:val="clear" w:color="auto" w:fill="BFA071"/>
          </w:tcPr>
          <w:p>
            <w:pPr>
              <w:spacing w:after="0"/>
              <w:rPr>
                <w:sz w:val="20"/>
                <w:szCs w:val="20"/>
                <w:color w:val="auto"/>
              </w:rPr>
            </w:pPr>
          </w:p>
        </w:tc>
        <w:tc>
          <w:tcPr>
            <w:tcW w:w="1500" w:type="dxa"/>
            <w:vAlign w:val="bottom"/>
            <w:tcBorders>
              <w:bottom w:val="single" w:sz="8" w:color="BFA071"/>
            </w:tcBorders>
            <w:shd w:val="clear" w:color="auto" w:fill="BFA071"/>
          </w:tcPr>
          <w:p>
            <w:pPr>
              <w:spacing w:after="0"/>
              <w:rPr>
                <w:sz w:val="20"/>
                <w:szCs w:val="20"/>
                <w:color w:val="auto"/>
              </w:rPr>
            </w:pPr>
          </w:p>
        </w:tc>
        <w:tc>
          <w:tcPr>
            <w:tcW w:w="560" w:type="dxa"/>
            <w:vAlign w:val="bottom"/>
            <w:tcBorders>
              <w:bottom w:val="single" w:sz="8" w:color="BFA071"/>
            </w:tcBorders>
            <w:shd w:val="clear" w:color="auto" w:fill="BFA071"/>
          </w:tcPr>
          <w:p>
            <w:pPr>
              <w:spacing w:after="0"/>
              <w:rPr>
                <w:sz w:val="20"/>
                <w:szCs w:val="20"/>
                <w:color w:val="auto"/>
              </w:rPr>
            </w:pPr>
          </w:p>
        </w:tc>
        <w:tc>
          <w:tcPr>
            <w:tcW w:w="140" w:type="dxa"/>
            <w:vAlign w:val="bottom"/>
            <w:tcBorders>
              <w:bottom w:val="single" w:sz="8" w:color="BFA071"/>
            </w:tcBorders>
            <w:shd w:val="clear" w:color="auto" w:fill="BFA071"/>
          </w:tcPr>
          <w:p>
            <w:pPr>
              <w:spacing w:after="0"/>
              <w:rPr>
                <w:sz w:val="20"/>
                <w:szCs w:val="20"/>
                <w:color w:val="auto"/>
              </w:rPr>
            </w:pPr>
          </w:p>
        </w:tc>
        <w:tc>
          <w:tcPr>
            <w:tcW w:w="680" w:type="dxa"/>
            <w:vAlign w:val="bottom"/>
            <w:tcBorders>
              <w:bottom w:val="single" w:sz="8" w:color="BFA071"/>
            </w:tcBorders>
            <w:shd w:val="clear" w:color="auto" w:fill="BFA071"/>
          </w:tcPr>
          <w:p>
            <w:pPr>
              <w:spacing w:after="0"/>
              <w:rPr>
                <w:sz w:val="20"/>
                <w:szCs w:val="20"/>
                <w:color w:val="auto"/>
              </w:rPr>
            </w:pPr>
          </w:p>
        </w:tc>
        <w:tc>
          <w:tcPr>
            <w:tcW w:w="1140" w:type="dxa"/>
            <w:vAlign w:val="bottom"/>
            <w:tcBorders>
              <w:bottom w:val="single" w:sz="8" w:color="BFA071"/>
            </w:tcBorders>
            <w:shd w:val="clear" w:color="auto" w:fill="BFA071"/>
          </w:tcPr>
          <w:p>
            <w:pPr>
              <w:spacing w:after="0"/>
              <w:rPr>
                <w:sz w:val="20"/>
                <w:szCs w:val="20"/>
                <w:color w:val="auto"/>
              </w:rPr>
            </w:pPr>
          </w:p>
        </w:tc>
        <w:tc>
          <w:tcPr>
            <w:tcW w:w="140" w:type="dxa"/>
            <w:vAlign w:val="bottom"/>
            <w:tcBorders>
              <w:bottom w:val="single" w:sz="8" w:color="BFA071"/>
            </w:tcBorders>
            <w:shd w:val="clear" w:color="auto" w:fill="BFA071"/>
          </w:tcPr>
          <w:p>
            <w:pPr>
              <w:spacing w:after="0"/>
              <w:rPr>
                <w:sz w:val="20"/>
                <w:szCs w:val="20"/>
                <w:color w:val="auto"/>
              </w:rPr>
            </w:pPr>
          </w:p>
        </w:tc>
        <w:tc>
          <w:tcPr>
            <w:tcW w:w="1120" w:type="dxa"/>
            <w:vAlign w:val="bottom"/>
            <w:tcBorders>
              <w:bottom w:val="single" w:sz="8" w:color="BFA071"/>
            </w:tcBorders>
            <w:shd w:val="clear" w:color="auto" w:fill="BFA071"/>
          </w:tcPr>
          <w:p>
            <w:pPr>
              <w:spacing w:after="0"/>
              <w:rPr>
                <w:sz w:val="20"/>
                <w:szCs w:val="20"/>
                <w:color w:val="auto"/>
              </w:rPr>
            </w:pPr>
          </w:p>
        </w:tc>
        <w:tc>
          <w:tcPr>
            <w:tcW w:w="120" w:type="dxa"/>
            <w:vAlign w:val="bottom"/>
            <w:tcBorders>
              <w:bottom w:val="single" w:sz="8" w:color="BFA071"/>
            </w:tcBorders>
            <w:shd w:val="clear" w:color="auto" w:fill="BFA071"/>
          </w:tcPr>
          <w:p>
            <w:pPr>
              <w:spacing w:after="0"/>
              <w:rPr>
                <w:sz w:val="20"/>
                <w:szCs w:val="20"/>
                <w:color w:val="auto"/>
              </w:rPr>
            </w:pPr>
          </w:p>
        </w:tc>
        <w:tc>
          <w:tcPr>
            <w:tcW w:w="220" w:type="dxa"/>
            <w:vAlign w:val="bottom"/>
            <w:tcBorders>
              <w:bottom w:val="single" w:sz="8" w:color="BFA071"/>
            </w:tcBorders>
            <w:shd w:val="clear" w:color="auto" w:fill="BFA071"/>
          </w:tcPr>
          <w:p>
            <w:pPr>
              <w:spacing w:after="0"/>
              <w:rPr>
                <w:sz w:val="20"/>
                <w:szCs w:val="20"/>
                <w:color w:val="auto"/>
              </w:rPr>
            </w:pPr>
          </w:p>
        </w:tc>
        <w:tc>
          <w:tcPr>
            <w:tcW w:w="520" w:type="dxa"/>
            <w:vAlign w:val="bottom"/>
            <w:tcBorders>
              <w:bottom w:val="single" w:sz="8" w:color="BFA071"/>
            </w:tcBorders>
            <w:shd w:val="clear" w:color="auto" w:fill="BFA071"/>
          </w:tcPr>
          <w:p>
            <w:pPr>
              <w:spacing w:after="0"/>
              <w:rPr>
                <w:sz w:val="20"/>
                <w:szCs w:val="20"/>
                <w:color w:val="auto"/>
              </w:rPr>
            </w:pPr>
          </w:p>
        </w:tc>
        <w:tc>
          <w:tcPr>
            <w:tcW w:w="520" w:type="dxa"/>
            <w:vAlign w:val="bottom"/>
            <w:tcBorders>
              <w:bottom w:val="single" w:sz="8" w:color="BFA071"/>
            </w:tcBorders>
            <w:shd w:val="clear" w:color="auto" w:fill="BFA071"/>
          </w:tcPr>
          <w:p>
            <w:pPr>
              <w:spacing w:after="0"/>
              <w:rPr>
                <w:sz w:val="20"/>
                <w:szCs w:val="20"/>
                <w:color w:val="auto"/>
              </w:rPr>
            </w:pPr>
          </w:p>
        </w:tc>
        <w:tc>
          <w:tcPr>
            <w:tcW w:w="440" w:type="dxa"/>
            <w:vAlign w:val="bottom"/>
            <w:tcBorders>
              <w:bottom w:val="single" w:sz="8" w:color="BFA071"/>
            </w:tcBorders>
            <w:shd w:val="clear" w:color="auto" w:fill="BFA071"/>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540" w:type="dxa"/>
            <w:vAlign w:val="bottom"/>
          </w:tcPr>
          <w:p>
            <w:pPr>
              <w:ind w:left="40"/>
              <w:spacing w:after="0"/>
              <w:rPr>
                <w:sz w:val="20"/>
                <w:szCs w:val="20"/>
                <w:color w:val="auto"/>
              </w:rPr>
            </w:pPr>
            <w:r>
              <w:rPr>
                <w:rFonts w:ascii="Arial" w:cs="Arial" w:eastAsia="Arial" w:hAnsi="Arial"/>
                <w:sz w:val="14"/>
                <w:szCs w:val="14"/>
                <w:color w:val="001641"/>
              </w:rPr>
              <w:t>Ralph Lauren</w:t>
            </w:r>
          </w:p>
        </w:tc>
        <w:tc>
          <w:tcPr>
            <w:tcW w:w="1960" w:type="dxa"/>
            <w:vAlign w:val="bottom"/>
            <w:gridSpan w:val="2"/>
            <w:shd w:val="clear" w:color="auto" w:fill="EBE1D2"/>
          </w:tcPr>
          <w:p>
            <w:pPr>
              <w:ind w:left="140"/>
              <w:spacing w:after="0"/>
              <w:rPr>
                <w:sz w:val="20"/>
                <w:szCs w:val="20"/>
                <w:color w:val="auto"/>
              </w:rPr>
            </w:pPr>
            <w:r>
              <w:rPr>
                <w:rFonts w:ascii="Arial" w:cs="Arial" w:eastAsia="Arial" w:hAnsi="Arial"/>
                <w:sz w:val="14"/>
                <w:szCs w:val="14"/>
                <w:color w:val="001641"/>
              </w:rPr>
              <w:t>Executive Chairman and</w:t>
            </w:r>
          </w:p>
        </w:tc>
        <w:tc>
          <w:tcPr>
            <w:tcW w:w="560" w:type="dxa"/>
            <w:vAlign w:val="bottom"/>
          </w:tcPr>
          <w:p>
            <w:pPr>
              <w:jc w:val="center"/>
              <w:spacing w:after="0"/>
              <w:rPr>
                <w:sz w:val="20"/>
                <w:szCs w:val="20"/>
                <w:color w:val="auto"/>
              </w:rPr>
            </w:pPr>
            <w:r>
              <w:rPr>
                <w:rFonts w:ascii="Arial" w:cs="Arial" w:eastAsia="Arial" w:hAnsi="Arial"/>
                <w:sz w:val="14"/>
                <w:szCs w:val="14"/>
                <w:color w:val="001641"/>
              </w:rPr>
              <w:t>86</w:t>
            </w:r>
          </w:p>
        </w:tc>
        <w:tc>
          <w:tcPr>
            <w:tcW w:w="820" w:type="dxa"/>
            <w:vAlign w:val="bottom"/>
            <w:gridSpan w:val="2"/>
            <w:shd w:val="clear" w:color="auto" w:fill="EBE1D2"/>
          </w:tcPr>
          <w:p>
            <w:pPr>
              <w:jc w:val="center"/>
              <w:spacing w:after="0"/>
              <w:rPr>
                <w:sz w:val="20"/>
                <w:szCs w:val="20"/>
                <w:color w:val="auto"/>
              </w:rPr>
            </w:pPr>
            <w:r>
              <w:rPr>
                <w:rFonts w:ascii="Arial" w:cs="Arial" w:eastAsia="Arial" w:hAnsi="Arial"/>
                <w:sz w:val="14"/>
                <w:szCs w:val="14"/>
                <w:color w:val="001641"/>
              </w:rPr>
              <w:t>1997</w:t>
            </w:r>
          </w:p>
        </w:tc>
        <w:tc>
          <w:tcPr>
            <w:tcW w:w="1140" w:type="dxa"/>
            <w:vAlign w:val="bottom"/>
          </w:tcPr>
          <w:p>
            <w:pPr>
              <w:spacing w:after="0"/>
              <w:rPr>
                <w:sz w:val="15"/>
                <w:szCs w:val="15"/>
                <w:color w:val="auto"/>
              </w:rPr>
            </w:pPr>
          </w:p>
        </w:tc>
        <w:tc>
          <w:tcPr>
            <w:tcW w:w="1260" w:type="dxa"/>
            <w:vAlign w:val="bottom"/>
            <w:gridSpan w:val="2"/>
            <w:shd w:val="clear" w:color="auto" w:fill="EBE1D2"/>
          </w:tcPr>
          <w:p>
            <w:pPr>
              <w:jc w:val="center"/>
              <w:spacing w:after="0"/>
              <w:rPr>
                <w:sz w:val="20"/>
                <w:szCs w:val="20"/>
                <w:color w:val="auto"/>
              </w:rPr>
            </w:pPr>
            <w:r>
              <w:rPr>
                <w:rFonts w:ascii="Arial" w:cs="Arial" w:eastAsia="Arial" w:hAnsi="Arial"/>
                <w:sz w:val="14"/>
                <w:szCs w:val="14"/>
                <w:color w:val="001641"/>
              </w:rPr>
              <w:t>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tcBorders>
              <w:bottom w:val="single" w:sz="8" w:color="EBE1D2"/>
            </w:tcBorders>
            <w:gridSpan w:val="2"/>
            <w:shd w:val="clear" w:color="auto" w:fill="EBE1D2"/>
          </w:tcPr>
          <w:p>
            <w:pPr>
              <w:ind w:left="140"/>
              <w:spacing w:after="0"/>
              <w:rPr>
                <w:sz w:val="20"/>
                <w:szCs w:val="20"/>
                <w:color w:val="auto"/>
              </w:rPr>
            </w:pPr>
            <w:r>
              <w:rPr>
                <w:rFonts w:ascii="Arial" w:cs="Arial" w:eastAsia="Arial" w:hAnsi="Arial"/>
                <w:sz w:val="14"/>
                <w:szCs w:val="14"/>
                <w:color w:val="001641"/>
              </w:rPr>
              <w:t>Chief Creative Officer</w:t>
            </w:r>
          </w:p>
        </w:tc>
        <w:tc>
          <w:tcPr>
            <w:tcW w:w="560" w:type="dxa"/>
            <w:vAlign w:val="bottom"/>
          </w:tcPr>
          <w:p>
            <w:pPr>
              <w:spacing w:after="0"/>
              <w:rPr>
                <w:sz w:val="18"/>
                <w:szCs w:val="18"/>
                <w:color w:val="auto"/>
              </w:rPr>
            </w:pPr>
          </w:p>
        </w:tc>
        <w:tc>
          <w:tcPr>
            <w:tcW w:w="140" w:type="dxa"/>
            <w:vAlign w:val="bottom"/>
            <w:tcBorders>
              <w:bottom w:val="single" w:sz="8" w:color="EBE1D2"/>
            </w:tcBorders>
            <w:shd w:val="clear" w:color="auto" w:fill="EBE1D2"/>
          </w:tcPr>
          <w:p>
            <w:pPr>
              <w:spacing w:after="0"/>
              <w:rPr>
                <w:sz w:val="18"/>
                <w:szCs w:val="18"/>
                <w:color w:val="auto"/>
              </w:rPr>
            </w:pPr>
          </w:p>
        </w:tc>
        <w:tc>
          <w:tcPr>
            <w:tcW w:w="680" w:type="dxa"/>
            <w:vAlign w:val="bottom"/>
            <w:tcBorders>
              <w:bottom w:val="single" w:sz="8" w:color="EBE1D2"/>
            </w:tcBorders>
            <w:shd w:val="clear" w:color="auto" w:fill="EBE1D2"/>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bottom w:val="single" w:sz="8" w:color="EBE1D2"/>
            </w:tcBorders>
            <w:shd w:val="clear" w:color="auto" w:fill="EBE1D2"/>
          </w:tcPr>
          <w:p>
            <w:pPr>
              <w:spacing w:after="0"/>
              <w:rPr>
                <w:sz w:val="18"/>
                <w:szCs w:val="18"/>
                <w:color w:val="auto"/>
              </w:rPr>
            </w:pPr>
          </w:p>
        </w:tc>
        <w:tc>
          <w:tcPr>
            <w:tcW w:w="1120" w:type="dxa"/>
            <w:vAlign w:val="bottom"/>
            <w:tcBorders>
              <w:bottom w:val="single" w:sz="8" w:color="EBE1D2"/>
            </w:tcBorders>
            <w:shd w:val="clear" w:color="auto" w:fill="EBE1D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0" w:type="dxa"/>
            <w:vAlign w:val="bottom"/>
            <w:tcBorders>
              <w:top w:val="single" w:sz="8" w:color="BFA071"/>
            </w:tcBorders>
          </w:tcPr>
          <w:p>
            <w:pPr>
              <w:spacing w:after="0"/>
              <w:rPr>
                <w:sz w:val="15"/>
                <w:szCs w:val="15"/>
                <w:color w:val="auto"/>
              </w:rPr>
            </w:pPr>
          </w:p>
        </w:tc>
        <w:tc>
          <w:tcPr>
            <w:tcW w:w="1540" w:type="dxa"/>
            <w:vAlign w:val="bottom"/>
            <w:tcBorders>
              <w:top w:val="single" w:sz="8" w:color="BFA071"/>
            </w:tcBorders>
          </w:tcPr>
          <w:p>
            <w:pPr>
              <w:ind w:left="40"/>
              <w:spacing w:after="0"/>
              <w:rPr>
                <w:sz w:val="20"/>
                <w:szCs w:val="20"/>
                <w:color w:val="auto"/>
              </w:rPr>
            </w:pPr>
            <w:r>
              <w:rPr>
                <w:rFonts w:ascii="Arial" w:cs="Arial" w:eastAsia="Arial" w:hAnsi="Arial"/>
                <w:sz w:val="14"/>
                <w:szCs w:val="14"/>
                <w:color w:val="001641"/>
              </w:rPr>
              <w:t>Patrice Louvet</w:t>
            </w:r>
          </w:p>
        </w:tc>
        <w:tc>
          <w:tcPr>
            <w:tcW w:w="1960" w:type="dxa"/>
            <w:vAlign w:val="bottom"/>
            <w:tcBorders>
              <w:top w:val="single" w:sz="8" w:color="BFA071"/>
            </w:tcBorders>
            <w:gridSpan w:val="2"/>
            <w:shd w:val="clear" w:color="auto" w:fill="EBE1D2"/>
          </w:tcPr>
          <w:p>
            <w:pPr>
              <w:ind w:left="140"/>
              <w:spacing w:after="0"/>
              <w:rPr>
                <w:sz w:val="20"/>
                <w:szCs w:val="20"/>
                <w:color w:val="auto"/>
              </w:rPr>
            </w:pPr>
            <w:r>
              <w:rPr>
                <w:rFonts w:ascii="Arial" w:cs="Arial" w:eastAsia="Arial" w:hAnsi="Arial"/>
                <w:sz w:val="14"/>
                <w:szCs w:val="14"/>
                <w:color w:val="001641"/>
              </w:rPr>
              <w:t>President and Chief</w:t>
            </w:r>
          </w:p>
        </w:tc>
        <w:tc>
          <w:tcPr>
            <w:tcW w:w="560" w:type="dxa"/>
            <w:vAlign w:val="bottom"/>
            <w:tcBorders>
              <w:top w:val="single" w:sz="8" w:color="BFA071"/>
            </w:tcBorders>
          </w:tcPr>
          <w:p>
            <w:pPr>
              <w:jc w:val="center"/>
              <w:spacing w:after="0"/>
              <w:rPr>
                <w:sz w:val="20"/>
                <w:szCs w:val="20"/>
                <w:color w:val="auto"/>
              </w:rPr>
            </w:pPr>
            <w:r>
              <w:rPr>
                <w:rFonts w:ascii="Arial" w:cs="Arial" w:eastAsia="Arial" w:hAnsi="Arial"/>
                <w:sz w:val="14"/>
                <w:szCs w:val="14"/>
                <w:color w:val="001641"/>
              </w:rPr>
              <w:t>61</w:t>
            </w:r>
          </w:p>
        </w:tc>
        <w:tc>
          <w:tcPr>
            <w:tcW w:w="820" w:type="dxa"/>
            <w:vAlign w:val="bottom"/>
            <w:tcBorders>
              <w:top w:val="single" w:sz="8" w:color="BFA071"/>
            </w:tcBorders>
            <w:gridSpan w:val="2"/>
            <w:shd w:val="clear" w:color="auto" w:fill="EBE1D2"/>
          </w:tcPr>
          <w:p>
            <w:pPr>
              <w:jc w:val="center"/>
              <w:spacing w:after="0"/>
              <w:rPr>
                <w:sz w:val="20"/>
                <w:szCs w:val="20"/>
                <w:color w:val="auto"/>
              </w:rPr>
            </w:pPr>
            <w:r>
              <w:rPr>
                <w:rFonts w:ascii="Arial" w:cs="Arial" w:eastAsia="Arial" w:hAnsi="Arial"/>
                <w:sz w:val="14"/>
                <w:szCs w:val="14"/>
                <w:color w:val="001641"/>
              </w:rPr>
              <w:t>2017</w:t>
            </w:r>
          </w:p>
        </w:tc>
        <w:tc>
          <w:tcPr>
            <w:tcW w:w="1140" w:type="dxa"/>
            <w:vAlign w:val="bottom"/>
            <w:tcBorders>
              <w:top w:val="single" w:sz="8" w:color="BFA071"/>
            </w:tcBorders>
          </w:tcPr>
          <w:p>
            <w:pPr>
              <w:spacing w:after="0"/>
              <w:rPr>
                <w:sz w:val="15"/>
                <w:szCs w:val="15"/>
                <w:color w:val="auto"/>
              </w:rPr>
            </w:pPr>
          </w:p>
        </w:tc>
        <w:tc>
          <w:tcPr>
            <w:tcW w:w="1260" w:type="dxa"/>
            <w:vAlign w:val="bottom"/>
            <w:tcBorders>
              <w:top w:val="single" w:sz="8" w:color="BFA071"/>
            </w:tcBorders>
            <w:gridSpan w:val="2"/>
            <w:shd w:val="clear" w:color="auto" w:fill="EBE1D2"/>
          </w:tcPr>
          <w:p>
            <w:pPr>
              <w:jc w:val="center"/>
              <w:spacing w:after="0"/>
              <w:rPr>
                <w:sz w:val="20"/>
                <w:szCs w:val="20"/>
                <w:color w:val="auto"/>
              </w:rPr>
            </w:pPr>
            <w:r>
              <w:rPr>
                <w:rFonts w:ascii="Arial" w:cs="Arial" w:eastAsia="Arial" w:hAnsi="Arial"/>
                <w:sz w:val="14"/>
                <w:szCs w:val="14"/>
                <w:color w:val="001641"/>
              </w:rPr>
              <w:t>1</w:t>
            </w:r>
          </w:p>
        </w:tc>
        <w:tc>
          <w:tcPr>
            <w:tcW w:w="120" w:type="dxa"/>
            <w:vAlign w:val="bottom"/>
            <w:tcBorders>
              <w:top w:val="single" w:sz="8" w:color="BFA071"/>
            </w:tcBorders>
          </w:tcPr>
          <w:p>
            <w:pPr>
              <w:spacing w:after="0"/>
              <w:rPr>
                <w:sz w:val="15"/>
                <w:szCs w:val="15"/>
                <w:color w:val="auto"/>
              </w:rPr>
            </w:pPr>
          </w:p>
        </w:tc>
        <w:tc>
          <w:tcPr>
            <w:tcW w:w="220" w:type="dxa"/>
            <w:vAlign w:val="bottom"/>
            <w:tcBorders>
              <w:top w:val="single" w:sz="8" w:color="BFA071"/>
            </w:tcBorders>
          </w:tcPr>
          <w:p>
            <w:pPr>
              <w:spacing w:after="0"/>
              <w:rPr>
                <w:sz w:val="15"/>
                <w:szCs w:val="15"/>
                <w:color w:val="auto"/>
              </w:rPr>
            </w:pPr>
          </w:p>
        </w:tc>
        <w:tc>
          <w:tcPr>
            <w:tcW w:w="520" w:type="dxa"/>
            <w:vAlign w:val="bottom"/>
            <w:tcBorders>
              <w:top w:val="single" w:sz="8" w:color="BFA071"/>
            </w:tcBorders>
          </w:tcPr>
          <w:p>
            <w:pPr>
              <w:spacing w:after="0"/>
              <w:rPr>
                <w:sz w:val="15"/>
                <w:szCs w:val="15"/>
                <w:color w:val="auto"/>
              </w:rPr>
            </w:pPr>
          </w:p>
        </w:tc>
        <w:tc>
          <w:tcPr>
            <w:tcW w:w="520" w:type="dxa"/>
            <w:vAlign w:val="bottom"/>
            <w:tcBorders>
              <w:top w:val="single" w:sz="8" w:color="BFA071"/>
            </w:tcBorders>
          </w:tcPr>
          <w:p>
            <w:pPr>
              <w:spacing w:after="0"/>
              <w:rPr>
                <w:sz w:val="15"/>
                <w:szCs w:val="15"/>
                <w:color w:val="auto"/>
              </w:rPr>
            </w:pPr>
          </w:p>
        </w:tc>
        <w:tc>
          <w:tcPr>
            <w:tcW w:w="440" w:type="dxa"/>
            <w:vAlign w:val="bottom"/>
            <w:tcBorders>
              <w:top w:val="single" w:sz="8" w:color="BFA071"/>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tcBorders>
              <w:bottom w:val="single" w:sz="8" w:color="EBE1D2"/>
            </w:tcBorders>
            <w:gridSpan w:val="2"/>
            <w:shd w:val="clear" w:color="auto" w:fill="EBE1D2"/>
          </w:tcPr>
          <w:p>
            <w:pPr>
              <w:ind w:left="140"/>
              <w:spacing w:after="0"/>
              <w:rPr>
                <w:sz w:val="20"/>
                <w:szCs w:val="20"/>
                <w:color w:val="auto"/>
              </w:rPr>
            </w:pPr>
            <w:r>
              <w:rPr>
                <w:rFonts w:ascii="Arial" w:cs="Arial" w:eastAsia="Arial" w:hAnsi="Arial"/>
                <w:sz w:val="14"/>
                <w:szCs w:val="14"/>
                <w:color w:val="001641"/>
              </w:rPr>
              <w:t>Executive Officer</w:t>
            </w:r>
          </w:p>
        </w:tc>
        <w:tc>
          <w:tcPr>
            <w:tcW w:w="560" w:type="dxa"/>
            <w:vAlign w:val="bottom"/>
          </w:tcPr>
          <w:p>
            <w:pPr>
              <w:spacing w:after="0"/>
              <w:rPr>
                <w:sz w:val="18"/>
                <w:szCs w:val="18"/>
                <w:color w:val="auto"/>
              </w:rPr>
            </w:pPr>
          </w:p>
        </w:tc>
        <w:tc>
          <w:tcPr>
            <w:tcW w:w="140" w:type="dxa"/>
            <w:vAlign w:val="bottom"/>
            <w:tcBorders>
              <w:bottom w:val="single" w:sz="8" w:color="EBE1D2"/>
            </w:tcBorders>
            <w:shd w:val="clear" w:color="auto" w:fill="EBE1D2"/>
          </w:tcPr>
          <w:p>
            <w:pPr>
              <w:spacing w:after="0"/>
              <w:rPr>
                <w:sz w:val="18"/>
                <w:szCs w:val="18"/>
                <w:color w:val="auto"/>
              </w:rPr>
            </w:pPr>
          </w:p>
        </w:tc>
        <w:tc>
          <w:tcPr>
            <w:tcW w:w="680" w:type="dxa"/>
            <w:vAlign w:val="bottom"/>
            <w:tcBorders>
              <w:bottom w:val="single" w:sz="8" w:color="EBE1D2"/>
            </w:tcBorders>
            <w:shd w:val="clear" w:color="auto" w:fill="EBE1D2"/>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bottom w:val="single" w:sz="8" w:color="EBE1D2"/>
            </w:tcBorders>
            <w:shd w:val="clear" w:color="auto" w:fill="EBE1D2"/>
          </w:tcPr>
          <w:p>
            <w:pPr>
              <w:spacing w:after="0"/>
              <w:rPr>
                <w:sz w:val="18"/>
                <w:szCs w:val="18"/>
                <w:color w:val="auto"/>
              </w:rPr>
            </w:pPr>
          </w:p>
        </w:tc>
        <w:tc>
          <w:tcPr>
            <w:tcW w:w="1120" w:type="dxa"/>
            <w:vAlign w:val="bottom"/>
            <w:tcBorders>
              <w:bottom w:val="single" w:sz="8" w:color="EBE1D2"/>
            </w:tcBorders>
            <w:shd w:val="clear" w:color="auto" w:fill="EBE1D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0" w:type="dxa"/>
            <w:vAlign w:val="bottom"/>
            <w:tcBorders>
              <w:top w:val="single" w:sz="8" w:color="BFA071"/>
            </w:tcBorders>
          </w:tcPr>
          <w:p>
            <w:pPr>
              <w:spacing w:after="0"/>
              <w:rPr>
                <w:sz w:val="15"/>
                <w:szCs w:val="15"/>
                <w:color w:val="auto"/>
              </w:rPr>
            </w:pPr>
          </w:p>
        </w:tc>
        <w:tc>
          <w:tcPr>
            <w:tcW w:w="1540" w:type="dxa"/>
            <w:vAlign w:val="bottom"/>
            <w:tcBorders>
              <w:top w:val="single" w:sz="8" w:color="BFA071"/>
            </w:tcBorders>
          </w:tcPr>
          <w:p>
            <w:pPr>
              <w:ind w:left="40"/>
              <w:spacing w:after="0"/>
              <w:rPr>
                <w:sz w:val="20"/>
                <w:szCs w:val="20"/>
                <w:color w:val="auto"/>
              </w:rPr>
            </w:pPr>
            <w:r>
              <w:rPr>
                <w:rFonts w:ascii="Arial" w:cs="Arial" w:eastAsia="Arial" w:hAnsi="Arial"/>
                <w:sz w:val="14"/>
                <w:szCs w:val="14"/>
                <w:color w:val="001641"/>
              </w:rPr>
              <w:t>David Lauren</w:t>
            </w:r>
          </w:p>
        </w:tc>
        <w:tc>
          <w:tcPr>
            <w:tcW w:w="1960" w:type="dxa"/>
            <w:vAlign w:val="bottom"/>
            <w:tcBorders>
              <w:top w:val="single" w:sz="8" w:color="BFA071"/>
            </w:tcBorders>
            <w:gridSpan w:val="2"/>
            <w:shd w:val="clear" w:color="auto" w:fill="EBE1D2"/>
          </w:tcPr>
          <w:p>
            <w:pPr>
              <w:ind w:left="140"/>
              <w:spacing w:after="0"/>
              <w:rPr>
                <w:sz w:val="20"/>
                <w:szCs w:val="20"/>
                <w:color w:val="auto"/>
              </w:rPr>
            </w:pPr>
            <w:r>
              <w:rPr>
                <w:rFonts w:ascii="Arial" w:cs="Arial" w:eastAsia="Arial" w:hAnsi="Arial"/>
                <w:sz w:val="14"/>
                <w:szCs w:val="14"/>
                <w:color w:val="001641"/>
              </w:rPr>
              <w:t>Chief Branding and</w:t>
            </w:r>
          </w:p>
        </w:tc>
        <w:tc>
          <w:tcPr>
            <w:tcW w:w="560" w:type="dxa"/>
            <w:vAlign w:val="bottom"/>
            <w:tcBorders>
              <w:top w:val="single" w:sz="8" w:color="BFA071"/>
            </w:tcBorders>
          </w:tcPr>
          <w:p>
            <w:pPr>
              <w:jc w:val="center"/>
              <w:spacing w:after="0"/>
              <w:rPr>
                <w:sz w:val="20"/>
                <w:szCs w:val="20"/>
                <w:color w:val="auto"/>
              </w:rPr>
            </w:pPr>
            <w:r>
              <w:rPr>
                <w:rFonts w:ascii="Arial" w:cs="Arial" w:eastAsia="Arial" w:hAnsi="Arial"/>
                <w:sz w:val="14"/>
                <w:szCs w:val="14"/>
                <w:color w:val="001641"/>
              </w:rPr>
              <w:t>54</w:t>
            </w:r>
          </w:p>
        </w:tc>
        <w:tc>
          <w:tcPr>
            <w:tcW w:w="820" w:type="dxa"/>
            <w:vAlign w:val="bottom"/>
            <w:tcBorders>
              <w:top w:val="single" w:sz="8" w:color="BFA071"/>
            </w:tcBorders>
            <w:gridSpan w:val="2"/>
            <w:shd w:val="clear" w:color="auto" w:fill="EBE1D2"/>
          </w:tcPr>
          <w:p>
            <w:pPr>
              <w:jc w:val="center"/>
              <w:spacing w:after="0"/>
              <w:rPr>
                <w:sz w:val="20"/>
                <w:szCs w:val="20"/>
                <w:color w:val="auto"/>
              </w:rPr>
            </w:pPr>
            <w:r>
              <w:rPr>
                <w:rFonts w:ascii="Arial" w:cs="Arial" w:eastAsia="Arial" w:hAnsi="Arial"/>
                <w:sz w:val="14"/>
                <w:szCs w:val="14"/>
                <w:color w:val="001641"/>
              </w:rPr>
              <w:t>2013</w:t>
            </w:r>
          </w:p>
        </w:tc>
        <w:tc>
          <w:tcPr>
            <w:tcW w:w="1140" w:type="dxa"/>
            <w:vAlign w:val="bottom"/>
            <w:tcBorders>
              <w:top w:val="single" w:sz="8" w:color="BFA071"/>
            </w:tcBorders>
          </w:tcPr>
          <w:p>
            <w:pPr>
              <w:spacing w:after="0"/>
              <w:rPr>
                <w:sz w:val="15"/>
                <w:szCs w:val="15"/>
                <w:color w:val="auto"/>
              </w:rPr>
            </w:pPr>
          </w:p>
        </w:tc>
        <w:tc>
          <w:tcPr>
            <w:tcW w:w="1260" w:type="dxa"/>
            <w:vAlign w:val="bottom"/>
            <w:tcBorders>
              <w:top w:val="single" w:sz="8" w:color="BFA071"/>
            </w:tcBorders>
            <w:gridSpan w:val="2"/>
            <w:shd w:val="clear" w:color="auto" w:fill="EBE1D2"/>
          </w:tcPr>
          <w:p>
            <w:pPr>
              <w:jc w:val="center"/>
              <w:spacing w:after="0"/>
              <w:rPr>
                <w:sz w:val="20"/>
                <w:szCs w:val="20"/>
                <w:color w:val="auto"/>
              </w:rPr>
            </w:pPr>
            <w:r>
              <w:rPr>
                <w:rFonts w:ascii="Arial" w:cs="Arial" w:eastAsia="Arial" w:hAnsi="Arial"/>
                <w:sz w:val="14"/>
                <w:szCs w:val="14"/>
                <w:color w:val="001641"/>
              </w:rPr>
              <w:t>0</w:t>
            </w:r>
          </w:p>
        </w:tc>
        <w:tc>
          <w:tcPr>
            <w:tcW w:w="120" w:type="dxa"/>
            <w:vAlign w:val="bottom"/>
            <w:tcBorders>
              <w:top w:val="single" w:sz="8" w:color="BFA071"/>
            </w:tcBorders>
          </w:tcPr>
          <w:p>
            <w:pPr>
              <w:spacing w:after="0"/>
              <w:rPr>
                <w:sz w:val="15"/>
                <w:szCs w:val="15"/>
                <w:color w:val="auto"/>
              </w:rPr>
            </w:pPr>
          </w:p>
        </w:tc>
        <w:tc>
          <w:tcPr>
            <w:tcW w:w="220" w:type="dxa"/>
            <w:vAlign w:val="bottom"/>
            <w:tcBorders>
              <w:top w:val="single" w:sz="8" w:color="BFA071"/>
            </w:tcBorders>
          </w:tcPr>
          <w:p>
            <w:pPr>
              <w:spacing w:after="0"/>
              <w:rPr>
                <w:sz w:val="15"/>
                <w:szCs w:val="15"/>
                <w:color w:val="auto"/>
              </w:rPr>
            </w:pPr>
          </w:p>
        </w:tc>
        <w:tc>
          <w:tcPr>
            <w:tcW w:w="520" w:type="dxa"/>
            <w:vAlign w:val="bottom"/>
            <w:tcBorders>
              <w:top w:val="single" w:sz="8" w:color="BFA071"/>
            </w:tcBorders>
          </w:tcPr>
          <w:p>
            <w:pPr>
              <w:spacing w:after="0"/>
              <w:rPr>
                <w:sz w:val="15"/>
                <w:szCs w:val="15"/>
                <w:color w:val="auto"/>
              </w:rPr>
            </w:pPr>
          </w:p>
        </w:tc>
        <w:tc>
          <w:tcPr>
            <w:tcW w:w="520" w:type="dxa"/>
            <w:vAlign w:val="bottom"/>
            <w:tcBorders>
              <w:top w:val="single" w:sz="8" w:color="BFA071"/>
            </w:tcBorders>
          </w:tcPr>
          <w:p>
            <w:pPr>
              <w:spacing w:after="0"/>
              <w:rPr>
                <w:sz w:val="15"/>
                <w:szCs w:val="15"/>
                <w:color w:val="auto"/>
              </w:rPr>
            </w:pPr>
          </w:p>
        </w:tc>
        <w:tc>
          <w:tcPr>
            <w:tcW w:w="440" w:type="dxa"/>
            <w:vAlign w:val="bottom"/>
            <w:tcBorders>
              <w:top w:val="single" w:sz="8" w:color="BFA071"/>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60" w:type="dxa"/>
            <w:vAlign w:val="bottom"/>
            <w:gridSpan w:val="2"/>
            <w:shd w:val="clear" w:color="auto" w:fill="EBE1D2"/>
          </w:tcPr>
          <w:p>
            <w:pPr>
              <w:ind w:left="140"/>
              <w:spacing w:after="0"/>
              <w:rPr>
                <w:sz w:val="20"/>
                <w:szCs w:val="20"/>
                <w:color w:val="auto"/>
              </w:rPr>
            </w:pPr>
            <w:r>
              <w:rPr>
                <w:rFonts w:ascii="Arial" w:cs="Arial" w:eastAsia="Arial" w:hAnsi="Arial"/>
                <w:sz w:val="14"/>
                <w:szCs w:val="14"/>
                <w:color w:val="001641"/>
              </w:rPr>
              <w:t>Innovation Officer and</w:t>
            </w:r>
          </w:p>
        </w:tc>
        <w:tc>
          <w:tcPr>
            <w:tcW w:w="560" w:type="dxa"/>
            <w:vAlign w:val="bottom"/>
          </w:tcPr>
          <w:p>
            <w:pPr>
              <w:spacing w:after="0"/>
              <w:rPr>
                <w:sz w:val="14"/>
                <w:szCs w:val="14"/>
                <w:color w:val="auto"/>
              </w:rPr>
            </w:pPr>
          </w:p>
        </w:tc>
        <w:tc>
          <w:tcPr>
            <w:tcW w:w="140" w:type="dxa"/>
            <w:vAlign w:val="bottom"/>
            <w:shd w:val="clear" w:color="auto" w:fill="EBE1D2"/>
          </w:tcPr>
          <w:p>
            <w:pPr>
              <w:spacing w:after="0"/>
              <w:rPr>
                <w:sz w:val="14"/>
                <w:szCs w:val="14"/>
                <w:color w:val="auto"/>
              </w:rPr>
            </w:pPr>
          </w:p>
        </w:tc>
        <w:tc>
          <w:tcPr>
            <w:tcW w:w="680" w:type="dxa"/>
            <w:vAlign w:val="bottom"/>
            <w:shd w:val="clear" w:color="auto" w:fill="EBE1D2"/>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shd w:val="clear" w:color="auto" w:fill="EBE1D2"/>
          </w:tcPr>
          <w:p>
            <w:pPr>
              <w:spacing w:after="0"/>
              <w:rPr>
                <w:sz w:val="14"/>
                <w:szCs w:val="14"/>
                <w:color w:val="auto"/>
              </w:rPr>
            </w:pPr>
          </w:p>
        </w:tc>
        <w:tc>
          <w:tcPr>
            <w:tcW w:w="1120" w:type="dxa"/>
            <w:vAlign w:val="bottom"/>
            <w:shd w:val="clear" w:color="auto" w:fill="EBE1D2"/>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60" w:type="dxa"/>
            <w:vAlign w:val="bottom"/>
            <w:gridSpan w:val="2"/>
            <w:shd w:val="clear" w:color="auto" w:fill="EBE1D2"/>
          </w:tcPr>
          <w:p>
            <w:pPr>
              <w:ind w:left="140"/>
              <w:spacing w:after="0"/>
              <w:rPr>
                <w:sz w:val="20"/>
                <w:szCs w:val="20"/>
                <w:color w:val="auto"/>
              </w:rPr>
            </w:pPr>
            <w:r>
              <w:rPr>
                <w:rFonts w:ascii="Arial" w:cs="Arial" w:eastAsia="Arial" w:hAnsi="Arial"/>
                <w:sz w:val="14"/>
                <w:szCs w:val="14"/>
                <w:color w:val="001641"/>
              </w:rPr>
              <w:t>Vice Chairman of the</w:t>
            </w:r>
          </w:p>
        </w:tc>
        <w:tc>
          <w:tcPr>
            <w:tcW w:w="560" w:type="dxa"/>
            <w:vAlign w:val="bottom"/>
          </w:tcPr>
          <w:p>
            <w:pPr>
              <w:spacing w:after="0"/>
              <w:rPr>
                <w:sz w:val="14"/>
                <w:szCs w:val="14"/>
                <w:color w:val="auto"/>
              </w:rPr>
            </w:pPr>
          </w:p>
        </w:tc>
        <w:tc>
          <w:tcPr>
            <w:tcW w:w="140" w:type="dxa"/>
            <w:vAlign w:val="bottom"/>
            <w:shd w:val="clear" w:color="auto" w:fill="EBE1D2"/>
          </w:tcPr>
          <w:p>
            <w:pPr>
              <w:spacing w:after="0"/>
              <w:rPr>
                <w:sz w:val="14"/>
                <w:szCs w:val="14"/>
                <w:color w:val="auto"/>
              </w:rPr>
            </w:pPr>
          </w:p>
        </w:tc>
        <w:tc>
          <w:tcPr>
            <w:tcW w:w="680" w:type="dxa"/>
            <w:vAlign w:val="bottom"/>
            <w:shd w:val="clear" w:color="auto" w:fill="EBE1D2"/>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shd w:val="clear" w:color="auto" w:fill="EBE1D2"/>
          </w:tcPr>
          <w:p>
            <w:pPr>
              <w:spacing w:after="0"/>
              <w:rPr>
                <w:sz w:val="14"/>
                <w:szCs w:val="14"/>
                <w:color w:val="auto"/>
              </w:rPr>
            </w:pPr>
          </w:p>
        </w:tc>
        <w:tc>
          <w:tcPr>
            <w:tcW w:w="1120" w:type="dxa"/>
            <w:vAlign w:val="bottom"/>
            <w:shd w:val="clear" w:color="auto" w:fill="EBE1D2"/>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tcBorders>
              <w:bottom w:val="single" w:sz="8" w:color="EBE1D2"/>
            </w:tcBorders>
            <w:gridSpan w:val="2"/>
            <w:shd w:val="clear" w:color="auto" w:fill="EBE1D2"/>
          </w:tcPr>
          <w:p>
            <w:pPr>
              <w:ind w:left="140"/>
              <w:spacing w:after="0"/>
              <w:rPr>
                <w:sz w:val="20"/>
                <w:szCs w:val="20"/>
                <w:color w:val="auto"/>
              </w:rPr>
            </w:pPr>
            <w:r>
              <w:rPr>
                <w:rFonts w:ascii="Arial" w:cs="Arial" w:eastAsia="Arial" w:hAnsi="Arial"/>
                <w:sz w:val="14"/>
                <w:szCs w:val="14"/>
                <w:color w:val="001641"/>
              </w:rPr>
              <w:t>Board</w:t>
            </w:r>
          </w:p>
        </w:tc>
        <w:tc>
          <w:tcPr>
            <w:tcW w:w="560" w:type="dxa"/>
            <w:vAlign w:val="bottom"/>
          </w:tcPr>
          <w:p>
            <w:pPr>
              <w:spacing w:after="0"/>
              <w:rPr>
                <w:sz w:val="18"/>
                <w:szCs w:val="18"/>
                <w:color w:val="auto"/>
              </w:rPr>
            </w:pPr>
          </w:p>
        </w:tc>
        <w:tc>
          <w:tcPr>
            <w:tcW w:w="140" w:type="dxa"/>
            <w:vAlign w:val="bottom"/>
            <w:tcBorders>
              <w:bottom w:val="single" w:sz="8" w:color="EBE1D2"/>
            </w:tcBorders>
            <w:shd w:val="clear" w:color="auto" w:fill="EBE1D2"/>
          </w:tcPr>
          <w:p>
            <w:pPr>
              <w:spacing w:after="0"/>
              <w:rPr>
                <w:sz w:val="18"/>
                <w:szCs w:val="18"/>
                <w:color w:val="auto"/>
              </w:rPr>
            </w:pPr>
          </w:p>
        </w:tc>
        <w:tc>
          <w:tcPr>
            <w:tcW w:w="680" w:type="dxa"/>
            <w:vAlign w:val="bottom"/>
            <w:tcBorders>
              <w:bottom w:val="single" w:sz="8" w:color="EBE1D2"/>
            </w:tcBorders>
            <w:shd w:val="clear" w:color="auto" w:fill="EBE1D2"/>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bottom w:val="single" w:sz="8" w:color="EBE1D2"/>
            </w:tcBorders>
            <w:shd w:val="clear" w:color="auto" w:fill="EBE1D2"/>
          </w:tcPr>
          <w:p>
            <w:pPr>
              <w:spacing w:after="0"/>
              <w:rPr>
                <w:sz w:val="18"/>
                <w:szCs w:val="18"/>
                <w:color w:val="auto"/>
              </w:rPr>
            </w:pPr>
          </w:p>
        </w:tc>
        <w:tc>
          <w:tcPr>
            <w:tcW w:w="1120" w:type="dxa"/>
            <w:vAlign w:val="bottom"/>
            <w:tcBorders>
              <w:bottom w:val="single" w:sz="8" w:color="EBE1D2"/>
            </w:tcBorders>
            <w:shd w:val="clear" w:color="auto" w:fill="EBE1D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0" w:type="dxa"/>
            <w:vAlign w:val="bottom"/>
            <w:tcBorders>
              <w:top w:val="single" w:sz="8" w:color="BFA071"/>
            </w:tcBorders>
          </w:tcPr>
          <w:p>
            <w:pPr>
              <w:spacing w:after="0"/>
              <w:rPr>
                <w:sz w:val="15"/>
                <w:szCs w:val="15"/>
                <w:color w:val="auto"/>
              </w:rPr>
            </w:pPr>
          </w:p>
        </w:tc>
        <w:tc>
          <w:tcPr>
            <w:tcW w:w="1540" w:type="dxa"/>
            <w:vAlign w:val="bottom"/>
            <w:tcBorders>
              <w:top w:val="single" w:sz="8" w:color="BFA071"/>
            </w:tcBorders>
          </w:tcPr>
          <w:p>
            <w:pPr>
              <w:ind w:left="40"/>
              <w:spacing w:after="0"/>
              <w:rPr>
                <w:sz w:val="20"/>
                <w:szCs w:val="20"/>
                <w:color w:val="auto"/>
              </w:rPr>
            </w:pPr>
            <w:r>
              <w:rPr>
                <w:rFonts w:ascii="Arial" w:cs="Arial" w:eastAsia="Arial" w:hAnsi="Arial"/>
                <w:sz w:val="14"/>
                <w:szCs w:val="14"/>
                <w:color w:val="001641"/>
              </w:rPr>
              <w:t>Frank A. Bennack, Jr.</w:t>
            </w:r>
          </w:p>
        </w:tc>
        <w:tc>
          <w:tcPr>
            <w:tcW w:w="1960" w:type="dxa"/>
            <w:vAlign w:val="bottom"/>
            <w:tcBorders>
              <w:top w:val="single" w:sz="8" w:color="BFA071"/>
            </w:tcBorders>
            <w:gridSpan w:val="2"/>
            <w:shd w:val="clear" w:color="auto" w:fill="EBE1D2"/>
          </w:tcPr>
          <w:p>
            <w:pPr>
              <w:ind w:left="140"/>
              <w:spacing w:after="0"/>
              <w:rPr>
                <w:sz w:val="20"/>
                <w:szCs w:val="20"/>
                <w:color w:val="auto"/>
              </w:rPr>
            </w:pPr>
            <w:r>
              <w:rPr>
                <w:rFonts w:ascii="Arial" w:cs="Arial" w:eastAsia="Arial" w:hAnsi="Arial"/>
                <w:sz w:val="14"/>
                <w:szCs w:val="14"/>
                <w:color w:val="001641"/>
              </w:rPr>
              <w:t>Executive Vice Chairman</w:t>
            </w:r>
          </w:p>
        </w:tc>
        <w:tc>
          <w:tcPr>
            <w:tcW w:w="560" w:type="dxa"/>
            <w:vAlign w:val="bottom"/>
            <w:tcBorders>
              <w:top w:val="single" w:sz="8" w:color="BFA071"/>
            </w:tcBorders>
          </w:tcPr>
          <w:p>
            <w:pPr>
              <w:jc w:val="center"/>
              <w:spacing w:after="0"/>
              <w:rPr>
                <w:sz w:val="20"/>
                <w:szCs w:val="20"/>
                <w:color w:val="auto"/>
              </w:rPr>
            </w:pPr>
            <w:r>
              <w:rPr>
                <w:rFonts w:ascii="Arial" w:cs="Arial" w:eastAsia="Arial" w:hAnsi="Arial"/>
                <w:sz w:val="14"/>
                <w:szCs w:val="14"/>
                <w:color w:val="001641"/>
              </w:rPr>
              <w:t>93</w:t>
            </w:r>
          </w:p>
        </w:tc>
        <w:tc>
          <w:tcPr>
            <w:tcW w:w="820" w:type="dxa"/>
            <w:vAlign w:val="bottom"/>
            <w:tcBorders>
              <w:top w:val="single" w:sz="8" w:color="BFA071"/>
            </w:tcBorders>
            <w:gridSpan w:val="2"/>
            <w:shd w:val="clear" w:color="auto" w:fill="EBE1D2"/>
          </w:tcPr>
          <w:p>
            <w:pPr>
              <w:jc w:val="center"/>
              <w:spacing w:after="0"/>
              <w:rPr>
                <w:sz w:val="20"/>
                <w:szCs w:val="20"/>
                <w:color w:val="auto"/>
              </w:rPr>
            </w:pPr>
            <w:r>
              <w:rPr>
                <w:rFonts w:ascii="Arial" w:cs="Arial" w:eastAsia="Arial" w:hAnsi="Arial"/>
                <w:sz w:val="14"/>
                <w:szCs w:val="14"/>
                <w:color w:val="001641"/>
              </w:rPr>
              <w:t>1998</w:t>
            </w:r>
          </w:p>
        </w:tc>
        <w:tc>
          <w:tcPr>
            <w:tcW w:w="1140" w:type="dxa"/>
            <w:vAlign w:val="bottom"/>
            <w:tcBorders>
              <w:top w:val="single" w:sz="8" w:color="BFA071"/>
            </w:tcBorders>
          </w:tcPr>
          <w:p>
            <w:pPr>
              <w:spacing w:after="0"/>
              <w:rPr>
                <w:sz w:val="15"/>
                <w:szCs w:val="15"/>
                <w:color w:val="auto"/>
              </w:rPr>
            </w:pPr>
          </w:p>
        </w:tc>
        <w:tc>
          <w:tcPr>
            <w:tcW w:w="1260" w:type="dxa"/>
            <w:vAlign w:val="bottom"/>
            <w:tcBorders>
              <w:top w:val="single" w:sz="8" w:color="BFA071"/>
            </w:tcBorders>
            <w:gridSpan w:val="2"/>
            <w:shd w:val="clear" w:color="auto" w:fill="EBE1D2"/>
          </w:tcPr>
          <w:p>
            <w:pPr>
              <w:jc w:val="center"/>
              <w:spacing w:after="0"/>
              <w:rPr>
                <w:sz w:val="20"/>
                <w:szCs w:val="20"/>
                <w:color w:val="auto"/>
              </w:rPr>
            </w:pPr>
            <w:r>
              <w:rPr>
                <w:rFonts w:ascii="Arial" w:cs="Arial" w:eastAsia="Arial" w:hAnsi="Arial"/>
                <w:sz w:val="14"/>
                <w:szCs w:val="14"/>
                <w:color w:val="001641"/>
              </w:rPr>
              <w:t>0</w:t>
            </w:r>
          </w:p>
        </w:tc>
        <w:tc>
          <w:tcPr>
            <w:tcW w:w="120" w:type="dxa"/>
            <w:vAlign w:val="bottom"/>
            <w:tcBorders>
              <w:top w:val="single" w:sz="8" w:color="BFA071"/>
            </w:tcBorders>
          </w:tcPr>
          <w:p>
            <w:pPr>
              <w:spacing w:after="0"/>
              <w:rPr>
                <w:sz w:val="15"/>
                <w:szCs w:val="15"/>
                <w:color w:val="auto"/>
              </w:rPr>
            </w:pPr>
          </w:p>
        </w:tc>
        <w:tc>
          <w:tcPr>
            <w:tcW w:w="220" w:type="dxa"/>
            <w:vAlign w:val="bottom"/>
            <w:tcBorders>
              <w:top w:val="single" w:sz="8" w:color="BFA071"/>
            </w:tcBorders>
          </w:tcPr>
          <w:p>
            <w:pPr>
              <w:spacing w:after="0"/>
              <w:rPr>
                <w:sz w:val="15"/>
                <w:szCs w:val="15"/>
                <w:color w:val="auto"/>
              </w:rPr>
            </w:pPr>
          </w:p>
        </w:tc>
        <w:tc>
          <w:tcPr>
            <w:tcW w:w="520" w:type="dxa"/>
            <w:vAlign w:val="bottom"/>
            <w:tcBorders>
              <w:top w:val="single" w:sz="8" w:color="BFA071"/>
            </w:tcBorders>
          </w:tcPr>
          <w:p>
            <w:pPr>
              <w:spacing w:after="0"/>
              <w:rPr>
                <w:sz w:val="15"/>
                <w:szCs w:val="15"/>
                <w:color w:val="auto"/>
              </w:rPr>
            </w:pPr>
          </w:p>
        </w:tc>
        <w:tc>
          <w:tcPr>
            <w:tcW w:w="520" w:type="dxa"/>
            <w:vAlign w:val="bottom"/>
            <w:tcBorders>
              <w:top w:val="single" w:sz="8" w:color="BFA071"/>
            </w:tcBorders>
          </w:tcPr>
          <w:p>
            <w:pPr>
              <w:spacing w:after="0"/>
              <w:rPr>
                <w:sz w:val="15"/>
                <w:szCs w:val="15"/>
                <w:color w:val="auto"/>
              </w:rPr>
            </w:pPr>
          </w:p>
        </w:tc>
        <w:tc>
          <w:tcPr>
            <w:tcW w:w="440" w:type="dxa"/>
            <w:vAlign w:val="bottom"/>
            <w:tcBorders>
              <w:top w:val="single" w:sz="8" w:color="BFA071"/>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60" w:type="dxa"/>
            <w:vAlign w:val="bottom"/>
            <w:gridSpan w:val="2"/>
            <w:shd w:val="clear" w:color="auto" w:fill="EBE1D2"/>
          </w:tcPr>
          <w:p>
            <w:pPr>
              <w:ind w:left="140"/>
              <w:spacing w:after="0"/>
              <w:rPr>
                <w:sz w:val="20"/>
                <w:szCs w:val="20"/>
                <w:color w:val="auto"/>
              </w:rPr>
            </w:pPr>
            <w:r>
              <w:rPr>
                <w:rFonts w:ascii="Arial" w:cs="Arial" w:eastAsia="Arial" w:hAnsi="Arial"/>
                <w:sz w:val="14"/>
                <w:szCs w:val="14"/>
                <w:color w:val="001641"/>
              </w:rPr>
              <w:t>and Chairman of the</w:t>
            </w:r>
          </w:p>
        </w:tc>
        <w:tc>
          <w:tcPr>
            <w:tcW w:w="560" w:type="dxa"/>
            <w:vAlign w:val="bottom"/>
          </w:tcPr>
          <w:p>
            <w:pPr>
              <w:spacing w:after="0"/>
              <w:rPr>
                <w:sz w:val="15"/>
                <w:szCs w:val="15"/>
                <w:color w:val="auto"/>
              </w:rPr>
            </w:pPr>
          </w:p>
        </w:tc>
        <w:tc>
          <w:tcPr>
            <w:tcW w:w="140" w:type="dxa"/>
            <w:vAlign w:val="bottom"/>
            <w:shd w:val="clear" w:color="auto" w:fill="EBE1D2"/>
          </w:tcPr>
          <w:p>
            <w:pPr>
              <w:spacing w:after="0"/>
              <w:rPr>
                <w:sz w:val="15"/>
                <w:szCs w:val="15"/>
                <w:color w:val="auto"/>
              </w:rPr>
            </w:pPr>
          </w:p>
        </w:tc>
        <w:tc>
          <w:tcPr>
            <w:tcW w:w="680" w:type="dxa"/>
            <w:vAlign w:val="bottom"/>
            <w:shd w:val="clear" w:color="auto" w:fill="EBE1D2"/>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shd w:val="clear" w:color="auto" w:fill="EBE1D2"/>
          </w:tcPr>
          <w:p>
            <w:pPr>
              <w:spacing w:after="0"/>
              <w:rPr>
                <w:sz w:val="15"/>
                <w:szCs w:val="15"/>
                <w:color w:val="auto"/>
              </w:rPr>
            </w:pPr>
          </w:p>
        </w:tc>
        <w:tc>
          <w:tcPr>
            <w:tcW w:w="1120" w:type="dxa"/>
            <w:vAlign w:val="bottom"/>
            <w:shd w:val="clear" w:color="auto" w:fill="EBE1D2"/>
          </w:tcPr>
          <w:p>
            <w:pPr>
              <w:spacing w:after="0"/>
              <w:rPr>
                <w:sz w:val="15"/>
                <w:szCs w:val="15"/>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001641"/>
              </w:rPr>
              <w:t> </w:t>
            </w:r>
          </w:p>
        </w:tc>
        <w:tc>
          <w:tcPr>
            <w:tcW w:w="520" w:type="dxa"/>
            <w:vAlign w:val="bottom"/>
          </w:tcPr>
          <w:p>
            <w:pPr>
              <w:spacing w:after="0"/>
              <w:rPr>
                <w:sz w:val="15"/>
                <w:szCs w:val="15"/>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1641"/>
              </w:rPr>
              <w:t> </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960" w:type="dxa"/>
            <w:vAlign w:val="bottom"/>
            <w:gridSpan w:val="2"/>
            <w:shd w:val="clear" w:color="auto" w:fill="EBE1D2"/>
          </w:tcPr>
          <w:p>
            <w:pPr>
              <w:ind w:left="140"/>
              <w:spacing w:after="0" w:line="150" w:lineRule="exact"/>
              <w:rPr>
                <w:sz w:val="20"/>
                <w:szCs w:val="20"/>
                <w:color w:val="auto"/>
              </w:rPr>
            </w:pPr>
            <w:r>
              <w:rPr>
                <w:rFonts w:ascii="Arial" w:cs="Arial" w:eastAsia="Arial" w:hAnsi="Arial"/>
                <w:sz w:val="14"/>
                <w:szCs w:val="14"/>
                <w:color w:val="001641"/>
              </w:rPr>
              <w:t>Executive Committee</w:t>
            </w:r>
          </w:p>
        </w:tc>
        <w:tc>
          <w:tcPr>
            <w:tcW w:w="560" w:type="dxa"/>
            <w:vAlign w:val="bottom"/>
          </w:tcPr>
          <w:p>
            <w:pPr>
              <w:spacing w:after="0"/>
              <w:rPr>
                <w:sz w:val="13"/>
                <w:szCs w:val="13"/>
                <w:color w:val="auto"/>
              </w:rPr>
            </w:pPr>
          </w:p>
        </w:tc>
        <w:tc>
          <w:tcPr>
            <w:tcW w:w="140" w:type="dxa"/>
            <w:vAlign w:val="bottom"/>
            <w:shd w:val="clear" w:color="auto" w:fill="EBE1D2"/>
          </w:tcPr>
          <w:p>
            <w:pPr>
              <w:spacing w:after="0"/>
              <w:rPr>
                <w:sz w:val="13"/>
                <w:szCs w:val="13"/>
                <w:color w:val="auto"/>
              </w:rPr>
            </w:pPr>
          </w:p>
        </w:tc>
        <w:tc>
          <w:tcPr>
            <w:tcW w:w="680" w:type="dxa"/>
            <w:vAlign w:val="bottom"/>
            <w:shd w:val="clear" w:color="auto" w:fill="EBE1D2"/>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shd w:val="clear" w:color="auto" w:fill="EBE1D2"/>
          </w:tcPr>
          <w:p>
            <w:pPr>
              <w:spacing w:after="0"/>
              <w:rPr>
                <w:sz w:val="13"/>
                <w:szCs w:val="13"/>
                <w:color w:val="auto"/>
              </w:rPr>
            </w:pPr>
          </w:p>
        </w:tc>
        <w:tc>
          <w:tcPr>
            <w:tcW w:w="1120" w:type="dxa"/>
            <w:vAlign w:val="bottom"/>
            <w:shd w:val="clear" w:color="auto" w:fill="EBE1D2"/>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tcBorders>
              <w:bottom w:val="single" w:sz="8" w:color="EBE1D2"/>
            </w:tcBorders>
            <w:gridSpan w:val="2"/>
            <w:shd w:val="clear" w:color="auto" w:fill="EBE1D2"/>
          </w:tcPr>
          <w:p>
            <w:pPr>
              <w:ind w:left="140"/>
              <w:spacing w:after="0"/>
              <w:rPr>
                <w:sz w:val="20"/>
                <w:szCs w:val="20"/>
                <w:color w:val="auto"/>
              </w:rPr>
            </w:pPr>
            <w:r>
              <w:rPr>
                <w:rFonts w:ascii="Arial" w:cs="Arial" w:eastAsia="Arial" w:hAnsi="Arial"/>
                <w:sz w:val="14"/>
                <w:szCs w:val="14"/>
                <w:i w:val="1"/>
                <w:iCs w:val="1"/>
                <w:color w:val="001641"/>
              </w:rPr>
              <w:t>The Hearst Corporation</w:t>
            </w:r>
          </w:p>
        </w:tc>
        <w:tc>
          <w:tcPr>
            <w:tcW w:w="560" w:type="dxa"/>
            <w:vAlign w:val="bottom"/>
          </w:tcPr>
          <w:p>
            <w:pPr>
              <w:spacing w:after="0"/>
              <w:rPr>
                <w:sz w:val="18"/>
                <w:szCs w:val="18"/>
                <w:color w:val="auto"/>
              </w:rPr>
            </w:pPr>
          </w:p>
        </w:tc>
        <w:tc>
          <w:tcPr>
            <w:tcW w:w="140" w:type="dxa"/>
            <w:vAlign w:val="bottom"/>
            <w:tcBorders>
              <w:bottom w:val="single" w:sz="8" w:color="EBE1D2"/>
            </w:tcBorders>
            <w:shd w:val="clear" w:color="auto" w:fill="EBE1D2"/>
          </w:tcPr>
          <w:p>
            <w:pPr>
              <w:spacing w:after="0"/>
              <w:rPr>
                <w:sz w:val="18"/>
                <w:szCs w:val="18"/>
                <w:color w:val="auto"/>
              </w:rPr>
            </w:pPr>
          </w:p>
        </w:tc>
        <w:tc>
          <w:tcPr>
            <w:tcW w:w="680" w:type="dxa"/>
            <w:vAlign w:val="bottom"/>
            <w:tcBorders>
              <w:bottom w:val="single" w:sz="8" w:color="EBE1D2"/>
            </w:tcBorders>
            <w:shd w:val="clear" w:color="auto" w:fill="EBE1D2"/>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bottom w:val="single" w:sz="8" w:color="EBE1D2"/>
            </w:tcBorders>
            <w:shd w:val="clear" w:color="auto" w:fill="EBE1D2"/>
          </w:tcPr>
          <w:p>
            <w:pPr>
              <w:spacing w:after="0"/>
              <w:rPr>
                <w:sz w:val="18"/>
                <w:szCs w:val="18"/>
                <w:color w:val="auto"/>
              </w:rPr>
            </w:pPr>
          </w:p>
        </w:tc>
        <w:tc>
          <w:tcPr>
            <w:tcW w:w="1120" w:type="dxa"/>
            <w:vAlign w:val="bottom"/>
            <w:tcBorders>
              <w:bottom w:val="single" w:sz="8" w:color="EBE1D2"/>
            </w:tcBorders>
            <w:shd w:val="clear" w:color="auto" w:fill="EBE1D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 w:type="dxa"/>
            <w:vAlign w:val="bottom"/>
            <w:tcBorders>
              <w:top w:val="single" w:sz="8" w:color="BFA071"/>
            </w:tcBorders>
          </w:tcPr>
          <w:p>
            <w:pPr>
              <w:spacing w:after="0"/>
              <w:rPr>
                <w:sz w:val="15"/>
                <w:szCs w:val="15"/>
                <w:color w:val="auto"/>
              </w:rPr>
            </w:pPr>
          </w:p>
        </w:tc>
        <w:tc>
          <w:tcPr>
            <w:tcW w:w="1540" w:type="dxa"/>
            <w:vAlign w:val="bottom"/>
            <w:tcBorders>
              <w:top w:val="single" w:sz="8" w:color="BFA071"/>
            </w:tcBorders>
          </w:tcPr>
          <w:p>
            <w:pPr>
              <w:ind w:left="40"/>
              <w:spacing w:after="0"/>
              <w:rPr>
                <w:sz w:val="20"/>
                <w:szCs w:val="20"/>
                <w:color w:val="auto"/>
              </w:rPr>
            </w:pPr>
            <w:r>
              <w:rPr>
                <w:rFonts w:ascii="Arial" w:cs="Arial" w:eastAsia="Arial" w:hAnsi="Arial"/>
                <w:sz w:val="14"/>
                <w:szCs w:val="14"/>
                <w:color w:val="001641"/>
              </w:rPr>
              <w:t>Cesar Conde</w:t>
            </w:r>
          </w:p>
        </w:tc>
        <w:tc>
          <w:tcPr>
            <w:tcW w:w="1960" w:type="dxa"/>
            <w:vAlign w:val="bottom"/>
            <w:tcBorders>
              <w:top w:val="single" w:sz="8" w:color="BFA071"/>
            </w:tcBorders>
            <w:gridSpan w:val="2"/>
            <w:shd w:val="clear" w:color="auto" w:fill="EBE1D2"/>
          </w:tcPr>
          <w:p>
            <w:pPr>
              <w:ind w:left="140"/>
              <w:spacing w:after="0"/>
              <w:rPr>
                <w:sz w:val="20"/>
                <w:szCs w:val="20"/>
                <w:color w:val="auto"/>
              </w:rPr>
            </w:pPr>
            <w:r>
              <w:rPr>
                <w:rFonts w:ascii="Arial" w:cs="Arial" w:eastAsia="Arial" w:hAnsi="Arial"/>
                <w:sz w:val="14"/>
                <w:szCs w:val="14"/>
                <w:color w:val="001641"/>
              </w:rPr>
              <w:t>Chairperson</w:t>
            </w:r>
          </w:p>
        </w:tc>
        <w:tc>
          <w:tcPr>
            <w:tcW w:w="560" w:type="dxa"/>
            <w:vAlign w:val="bottom"/>
            <w:tcBorders>
              <w:top w:val="single" w:sz="8" w:color="BFA071"/>
            </w:tcBorders>
          </w:tcPr>
          <w:p>
            <w:pPr>
              <w:jc w:val="center"/>
              <w:spacing w:after="0"/>
              <w:rPr>
                <w:sz w:val="20"/>
                <w:szCs w:val="20"/>
                <w:color w:val="auto"/>
              </w:rPr>
            </w:pPr>
            <w:r>
              <w:rPr>
                <w:rFonts w:ascii="Arial" w:cs="Arial" w:eastAsia="Arial" w:hAnsi="Arial"/>
                <w:sz w:val="14"/>
                <w:szCs w:val="14"/>
                <w:color w:val="001641"/>
              </w:rPr>
              <w:t>52</w:t>
            </w:r>
          </w:p>
        </w:tc>
        <w:tc>
          <w:tcPr>
            <w:tcW w:w="820" w:type="dxa"/>
            <w:vAlign w:val="bottom"/>
            <w:tcBorders>
              <w:top w:val="single" w:sz="8" w:color="BFA071"/>
            </w:tcBorders>
            <w:gridSpan w:val="2"/>
            <w:shd w:val="clear" w:color="auto" w:fill="EBE1D2"/>
          </w:tcPr>
          <w:p>
            <w:pPr>
              <w:jc w:val="center"/>
              <w:spacing w:after="0"/>
              <w:rPr>
                <w:sz w:val="20"/>
                <w:szCs w:val="20"/>
                <w:color w:val="auto"/>
              </w:rPr>
            </w:pPr>
            <w:r>
              <w:rPr>
                <w:rFonts w:ascii="Arial" w:cs="Arial" w:eastAsia="Arial" w:hAnsi="Arial"/>
                <w:sz w:val="14"/>
                <w:szCs w:val="14"/>
                <w:color w:val="001641"/>
              </w:rPr>
              <w:t>2026</w:t>
            </w:r>
          </w:p>
        </w:tc>
        <w:tc>
          <w:tcPr>
            <w:tcW w:w="1140" w:type="dxa"/>
            <w:vAlign w:val="bottom"/>
            <w:tcBorders>
              <w:top w:val="single" w:sz="8" w:color="BFA071"/>
            </w:tcBorders>
          </w:tcPr>
          <w:p>
            <w:pPr>
              <w:spacing w:after="0"/>
              <w:rPr>
                <w:sz w:val="15"/>
                <w:szCs w:val="15"/>
                <w:color w:val="auto"/>
              </w:rPr>
            </w:pPr>
          </w:p>
        </w:tc>
        <w:tc>
          <w:tcPr>
            <w:tcW w:w="1260" w:type="dxa"/>
            <w:vAlign w:val="bottom"/>
            <w:tcBorders>
              <w:top w:val="single" w:sz="8" w:color="BFA071"/>
            </w:tcBorders>
            <w:gridSpan w:val="2"/>
            <w:shd w:val="clear" w:color="auto" w:fill="EBE1D2"/>
          </w:tcPr>
          <w:p>
            <w:pPr>
              <w:jc w:val="center"/>
              <w:spacing w:after="0"/>
              <w:rPr>
                <w:sz w:val="20"/>
                <w:szCs w:val="20"/>
                <w:color w:val="auto"/>
              </w:rPr>
            </w:pPr>
            <w:r>
              <w:rPr>
                <w:rFonts w:ascii="Arial" w:cs="Arial" w:eastAsia="Arial" w:hAnsi="Arial"/>
                <w:sz w:val="14"/>
                <w:szCs w:val="14"/>
                <w:color w:val="001641"/>
              </w:rPr>
              <w:t>2</w:t>
            </w:r>
          </w:p>
        </w:tc>
        <w:tc>
          <w:tcPr>
            <w:tcW w:w="120" w:type="dxa"/>
            <w:vAlign w:val="bottom"/>
            <w:tcBorders>
              <w:top w:val="single" w:sz="8" w:color="BFA071"/>
            </w:tcBorders>
          </w:tcPr>
          <w:p>
            <w:pPr>
              <w:spacing w:after="0"/>
              <w:rPr>
                <w:sz w:val="15"/>
                <w:szCs w:val="15"/>
                <w:color w:val="auto"/>
              </w:rPr>
            </w:pPr>
          </w:p>
        </w:tc>
        <w:tc>
          <w:tcPr>
            <w:tcW w:w="220" w:type="dxa"/>
            <w:vAlign w:val="bottom"/>
            <w:tcBorders>
              <w:top w:val="single" w:sz="8" w:color="BFA071"/>
            </w:tcBorders>
          </w:tcPr>
          <w:p>
            <w:pPr>
              <w:spacing w:after="0"/>
              <w:rPr>
                <w:sz w:val="15"/>
                <w:szCs w:val="15"/>
                <w:color w:val="auto"/>
              </w:rPr>
            </w:pPr>
          </w:p>
        </w:tc>
        <w:tc>
          <w:tcPr>
            <w:tcW w:w="520" w:type="dxa"/>
            <w:vAlign w:val="bottom"/>
            <w:tcBorders>
              <w:top w:val="single" w:sz="8" w:color="BFA071"/>
            </w:tcBorders>
          </w:tcPr>
          <w:p>
            <w:pPr>
              <w:spacing w:after="0"/>
              <w:rPr>
                <w:sz w:val="15"/>
                <w:szCs w:val="15"/>
                <w:color w:val="auto"/>
              </w:rPr>
            </w:pPr>
          </w:p>
        </w:tc>
        <w:tc>
          <w:tcPr>
            <w:tcW w:w="520" w:type="dxa"/>
            <w:vAlign w:val="bottom"/>
            <w:tcBorders>
              <w:top w:val="single" w:sz="8" w:color="BFA071"/>
            </w:tcBorders>
          </w:tcPr>
          <w:p>
            <w:pPr>
              <w:spacing w:after="0"/>
              <w:rPr>
                <w:sz w:val="15"/>
                <w:szCs w:val="15"/>
                <w:color w:val="auto"/>
              </w:rPr>
            </w:pPr>
          </w:p>
        </w:tc>
        <w:tc>
          <w:tcPr>
            <w:tcW w:w="440" w:type="dxa"/>
            <w:vAlign w:val="bottom"/>
            <w:tcBorders>
              <w:top w:val="single" w:sz="8" w:color="BFA071"/>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60" w:type="dxa"/>
            <w:vAlign w:val="bottom"/>
            <w:gridSpan w:val="2"/>
            <w:shd w:val="clear" w:color="auto" w:fill="EBE1D2"/>
          </w:tcPr>
          <w:p>
            <w:pPr>
              <w:ind w:left="140"/>
              <w:spacing w:after="0"/>
              <w:rPr>
                <w:sz w:val="20"/>
                <w:szCs w:val="20"/>
                <w:color w:val="auto"/>
              </w:rPr>
            </w:pPr>
            <w:r>
              <w:rPr>
                <w:rFonts w:ascii="Arial" w:cs="Arial" w:eastAsia="Arial" w:hAnsi="Arial"/>
                <w:sz w:val="14"/>
                <w:szCs w:val="14"/>
                <w:i w:val="1"/>
                <w:iCs w:val="1"/>
                <w:color w:val="001641"/>
              </w:rPr>
              <w:t>NBCUniversal News</w:t>
            </w:r>
          </w:p>
        </w:tc>
        <w:tc>
          <w:tcPr>
            <w:tcW w:w="560" w:type="dxa"/>
            <w:vAlign w:val="bottom"/>
          </w:tcPr>
          <w:p>
            <w:pPr>
              <w:spacing w:after="0"/>
              <w:rPr>
                <w:sz w:val="14"/>
                <w:szCs w:val="14"/>
                <w:color w:val="auto"/>
              </w:rPr>
            </w:pPr>
          </w:p>
        </w:tc>
        <w:tc>
          <w:tcPr>
            <w:tcW w:w="140" w:type="dxa"/>
            <w:vAlign w:val="bottom"/>
            <w:shd w:val="clear" w:color="auto" w:fill="EBE1D2"/>
          </w:tcPr>
          <w:p>
            <w:pPr>
              <w:spacing w:after="0"/>
              <w:rPr>
                <w:sz w:val="14"/>
                <w:szCs w:val="14"/>
                <w:color w:val="auto"/>
              </w:rPr>
            </w:pPr>
          </w:p>
        </w:tc>
        <w:tc>
          <w:tcPr>
            <w:tcW w:w="680" w:type="dxa"/>
            <w:vAlign w:val="bottom"/>
            <w:shd w:val="clear" w:color="auto" w:fill="EBE1D2"/>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shd w:val="clear" w:color="auto" w:fill="EBE1D2"/>
          </w:tcPr>
          <w:p>
            <w:pPr>
              <w:spacing w:after="0"/>
              <w:rPr>
                <w:sz w:val="14"/>
                <w:szCs w:val="14"/>
                <w:color w:val="auto"/>
              </w:rPr>
            </w:pPr>
          </w:p>
        </w:tc>
        <w:tc>
          <w:tcPr>
            <w:tcW w:w="1120" w:type="dxa"/>
            <w:vAlign w:val="bottom"/>
            <w:shd w:val="clear" w:color="auto" w:fill="EBE1D2"/>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tcBorders>
              <w:bottom w:val="single" w:sz="8" w:color="EBE1D2"/>
            </w:tcBorders>
            <w:gridSpan w:val="2"/>
            <w:shd w:val="clear" w:color="auto" w:fill="EBE1D2"/>
          </w:tcPr>
          <w:p>
            <w:pPr>
              <w:ind w:left="140"/>
              <w:spacing w:after="0"/>
              <w:rPr>
                <w:sz w:val="20"/>
                <w:szCs w:val="20"/>
                <w:color w:val="auto"/>
              </w:rPr>
            </w:pPr>
            <w:r>
              <w:rPr>
                <w:rFonts w:ascii="Arial" w:cs="Arial" w:eastAsia="Arial" w:hAnsi="Arial"/>
                <w:sz w:val="14"/>
                <w:szCs w:val="14"/>
                <w:i w:val="1"/>
                <w:iCs w:val="1"/>
                <w:color w:val="001641"/>
              </w:rPr>
              <w:t>Group</w:t>
            </w:r>
          </w:p>
        </w:tc>
        <w:tc>
          <w:tcPr>
            <w:tcW w:w="560" w:type="dxa"/>
            <w:vAlign w:val="bottom"/>
          </w:tcPr>
          <w:p>
            <w:pPr>
              <w:spacing w:after="0"/>
              <w:rPr>
                <w:sz w:val="18"/>
                <w:szCs w:val="18"/>
                <w:color w:val="auto"/>
              </w:rPr>
            </w:pPr>
          </w:p>
        </w:tc>
        <w:tc>
          <w:tcPr>
            <w:tcW w:w="140" w:type="dxa"/>
            <w:vAlign w:val="bottom"/>
            <w:tcBorders>
              <w:bottom w:val="single" w:sz="8" w:color="EBE1D2"/>
            </w:tcBorders>
            <w:shd w:val="clear" w:color="auto" w:fill="EBE1D2"/>
          </w:tcPr>
          <w:p>
            <w:pPr>
              <w:spacing w:after="0"/>
              <w:rPr>
                <w:sz w:val="18"/>
                <w:szCs w:val="18"/>
                <w:color w:val="auto"/>
              </w:rPr>
            </w:pPr>
          </w:p>
        </w:tc>
        <w:tc>
          <w:tcPr>
            <w:tcW w:w="680" w:type="dxa"/>
            <w:vAlign w:val="bottom"/>
            <w:tcBorders>
              <w:bottom w:val="single" w:sz="8" w:color="EBE1D2"/>
            </w:tcBorders>
            <w:shd w:val="clear" w:color="auto" w:fill="EBE1D2"/>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bottom w:val="single" w:sz="8" w:color="EBE1D2"/>
            </w:tcBorders>
            <w:shd w:val="clear" w:color="auto" w:fill="EBE1D2"/>
          </w:tcPr>
          <w:p>
            <w:pPr>
              <w:spacing w:after="0"/>
              <w:rPr>
                <w:sz w:val="18"/>
                <w:szCs w:val="18"/>
                <w:color w:val="auto"/>
              </w:rPr>
            </w:pPr>
          </w:p>
        </w:tc>
        <w:tc>
          <w:tcPr>
            <w:tcW w:w="1120" w:type="dxa"/>
            <w:vAlign w:val="bottom"/>
            <w:tcBorders>
              <w:bottom w:val="single" w:sz="8" w:color="EBE1D2"/>
            </w:tcBorders>
            <w:shd w:val="clear" w:color="auto" w:fill="EBE1D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0" w:type="dxa"/>
            <w:vAlign w:val="bottom"/>
            <w:tcBorders>
              <w:top w:val="single" w:sz="8" w:color="BFA071"/>
            </w:tcBorders>
          </w:tcPr>
          <w:p>
            <w:pPr>
              <w:spacing w:after="0"/>
              <w:rPr>
                <w:sz w:val="15"/>
                <w:szCs w:val="15"/>
                <w:color w:val="auto"/>
              </w:rPr>
            </w:pPr>
          </w:p>
        </w:tc>
        <w:tc>
          <w:tcPr>
            <w:tcW w:w="1540" w:type="dxa"/>
            <w:vAlign w:val="bottom"/>
            <w:tcBorders>
              <w:top w:val="single" w:sz="8" w:color="BFA071"/>
            </w:tcBorders>
          </w:tcPr>
          <w:p>
            <w:pPr>
              <w:ind w:left="40"/>
              <w:spacing w:after="0"/>
              <w:rPr>
                <w:sz w:val="20"/>
                <w:szCs w:val="20"/>
                <w:color w:val="auto"/>
              </w:rPr>
            </w:pPr>
            <w:r>
              <w:rPr>
                <w:rFonts w:ascii="Arial" w:cs="Arial" w:eastAsia="Arial" w:hAnsi="Arial"/>
                <w:sz w:val="14"/>
                <w:szCs w:val="14"/>
                <w:color w:val="001641"/>
              </w:rPr>
              <w:t>Debra Cupp</w:t>
            </w:r>
          </w:p>
        </w:tc>
        <w:tc>
          <w:tcPr>
            <w:tcW w:w="460" w:type="dxa"/>
            <w:vAlign w:val="bottom"/>
            <w:tcBorders>
              <w:top w:val="single" w:sz="8" w:color="BFA071"/>
            </w:tcBorders>
            <w:shd w:val="clear" w:color="auto" w:fill="EBE1D2"/>
          </w:tcPr>
          <w:p>
            <w:pPr>
              <w:ind w:left="140"/>
              <w:spacing w:after="0"/>
              <w:rPr>
                <w:sz w:val="20"/>
                <w:szCs w:val="20"/>
                <w:color w:val="auto"/>
              </w:rPr>
            </w:pPr>
            <w:r>
              <w:rPr>
                <w:rFonts w:ascii="Arial" w:cs="Arial" w:eastAsia="Arial" w:hAnsi="Arial"/>
                <w:sz w:val="14"/>
                <w:szCs w:val="14"/>
                <w:color w:val="001641"/>
              </w:rPr>
              <w:t>EVP​</w:t>
            </w:r>
          </w:p>
        </w:tc>
        <w:tc>
          <w:tcPr>
            <w:tcW w:w="1500" w:type="dxa"/>
            <w:vAlign w:val="bottom"/>
            <w:tcBorders>
              <w:top w:val="single" w:sz="8" w:color="BFA071"/>
            </w:tcBorders>
            <w:shd w:val="clear" w:color="auto" w:fill="EBE1D2"/>
          </w:tcPr>
          <w:p>
            <w:pPr>
              <w:ind w:left="20"/>
              <w:spacing w:after="0"/>
              <w:rPr>
                <w:sz w:val="20"/>
                <w:szCs w:val="20"/>
                <w:color w:val="auto"/>
              </w:rPr>
            </w:pPr>
            <w:r>
              <w:rPr>
                <w:rFonts w:ascii="Arial" w:cs="Arial" w:eastAsia="Arial" w:hAnsi="Arial"/>
                <w:sz w:val="14"/>
                <w:szCs w:val="14"/>
                <w:color w:val="001641"/>
              </w:rPr>
              <w:t>&amp; Chief Revenue</w:t>
            </w:r>
          </w:p>
        </w:tc>
        <w:tc>
          <w:tcPr>
            <w:tcW w:w="560" w:type="dxa"/>
            <w:vAlign w:val="bottom"/>
            <w:tcBorders>
              <w:top w:val="single" w:sz="8" w:color="BFA071"/>
            </w:tcBorders>
          </w:tcPr>
          <w:p>
            <w:pPr>
              <w:jc w:val="center"/>
              <w:spacing w:after="0"/>
              <w:rPr>
                <w:sz w:val="20"/>
                <w:szCs w:val="20"/>
                <w:color w:val="auto"/>
              </w:rPr>
            </w:pPr>
            <w:r>
              <w:rPr>
                <w:rFonts w:ascii="Arial" w:cs="Arial" w:eastAsia="Arial" w:hAnsi="Arial"/>
                <w:sz w:val="14"/>
                <w:szCs w:val="14"/>
                <w:color w:val="001641"/>
              </w:rPr>
              <w:t>55</w:t>
            </w:r>
          </w:p>
        </w:tc>
        <w:tc>
          <w:tcPr>
            <w:tcW w:w="820" w:type="dxa"/>
            <w:vAlign w:val="bottom"/>
            <w:tcBorders>
              <w:top w:val="single" w:sz="8" w:color="BFA071"/>
            </w:tcBorders>
            <w:gridSpan w:val="2"/>
            <w:shd w:val="clear" w:color="auto" w:fill="EBE1D2"/>
          </w:tcPr>
          <w:p>
            <w:pPr>
              <w:jc w:val="center"/>
              <w:spacing w:after="0"/>
              <w:rPr>
                <w:sz w:val="20"/>
                <w:szCs w:val="20"/>
                <w:color w:val="auto"/>
              </w:rPr>
            </w:pPr>
            <w:r>
              <w:rPr>
                <w:rFonts w:ascii="Arial" w:cs="Arial" w:eastAsia="Arial" w:hAnsi="Arial"/>
                <w:sz w:val="14"/>
                <w:szCs w:val="14"/>
                <w:color w:val="001641"/>
              </w:rPr>
              <w:t>2022</w:t>
            </w:r>
          </w:p>
        </w:tc>
        <w:tc>
          <w:tcPr>
            <w:tcW w:w="1140" w:type="dxa"/>
            <w:vAlign w:val="bottom"/>
            <w:tcBorders>
              <w:top w:val="single" w:sz="8" w:color="BFA071"/>
            </w:tcBorders>
          </w:tcPr>
          <w:p>
            <w:pPr>
              <w:spacing w:after="0"/>
              <w:rPr>
                <w:sz w:val="15"/>
                <w:szCs w:val="15"/>
                <w:color w:val="auto"/>
              </w:rPr>
            </w:pPr>
          </w:p>
        </w:tc>
        <w:tc>
          <w:tcPr>
            <w:tcW w:w="1260" w:type="dxa"/>
            <w:vAlign w:val="bottom"/>
            <w:tcBorders>
              <w:top w:val="single" w:sz="8" w:color="BFA071"/>
            </w:tcBorders>
            <w:gridSpan w:val="2"/>
            <w:shd w:val="clear" w:color="auto" w:fill="EBE1D2"/>
          </w:tcPr>
          <w:p>
            <w:pPr>
              <w:jc w:val="center"/>
              <w:spacing w:after="0"/>
              <w:rPr>
                <w:sz w:val="20"/>
                <w:szCs w:val="20"/>
                <w:color w:val="auto"/>
              </w:rPr>
            </w:pPr>
            <w:r>
              <w:rPr>
                <w:rFonts w:ascii="Arial" w:cs="Arial" w:eastAsia="Arial" w:hAnsi="Arial"/>
                <w:sz w:val="14"/>
                <w:szCs w:val="14"/>
                <w:color w:val="001641"/>
              </w:rPr>
              <w:t>0</w:t>
            </w:r>
          </w:p>
        </w:tc>
        <w:tc>
          <w:tcPr>
            <w:tcW w:w="120" w:type="dxa"/>
            <w:vAlign w:val="bottom"/>
            <w:tcBorders>
              <w:top w:val="single" w:sz="8" w:color="BFA071"/>
            </w:tcBorders>
          </w:tcPr>
          <w:p>
            <w:pPr>
              <w:spacing w:after="0"/>
              <w:rPr>
                <w:sz w:val="15"/>
                <w:szCs w:val="15"/>
                <w:color w:val="auto"/>
              </w:rPr>
            </w:pPr>
          </w:p>
        </w:tc>
        <w:tc>
          <w:tcPr>
            <w:tcW w:w="220" w:type="dxa"/>
            <w:vAlign w:val="bottom"/>
            <w:tcBorders>
              <w:top w:val="single" w:sz="8" w:color="BFA071"/>
            </w:tcBorders>
          </w:tcPr>
          <w:p>
            <w:pPr>
              <w:spacing w:after="0"/>
              <w:rPr>
                <w:sz w:val="15"/>
                <w:szCs w:val="15"/>
                <w:color w:val="auto"/>
              </w:rPr>
            </w:pPr>
          </w:p>
        </w:tc>
        <w:tc>
          <w:tcPr>
            <w:tcW w:w="520" w:type="dxa"/>
            <w:vAlign w:val="bottom"/>
            <w:tcBorders>
              <w:top w:val="single" w:sz="8" w:color="BFA071"/>
            </w:tcBorders>
          </w:tcPr>
          <w:p>
            <w:pPr>
              <w:spacing w:after="0"/>
              <w:rPr>
                <w:sz w:val="15"/>
                <w:szCs w:val="15"/>
                <w:color w:val="auto"/>
              </w:rPr>
            </w:pPr>
          </w:p>
        </w:tc>
        <w:tc>
          <w:tcPr>
            <w:tcW w:w="520" w:type="dxa"/>
            <w:vAlign w:val="bottom"/>
            <w:tcBorders>
              <w:top w:val="single" w:sz="8" w:color="BFA071"/>
            </w:tcBorders>
          </w:tcPr>
          <w:p>
            <w:pPr>
              <w:spacing w:after="0"/>
              <w:rPr>
                <w:sz w:val="15"/>
                <w:szCs w:val="15"/>
                <w:color w:val="auto"/>
              </w:rPr>
            </w:pPr>
          </w:p>
        </w:tc>
        <w:tc>
          <w:tcPr>
            <w:tcW w:w="440" w:type="dxa"/>
            <w:vAlign w:val="bottom"/>
            <w:tcBorders>
              <w:top w:val="single" w:sz="8" w:color="BFA071"/>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60" w:type="dxa"/>
            <w:vAlign w:val="bottom"/>
            <w:gridSpan w:val="2"/>
            <w:shd w:val="clear" w:color="auto" w:fill="EBE1D2"/>
          </w:tcPr>
          <w:p>
            <w:pPr>
              <w:ind w:left="140"/>
              <w:spacing w:after="0"/>
              <w:rPr>
                <w:sz w:val="20"/>
                <w:szCs w:val="20"/>
                <w:color w:val="auto"/>
              </w:rPr>
            </w:pPr>
            <w:r>
              <w:rPr>
                <w:rFonts w:ascii="Arial" w:cs="Arial" w:eastAsia="Arial" w:hAnsi="Arial"/>
                <w:sz w:val="14"/>
                <w:szCs w:val="14"/>
                <w:color w:val="001641"/>
              </w:rPr>
              <w:t>Officer, Global Enterprise</w:t>
            </w:r>
          </w:p>
        </w:tc>
        <w:tc>
          <w:tcPr>
            <w:tcW w:w="560" w:type="dxa"/>
            <w:vAlign w:val="bottom"/>
          </w:tcPr>
          <w:p>
            <w:pPr>
              <w:spacing w:after="0"/>
              <w:rPr>
                <w:sz w:val="15"/>
                <w:szCs w:val="15"/>
                <w:color w:val="auto"/>
              </w:rPr>
            </w:pPr>
          </w:p>
        </w:tc>
        <w:tc>
          <w:tcPr>
            <w:tcW w:w="140" w:type="dxa"/>
            <w:vAlign w:val="bottom"/>
            <w:shd w:val="clear" w:color="auto" w:fill="EBE1D2"/>
          </w:tcPr>
          <w:p>
            <w:pPr>
              <w:spacing w:after="0"/>
              <w:rPr>
                <w:sz w:val="15"/>
                <w:szCs w:val="15"/>
                <w:color w:val="auto"/>
              </w:rPr>
            </w:pPr>
          </w:p>
        </w:tc>
        <w:tc>
          <w:tcPr>
            <w:tcW w:w="680" w:type="dxa"/>
            <w:vAlign w:val="bottom"/>
            <w:shd w:val="clear" w:color="auto" w:fill="EBE1D2"/>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shd w:val="clear" w:color="auto" w:fill="EBE1D2"/>
          </w:tcPr>
          <w:p>
            <w:pPr>
              <w:spacing w:after="0"/>
              <w:rPr>
                <w:sz w:val="15"/>
                <w:szCs w:val="15"/>
                <w:color w:val="auto"/>
              </w:rPr>
            </w:pPr>
          </w:p>
        </w:tc>
        <w:tc>
          <w:tcPr>
            <w:tcW w:w="1120" w:type="dxa"/>
            <w:vAlign w:val="bottom"/>
            <w:shd w:val="clear" w:color="auto" w:fill="EBE1D2"/>
          </w:tcPr>
          <w:p>
            <w:pPr>
              <w:spacing w:after="0"/>
              <w:rPr>
                <w:sz w:val="15"/>
                <w:szCs w:val="15"/>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001641"/>
              </w:rPr>
              <w:t> </w:t>
            </w: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ind w:left="80"/>
              <w:spacing w:after="0"/>
              <w:rPr>
                <w:sz w:val="20"/>
                <w:szCs w:val="20"/>
                <w:color w:val="auto"/>
              </w:rPr>
            </w:pPr>
            <w:r>
              <w:rPr>
                <w:rFonts w:ascii="Arial" w:cs="Arial" w:eastAsia="Arial" w:hAnsi="Arial"/>
                <w:sz w:val="14"/>
                <w:szCs w:val="14"/>
                <w:color w:val="001641"/>
              </w:rPr>
              <w:t> </w:t>
            </w: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960" w:type="dxa"/>
            <w:vAlign w:val="bottom"/>
            <w:gridSpan w:val="2"/>
            <w:shd w:val="clear" w:color="auto" w:fill="EBE1D2"/>
          </w:tcPr>
          <w:p>
            <w:pPr>
              <w:ind w:left="140"/>
              <w:spacing w:after="0" w:line="150" w:lineRule="exact"/>
              <w:rPr>
                <w:sz w:val="20"/>
                <w:szCs w:val="20"/>
                <w:color w:val="auto"/>
              </w:rPr>
            </w:pPr>
            <w:r>
              <w:rPr>
                <w:rFonts w:ascii="Arial" w:cs="Arial" w:eastAsia="Arial" w:hAnsi="Arial"/>
                <w:sz w:val="14"/>
                <w:szCs w:val="14"/>
                <w:color w:val="001641"/>
              </w:rPr>
              <w:t xml:space="preserve">Sales </w:t>
            </w:r>
            <w:r>
              <w:rPr>
                <w:rFonts w:ascii="Arial" w:cs="Arial" w:eastAsia="Arial" w:hAnsi="Arial"/>
                <w:sz w:val="14"/>
                <w:szCs w:val="14"/>
                <w:i w:val="1"/>
                <w:iCs w:val="1"/>
                <w:color w:val="001641"/>
              </w:rPr>
              <w:t>Microsoft</w:t>
            </w:r>
          </w:p>
        </w:tc>
        <w:tc>
          <w:tcPr>
            <w:tcW w:w="560" w:type="dxa"/>
            <w:vAlign w:val="bottom"/>
          </w:tcPr>
          <w:p>
            <w:pPr>
              <w:spacing w:after="0"/>
              <w:rPr>
                <w:sz w:val="13"/>
                <w:szCs w:val="13"/>
                <w:color w:val="auto"/>
              </w:rPr>
            </w:pPr>
          </w:p>
        </w:tc>
        <w:tc>
          <w:tcPr>
            <w:tcW w:w="140" w:type="dxa"/>
            <w:vAlign w:val="bottom"/>
            <w:shd w:val="clear" w:color="auto" w:fill="EBE1D2"/>
          </w:tcPr>
          <w:p>
            <w:pPr>
              <w:spacing w:after="0"/>
              <w:rPr>
                <w:sz w:val="13"/>
                <w:szCs w:val="13"/>
                <w:color w:val="auto"/>
              </w:rPr>
            </w:pPr>
          </w:p>
        </w:tc>
        <w:tc>
          <w:tcPr>
            <w:tcW w:w="680" w:type="dxa"/>
            <w:vAlign w:val="bottom"/>
            <w:shd w:val="clear" w:color="auto" w:fill="EBE1D2"/>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shd w:val="clear" w:color="auto" w:fill="EBE1D2"/>
          </w:tcPr>
          <w:p>
            <w:pPr>
              <w:spacing w:after="0"/>
              <w:rPr>
                <w:sz w:val="13"/>
                <w:szCs w:val="13"/>
                <w:color w:val="auto"/>
              </w:rPr>
            </w:pPr>
          </w:p>
        </w:tc>
        <w:tc>
          <w:tcPr>
            <w:tcW w:w="1120" w:type="dxa"/>
            <w:vAlign w:val="bottom"/>
            <w:shd w:val="clear" w:color="auto" w:fill="EBE1D2"/>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tcBorders>
              <w:bottom w:val="single" w:sz="8" w:color="EBE1D2"/>
            </w:tcBorders>
            <w:gridSpan w:val="2"/>
            <w:shd w:val="clear" w:color="auto" w:fill="EBE1D2"/>
          </w:tcPr>
          <w:p>
            <w:pPr>
              <w:ind w:left="140"/>
              <w:spacing w:after="0"/>
              <w:rPr>
                <w:sz w:val="20"/>
                <w:szCs w:val="20"/>
                <w:color w:val="auto"/>
              </w:rPr>
            </w:pPr>
            <w:r>
              <w:rPr>
                <w:rFonts w:ascii="Arial" w:cs="Arial" w:eastAsia="Arial" w:hAnsi="Arial"/>
                <w:sz w:val="14"/>
                <w:szCs w:val="14"/>
                <w:i w:val="1"/>
                <w:iCs w:val="1"/>
                <w:color w:val="001641"/>
              </w:rPr>
              <w:t>Corporation</w:t>
            </w:r>
          </w:p>
        </w:tc>
        <w:tc>
          <w:tcPr>
            <w:tcW w:w="560" w:type="dxa"/>
            <w:vAlign w:val="bottom"/>
          </w:tcPr>
          <w:p>
            <w:pPr>
              <w:spacing w:after="0"/>
              <w:rPr>
                <w:sz w:val="18"/>
                <w:szCs w:val="18"/>
                <w:color w:val="auto"/>
              </w:rPr>
            </w:pPr>
          </w:p>
        </w:tc>
        <w:tc>
          <w:tcPr>
            <w:tcW w:w="140" w:type="dxa"/>
            <w:vAlign w:val="bottom"/>
            <w:tcBorders>
              <w:bottom w:val="single" w:sz="8" w:color="EBE1D2"/>
            </w:tcBorders>
            <w:shd w:val="clear" w:color="auto" w:fill="EBE1D2"/>
          </w:tcPr>
          <w:p>
            <w:pPr>
              <w:spacing w:after="0"/>
              <w:rPr>
                <w:sz w:val="18"/>
                <w:szCs w:val="18"/>
                <w:color w:val="auto"/>
              </w:rPr>
            </w:pPr>
          </w:p>
        </w:tc>
        <w:tc>
          <w:tcPr>
            <w:tcW w:w="680" w:type="dxa"/>
            <w:vAlign w:val="bottom"/>
            <w:tcBorders>
              <w:bottom w:val="single" w:sz="8" w:color="EBE1D2"/>
            </w:tcBorders>
            <w:shd w:val="clear" w:color="auto" w:fill="EBE1D2"/>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bottom w:val="single" w:sz="8" w:color="EBE1D2"/>
            </w:tcBorders>
            <w:shd w:val="clear" w:color="auto" w:fill="EBE1D2"/>
          </w:tcPr>
          <w:p>
            <w:pPr>
              <w:spacing w:after="0"/>
              <w:rPr>
                <w:sz w:val="18"/>
                <w:szCs w:val="18"/>
                <w:color w:val="auto"/>
              </w:rPr>
            </w:pPr>
          </w:p>
        </w:tc>
        <w:tc>
          <w:tcPr>
            <w:tcW w:w="1120" w:type="dxa"/>
            <w:vAlign w:val="bottom"/>
            <w:tcBorders>
              <w:bottom w:val="single" w:sz="8" w:color="EBE1D2"/>
            </w:tcBorders>
            <w:shd w:val="clear" w:color="auto" w:fill="EBE1D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0" w:type="dxa"/>
            <w:vAlign w:val="bottom"/>
            <w:tcBorders>
              <w:top w:val="single" w:sz="8" w:color="BFA071"/>
            </w:tcBorders>
          </w:tcPr>
          <w:p>
            <w:pPr>
              <w:spacing w:after="0"/>
              <w:rPr>
                <w:sz w:val="15"/>
                <w:szCs w:val="15"/>
                <w:color w:val="auto"/>
              </w:rPr>
            </w:pPr>
          </w:p>
        </w:tc>
        <w:tc>
          <w:tcPr>
            <w:tcW w:w="1540" w:type="dxa"/>
            <w:vAlign w:val="bottom"/>
            <w:tcBorders>
              <w:top w:val="single" w:sz="8" w:color="BFA071"/>
            </w:tcBorders>
          </w:tcPr>
          <w:p>
            <w:pPr>
              <w:ind w:left="40"/>
              <w:spacing w:after="0"/>
              <w:rPr>
                <w:sz w:val="20"/>
                <w:szCs w:val="20"/>
                <w:color w:val="auto"/>
              </w:rPr>
            </w:pPr>
            <w:r>
              <w:rPr>
                <w:rFonts w:ascii="Arial" w:cs="Arial" w:eastAsia="Arial" w:hAnsi="Arial"/>
                <w:sz w:val="14"/>
                <w:szCs w:val="14"/>
                <w:color w:val="001641"/>
              </w:rPr>
              <w:t>Michael A. George</w:t>
            </w:r>
          </w:p>
        </w:tc>
        <w:tc>
          <w:tcPr>
            <w:tcW w:w="1960" w:type="dxa"/>
            <w:vAlign w:val="bottom"/>
            <w:tcBorders>
              <w:top w:val="single" w:sz="8" w:color="BFA071"/>
            </w:tcBorders>
            <w:gridSpan w:val="2"/>
            <w:shd w:val="clear" w:color="auto" w:fill="EBE1D2"/>
          </w:tcPr>
          <w:p>
            <w:pPr>
              <w:ind w:left="140"/>
              <w:spacing w:after="0"/>
              <w:rPr>
                <w:sz w:val="20"/>
                <w:szCs w:val="20"/>
                <w:color w:val="auto"/>
              </w:rPr>
            </w:pPr>
            <w:r>
              <w:rPr>
                <w:rFonts w:ascii="Arial" w:cs="Arial" w:eastAsia="Arial" w:hAnsi="Arial"/>
                <w:sz w:val="14"/>
                <w:szCs w:val="14"/>
                <w:color w:val="001641"/>
              </w:rPr>
              <w:t>Formerly President and</w:t>
            </w:r>
          </w:p>
        </w:tc>
        <w:tc>
          <w:tcPr>
            <w:tcW w:w="560" w:type="dxa"/>
            <w:vAlign w:val="bottom"/>
            <w:tcBorders>
              <w:top w:val="single" w:sz="8" w:color="BFA071"/>
            </w:tcBorders>
          </w:tcPr>
          <w:p>
            <w:pPr>
              <w:jc w:val="center"/>
              <w:spacing w:after="0"/>
              <w:rPr>
                <w:sz w:val="20"/>
                <w:szCs w:val="20"/>
                <w:color w:val="auto"/>
              </w:rPr>
            </w:pPr>
            <w:r>
              <w:rPr>
                <w:rFonts w:ascii="Arial" w:cs="Arial" w:eastAsia="Arial" w:hAnsi="Arial"/>
                <w:sz w:val="14"/>
                <w:szCs w:val="14"/>
                <w:color w:val="001641"/>
              </w:rPr>
              <w:t>64</w:t>
            </w:r>
          </w:p>
        </w:tc>
        <w:tc>
          <w:tcPr>
            <w:tcW w:w="820" w:type="dxa"/>
            <w:vAlign w:val="bottom"/>
            <w:tcBorders>
              <w:top w:val="single" w:sz="8" w:color="BFA071"/>
            </w:tcBorders>
            <w:gridSpan w:val="2"/>
            <w:shd w:val="clear" w:color="auto" w:fill="EBE1D2"/>
          </w:tcPr>
          <w:p>
            <w:pPr>
              <w:jc w:val="center"/>
              <w:spacing w:after="0"/>
              <w:rPr>
                <w:sz w:val="20"/>
                <w:szCs w:val="20"/>
                <w:color w:val="auto"/>
              </w:rPr>
            </w:pPr>
            <w:r>
              <w:rPr>
                <w:rFonts w:ascii="Arial" w:cs="Arial" w:eastAsia="Arial" w:hAnsi="Arial"/>
                <w:sz w:val="14"/>
                <w:szCs w:val="14"/>
                <w:color w:val="001641"/>
              </w:rPr>
              <w:t>2018</w:t>
            </w:r>
          </w:p>
        </w:tc>
        <w:tc>
          <w:tcPr>
            <w:tcW w:w="1140" w:type="dxa"/>
            <w:vAlign w:val="bottom"/>
            <w:tcBorders>
              <w:top w:val="single" w:sz="8" w:color="BFA071"/>
            </w:tcBorders>
          </w:tcPr>
          <w:p>
            <w:pPr>
              <w:spacing w:after="0"/>
              <w:rPr>
                <w:sz w:val="15"/>
                <w:szCs w:val="15"/>
                <w:color w:val="auto"/>
              </w:rPr>
            </w:pPr>
          </w:p>
        </w:tc>
        <w:tc>
          <w:tcPr>
            <w:tcW w:w="1260" w:type="dxa"/>
            <w:vAlign w:val="bottom"/>
            <w:tcBorders>
              <w:top w:val="single" w:sz="8" w:color="BFA071"/>
            </w:tcBorders>
            <w:gridSpan w:val="2"/>
            <w:shd w:val="clear" w:color="auto" w:fill="EBE1D2"/>
          </w:tcPr>
          <w:p>
            <w:pPr>
              <w:jc w:val="center"/>
              <w:spacing w:after="0"/>
              <w:rPr>
                <w:sz w:val="20"/>
                <w:szCs w:val="20"/>
                <w:color w:val="auto"/>
              </w:rPr>
            </w:pPr>
            <w:r>
              <w:rPr>
                <w:rFonts w:ascii="Arial" w:cs="Arial" w:eastAsia="Arial" w:hAnsi="Arial"/>
                <w:sz w:val="14"/>
                <w:szCs w:val="14"/>
                <w:color w:val="001641"/>
              </w:rPr>
              <w:t>1</w:t>
            </w:r>
          </w:p>
        </w:tc>
        <w:tc>
          <w:tcPr>
            <w:tcW w:w="120" w:type="dxa"/>
            <w:vAlign w:val="bottom"/>
            <w:tcBorders>
              <w:top w:val="single" w:sz="8" w:color="BFA071"/>
            </w:tcBorders>
          </w:tcPr>
          <w:p>
            <w:pPr>
              <w:spacing w:after="0"/>
              <w:rPr>
                <w:sz w:val="15"/>
                <w:szCs w:val="15"/>
                <w:color w:val="auto"/>
              </w:rPr>
            </w:pPr>
          </w:p>
        </w:tc>
        <w:tc>
          <w:tcPr>
            <w:tcW w:w="220" w:type="dxa"/>
            <w:vAlign w:val="bottom"/>
            <w:tcBorders>
              <w:top w:val="single" w:sz="8" w:color="BFA071"/>
            </w:tcBorders>
          </w:tcPr>
          <w:p>
            <w:pPr>
              <w:spacing w:after="0"/>
              <w:rPr>
                <w:sz w:val="15"/>
                <w:szCs w:val="15"/>
                <w:color w:val="auto"/>
              </w:rPr>
            </w:pPr>
          </w:p>
        </w:tc>
        <w:tc>
          <w:tcPr>
            <w:tcW w:w="520" w:type="dxa"/>
            <w:vAlign w:val="bottom"/>
            <w:tcBorders>
              <w:top w:val="single" w:sz="8" w:color="BFA071"/>
            </w:tcBorders>
          </w:tcPr>
          <w:p>
            <w:pPr>
              <w:spacing w:after="0"/>
              <w:rPr>
                <w:sz w:val="15"/>
                <w:szCs w:val="15"/>
                <w:color w:val="auto"/>
              </w:rPr>
            </w:pPr>
          </w:p>
        </w:tc>
        <w:tc>
          <w:tcPr>
            <w:tcW w:w="520" w:type="dxa"/>
            <w:vAlign w:val="bottom"/>
            <w:tcBorders>
              <w:top w:val="single" w:sz="8" w:color="BFA071"/>
            </w:tcBorders>
          </w:tcPr>
          <w:p>
            <w:pPr>
              <w:spacing w:after="0"/>
              <w:rPr>
                <w:sz w:val="15"/>
                <w:szCs w:val="15"/>
                <w:color w:val="auto"/>
              </w:rPr>
            </w:pPr>
          </w:p>
        </w:tc>
        <w:tc>
          <w:tcPr>
            <w:tcW w:w="440" w:type="dxa"/>
            <w:vAlign w:val="bottom"/>
            <w:tcBorders>
              <w:top w:val="single" w:sz="8" w:color="BFA071"/>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60" w:type="dxa"/>
            <w:vAlign w:val="bottom"/>
            <w:gridSpan w:val="2"/>
            <w:shd w:val="clear" w:color="auto" w:fill="EBE1D2"/>
          </w:tcPr>
          <w:p>
            <w:pPr>
              <w:ind w:left="140"/>
              <w:spacing w:after="0"/>
              <w:rPr>
                <w:sz w:val="20"/>
                <w:szCs w:val="20"/>
                <w:color w:val="auto"/>
              </w:rPr>
            </w:pPr>
            <w:r>
              <w:rPr>
                <w:rFonts w:ascii="Arial" w:cs="Arial" w:eastAsia="Arial" w:hAnsi="Arial"/>
                <w:sz w:val="14"/>
                <w:szCs w:val="14"/>
                <w:color w:val="001641"/>
              </w:rPr>
              <w:t>Chief Executive Officer</w:t>
            </w:r>
          </w:p>
        </w:tc>
        <w:tc>
          <w:tcPr>
            <w:tcW w:w="560" w:type="dxa"/>
            <w:vAlign w:val="bottom"/>
          </w:tcPr>
          <w:p>
            <w:pPr>
              <w:spacing w:after="0"/>
              <w:rPr>
                <w:sz w:val="15"/>
                <w:szCs w:val="15"/>
                <w:color w:val="auto"/>
              </w:rPr>
            </w:pPr>
          </w:p>
        </w:tc>
        <w:tc>
          <w:tcPr>
            <w:tcW w:w="140" w:type="dxa"/>
            <w:vAlign w:val="bottom"/>
            <w:shd w:val="clear" w:color="auto" w:fill="EBE1D2"/>
          </w:tcPr>
          <w:p>
            <w:pPr>
              <w:spacing w:after="0"/>
              <w:rPr>
                <w:sz w:val="15"/>
                <w:szCs w:val="15"/>
                <w:color w:val="auto"/>
              </w:rPr>
            </w:pPr>
          </w:p>
        </w:tc>
        <w:tc>
          <w:tcPr>
            <w:tcW w:w="680" w:type="dxa"/>
            <w:vAlign w:val="bottom"/>
            <w:shd w:val="clear" w:color="auto" w:fill="EBE1D2"/>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shd w:val="clear" w:color="auto" w:fill="EBE1D2"/>
          </w:tcPr>
          <w:p>
            <w:pPr>
              <w:spacing w:after="0"/>
              <w:rPr>
                <w:sz w:val="15"/>
                <w:szCs w:val="15"/>
                <w:color w:val="auto"/>
              </w:rPr>
            </w:pPr>
          </w:p>
        </w:tc>
        <w:tc>
          <w:tcPr>
            <w:tcW w:w="1120" w:type="dxa"/>
            <w:vAlign w:val="bottom"/>
            <w:shd w:val="clear" w:color="auto" w:fill="EBE1D2"/>
          </w:tcPr>
          <w:p>
            <w:pPr>
              <w:spacing w:after="0"/>
              <w:rPr>
                <w:sz w:val="15"/>
                <w:szCs w:val="15"/>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001641"/>
              </w:rPr>
              <w:t> </w:t>
            </w:r>
          </w:p>
        </w:tc>
        <w:tc>
          <w:tcPr>
            <w:tcW w:w="520" w:type="dxa"/>
            <w:vAlign w:val="bottom"/>
          </w:tcPr>
          <w:p>
            <w:pPr>
              <w:ind w:left="240"/>
              <w:spacing w:after="0"/>
              <w:rPr>
                <w:sz w:val="20"/>
                <w:szCs w:val="20"/>
                <w:color w:val="auto"/>
              </w:rPr>
            </w:pPr>
            <w:r>
              <w:rPr>
                <w:rFonts w:ascii="Arial" w:cs="Arial" w:eastAsia="Arial" w:hAnsi="Arial"/>
                <w:sz w:val="14"/>
                <w:szCs w:val="14"/>
                <w:color w:val="001641"/>
              </w:rPr>
              <w:t> </w:t>
            </w:r>
          </w:p>
        </w:tc>
        <w:tc>
          <w:tcPr>
            <w:tcW w:w="520" w:type="dxa"/>
            <w:vAlign w:val="bottom"/>
          </w:tcPr>
          <w:p>
            <w:pPr>
              <w:spacing w:after="0"/>
              <w:rPr>
                <w:sz w:val="15"/>
                <w:szCs w:val="15"/>
                <w:color w:val="auto"/>
              </w:rPr>
            </w:pPr>
          </w:p>
        </w:tc>
        <w:tc>
          <w:tcPr>
            <w:tcW w:w="440" w:type="dxa"/>
            <w:vAlign w:val="bottom"/>
          </w:tcPr>
          <w:p>
            <w:pPr>
              <w:ind w:left="80"/>
              <w:spacing w:after="0"/>
              <w:rPr>
                <w:sz w:val="20"/>
                <w:szCs w:val="20"/>
                <w:color w:val="auto"/>
              </w:rPr>
            </w:pPr>
            <w:r>
              <w:rPr>
                <w:rFonts w:ascii="Arial" w:cs="Arial" w:eastAsia="Arial" w:hAnsi="Arial"/>
                <w:sz w:val="14"/>
                <w:szCs w:val="14"/>
                <w:color w:val="001641"/>
              </w:rPr>
              <w:t> </w:t>
            </w:r>
          </w:p>
        </w:tc>
        <w:tc>
          <w:tcPr>
            <w:tcW w:w="0" w:type="dxa"/>
            <w:vAlign w:val="bottom"/>
          </w:tcPr>
          <w:p>
            <w:pPr>
              <w:spacing w:after="0"/>
              <w:rPr>
                <w:sz w:val="1"/>
                <w:szCs w:val="1"/>
                <w:color w:val="auto"/>
              </w:rPr>
            </w:pPr>
          </w:p>
        </w:tc>
      </w:tr>
      <w:tr>
        <w:trPr>
          <w:trHeight w:val="193"/>
        </w:trPr>
        <w:tc>
          <w:tcPr>
            <w:tcW w:w="80" w:type="dxa"/>
            <w:vAlign w:val="bottom"/>
            <w:tcBorders>
              <w:bottom w:val="single" w:sz="8" w:color="BFA071"/>
            </w:tcBorders>
          </w:tcPr>
          <w:p>
            <w:pPr>
              <w:spacing w:after="0"/>
              <w:rPr>
                <w:sz w:val="16"/>
                <w:szCs w:val="16"/>
                <w:color w:val="auto"/>
              </w:rPr>
            </w:pPr>
          </w:p>
        </w:tc>
        <w:tc>
          <w:tcPr>
            <w:tcW w:w="1540" w:type="dxa"/>
            <w:vAlign w:val="bottom"/>
            <w:tcBorders>
              <w:bottom w:val="single" w:sz="8" w:color="BFA071"/>
            </w:tcBorders>
          </w:tcPr>
          <w:p>
            <w:pPr>
              <w:spacing w:after="0"/>
              <w:rPr>
                <w:sz w:val="16"/>
                <w:szCs w:val="16"/>
                <w:color w:val="auto"/>
              </w:rPr>
            </w:pPr>
          </w:p>
        </w:tc>
        <w:tc>
          <w:tcPr>
            <w:tcW w:w="1960" w:type="dxa"/>
            <w:vAlign w:val="bottom"/>
            <w:tcBorders>
              <w:bottom w:val="single" w:sz="8" w:color="BFA071"/>
            </w:tcBorders>
            <w:gridSpan w:val="2"/>
            <w:shd w:val="clear" w:color="auto" w:fill="EBE1D2"/>
          </w:tcPr>
          <w:p>
            <w:pPr>
              <w:ind w:left="140"/>
              <w:spacing w:after="0"/>
              <w:rPr>
                <w:sz w:val="20"/>
                <w:szCs w:val="20"/>
                <w:color w:val="auto"/>
              </w:rPr>
            </w:pPr>
            <w:r>
              <w:rPr>
                <w:rFonts w:ascii="Arial" w:cs="Arial" w:eastAsia="Arial" w:hAnsi="Arial"/>
                <w:sz w:val="14"/>
                <w:szCs w:val="14"/>
                <w:i w:val="1"/>
                <w:iCs w:val="1"/>
                <w:color w:val="001641"/>
              </w:rPr>
              <w:t>Qurate Retail, Inc.</w:t>
            </w:r>
          </w:p>
        </w:tc>
        <w:tc>
          <w:tcPr>
            <w:tcW w:w="560" w:type="dxa"/>
            <w:vAlign w:val="bottom"/>
            <w:tcBorders>
              <w:bottom w:val="single" w:sz="8" w:color="BFA071"/>
            </w:tcBorders>
          </w:tcPr>
          <w:p>
            <w:pPr>
              <w:spacing w:after="0"/>
              <w:rPr>
                <w:sz w:val="16"/>
                <w:szCs w:val="16"/>
                <w:color w:val="auto"/>
              </w:rPr>
            </w:pPr>
          </w:p>
        </w:tc>
        <w:tc>
          <w:tcPr>
            <w:tcW w:w="140" w:type="dxa"/>
            <w:vAlign w:val="bottom"/>
            <w:tcBorders>
              <w:bottom w:val="single" w:sz="8" w:color="BFA071"/>
            </w:tcBorders>
            <w:shd w:val="clear" w:color="auto" w:fill="EBE1D2"/>
          </w:tcPr>
          <w:p>
            <w:pPr>
              <w:spacing w:after="0"/>
              <w:rPr>
                <w:sz w:val="16"/>
                <w:szCs w:val="16"/>
                <w:color w:val="auto"/>
              </w:rPr>
            </w:pPr>
          </w:p>
        </w:tc>
        <w:tc>
          <w:tcPr>
            <w:tcW w:w="680" w:type="dxa"/>
            <w:vAlign w:val="bottom"/>
            <w:tcBorders>
              <w:bottom w:val="single" w:sz="8" w:color="BFA071"/>
            </w:tcBorders>
            <w:shd w:val="clear" w:color="auto" w:fill="EBE1D2"/>
          </w:tcPr>
          <w:p>
            <w:pPr>
              <w:spacing w:after="0"/>
              <w:rPr>
                <w:sz w:val="16"/>
                <w:szCs w:val="16"/>
                <w:color w:val="auto"/>
              </w:rPr>
            </w:pPr>
          </w:p>
        </w:tc>
        <w:tc>
          <w:tcPr>
            <w:tcW w:w="1140" w:type="dxa"/>
            <w:vAlign w:val="bottom"/>
            <w:tcBorders>
              <w:bottom w:val="single" w:sz="8" w:color="BFA071"/>
            </w:tcBorders>
          </w:tcPr>
          <w:p>
            <w:pPr>
              <w:spacing w:after="0"/>
              <w:rPr>
                <w:sz w:val="16"/>
                <w:szCs w:val="16"/>
                <w:color w:val="auto"/>
              </w:rPr>
            </w:pPr>
          </w:p>
        </w:tc>
        <w:tc>
          <w:tcPr>
            <w:tcW w:w="140" w:type="dxa"/>
            <w:vAlign w:val="bottom"/>
            <w:tcBorders>
              <w:bottom w:val="single" w:sz="8" w:color="BFA071"/>
            </w:tcBorders>
            <w:shd w:val="clear" w:color="auto" w:fill="EBE1D2"/>
          </w:tcPr>
          <w:p>
            <w:pPr>
              <w:spacing w:after="0"/>
              <w:rPr>
                <w:sz w:val="16"/>
                <w:szCs w:val="16"/>
                <w:color w:val="auto"/>
              </w:rPr>
            </w:pPr>
          </w:p>
        </w:tc>
        <w:tc>
          <w:tcPr>
            <w:tcW w:w="1120" w:type="dxa"/>
            <w:vAlign w:val="bottom"/>
            <w:tcBorders>
              <w:bottom w:val="single" w:sz="8" w:color="BFA071"/>
            </w:tcBorders>
            <w:shd w:val="clear" w:color="auto" w:fill="EBE1D2"/>
          </w:tcPr>
          <w:p>
            <w:pPr>
              <w:spacing w:after="0"/>
              <w:rPr>
                <w:sz w:val="16"/>
                <w:szCs w:val="16"/>
                <w:color w:val="auto"/>
              </w:rPr>
            </w:pPr>
          </w:p>
        </w:tc>
        <w:tc>
          <w:tcPr>
            <w:tcW w:w="120" w:type="dxa"/>
            <w:vAlign w:val="bottom"/>
            <w:tcBorders>
              <w:bottom w:val="single" w:sz="8" w:color="BFA071"/>
            </w:tcBorders>
          </w:tcPr>
          <w:p>
            <w:pPr>
              <w:spacing w:after="0"/>
              <w:rPr>
                <w:sz w:val="16"/>
                <w:szCs w:val="16"/>
                <w:color w:val="auto"/>
              </w:rPr>
            </w:pPr>
          </w:p>
        </w:tc>
        <w:tc>
          <w:tcPr>
            <w:tcW w:w="220" w:type="dxa"/>
            <w:vAlign w:val="bottom"/>
            <w:tcBorders>
              <w:bottom w:val="single" w:sz="8" w:color="BFA071"/>
            </w:tcBorders>
          </w:tcPr>
          <w:p>
            <w:pPr>
              <w:spacing w:after="0"/>
              <w:rPr>
                <w:sz w:val="16"/>
                <w:szCs w:val="16"/>
                <w:color w:val="auto"/>
              </w:rPr>
            </w:pPr>
          </w:p>
        </w:tc>
        <w:tc>
          <w:tcPr>
            <w:tcW w:w="520" w:type="dxa"/>
            <w:vAlign w:val="bottom"/>
            <w:tcBorders>
              <w:bottom w:val="single" w:sz="8" w:color="BFA071"/>
            </w:tcBorders>
          </w:tcPr>
          <w:p>
            <w:pPr>
              <w:spacing w:after="0"/>
              <w:rPr>
                <w:sz w:val="16"/>
                <w:szCs w:val="16"/>
                <w:color w:val="auto"/>
              </w:rPr>
            </w:pPr>
          </w:p>
        </w:tc>
        <w:tc>
          <w:tcPr>
            <w:tcW w:w="520" w:type="dxa"/>
            <w:vAlign w:val="bottom"/>
            <w:tcBorders>
              <w:bottom w:val="single" w:sz="8" w:color="BFA071"/>
            </w:tcBorders>
          </w:tcPr>
          <w:p>
            <w:pPr>
              <w:spacing w:after="0"/>
              <w:rPr>
                <w:sz w:val="16"/>
                <w:szCs w:val="16"/>
                <w:color w:val="auto"/>
              </w:rPr>
            </w:pPr>
          </w:p>
        </w:tc>
        <w:tc>
          <w:tcPr>
            <w:tcW w:w="440" w:type="dxa"/>
            <w:vAlign w:val="bottom"/>
            <w:tcBorders>
              <w:bottom w:val="single" w:sz="8" w:color="BFA071"/>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540" w:type="dxa"/>
            <w:vAlign w:val="bottom"/>
          </w:tcPr>
          <w:p>
            <w:pPr>
              <w:ind w:left="40"/>
              <w:spacing w:after="0"/>
              <w:rPr>
                <w:sz w:val="20"/>
                <w:szCs w:val="20"/>
                <w:color w:val="auto"/>
              </w:rPr>
            </w:pPr>
            <w:r>
              <w:rPr>
                <w:rFonts w:ascii="Arial" w:cs="Arial" w:eastAsia="Arial" w:hAnsi="Arial"/>
                <w:sz w:val="14"/>
                <w:szCs w:val="14"/>
                <w:color w:val="001641"/>
              </w:rPr>
              <w:t>Valerie Jarrett</w:t>
            </w:r>
          </w:p>
        </w:tc>
        <w:tc>
          <w:tcPr>
            <w:tcW w:w="1960" w:type="dxa"/>
            <w:vAlign w:val="bottom"/>
            <w:gridSpan w:val="2"/>
            <w:shd w:val="clear" w:color="auto" w:fill="EBE1D2"/>
          </w:tcPr>
          <w:p>
            <w:pPr>
              <w:ind w:left="140"/>
              <w:spacing w:after="0"/>
              <w:rPr>
                <w:sz w:val="20"/>
                <w:szCs w:val="20"/>
                <w:color w:val="auto"/>
              </w:rPr>
            </w:pPr>
            <w:r>
              <w:rPr>
                <w:rFonts w:ascii="Arial" w:cs="Arial" w:eastAsia="Arial" w:hAnsi="Arial"/>
                <w:sz w:val="14"/>
                <w:szCs w:val="14"/>
                <w:color w:val="001641"/>
              </w:rPr>
              <w:t>Chief Executive Officer</w:t>
            </w:r>
          </w:p>
        </w:tc>
        <w:tc>
          <w:tcPr>
            <w:tcW w:w="560" w:type="dxa"/>
            <w:vAlign w:val="bottom"/>
          </w:tcPr>
          <w:p>
            <w:pPr>
              <w:jc w:val="center"/>
              <w:spacing w:after="0"/>
              <w:rPr>
                <w:sz w:val="20"/>
                <w:szCs w:val="20"/>
                <w:color w:val="auto"/>
              </w:rPr>
            </w:pPr>
            <w:r>
              <w:rPr>
                <w:rFonts w:ascii="Arial" w:cs="Arial" w:eastAsia="Arial" w:hAnsi="Arial"/>
                <w:sz w:val="14"/>
                <w:szCs w:val="14"/>
                <w:color w:val="001641"/>
              </w:rPr>
              <w:t>69</w:t>
            </w:r>
          </w:p>
        </w:tc>
        <w:tc>
          <w:tcPr>
            <w:tcW w:w="820" w:type="dxa"/>
            <w:vAlign w:val="bottom"/>
            <w:gridSpan w:val="2"/>
            <w:shd w:val="clear" w:color="auto" w:fill="EBE1D2"/>
          </w:tcPr>
          <w:p>
            <w:pPr>
              <w:jc w:val="center"/>
              <w:spacing w:after="0"/>
              <w:rPr>
                <w:sz w:val="20"/>
                <w:szCs w:val="20"/>
                <w:color w:val="auto"/>
              </w:rPr>
            </w:pPr>
            <w:r>
              <w:rPr>
                <w:rFonts w:ascii="Arial" w:cs="Arial" w:eastAsia="Arial" w:hAnsi="Arial"/>
                <w:sz w:val="14"/>
                <w:szCs w:val="14"/>
                <w:color w:val="001641"/>
              </w:rPr>
              <w:t>2020</w:t>
            </w:r>
          </w:p>
        </w:tc>
        <w:tc>
          <w:tcPr>
            <w:tcW w:w="1140" w:type="dxa"/>
            <w:vAlign w:val="bottom"/>
          </w:tcPr>
          <w:p>
            <w:pPr>
              <w:spacing w:after="0"/>
              <w:rPr>
                <w:sz w:val="15"/>
                <w:szCs w:val="15"/>
                <w:color w:val="auto"/>
              </w:rPr>
            </w:pPr>
          </w:p>
        </w:tc>
        <w:tc>
          <w:tcPr>
            <w:tcW w:w="1260" w:type="dxa"/>
            <w:vAlign w:val="bottom"/>
            <w:gridSpan w:val="2"/>
            <w:shd w:val="clear" w:color="auto" w:fill="EBE1D2"/>
          </w:tcPr>
          <w:p>
            <w:pPr>
              <w:jc w:val="center"/>
              <w:spacing w:after="0"/>
              <w:rPr>
                <w:sz w:val="20"/>
                <w:szCs w:val="20"/>
                <w:color w:val="auto"/>
              </w:rPr>
            </w:pPr>
            <w:r>
              <w:rPr>
                <w:rFonts w:ascii="Arial" w:cs="Arial" w:eastAsia="Arial" w:hAnsi="Arial"/>
                <w:sz w:val="14"/>
                <w:szCs w:val="14"/>
                <w:color w:val="001641"/>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60" w:type="dxa"/>
            <w:vAlign w:val="bottom"/>
            <w:gridSpan w:val="2"/>
            <w:shd w:val="clear" w:color="auto" w:fill="EBE1D2"/>
          </w:tcPr>
          <w:p>
            <w:pPr>
              <w:ind w:left="140"/>
              <w:spacing w:after="0"/>
              <w:rPr>
                <w:sz w:val="20"/>
                <w:szCs w:val="20"/>
                <w:color w:val="auto"/>
              </w:rPr>
            </w:pPr>
            <w:r>
              <w:rPr>
                <w:rFonts w:ascii="Arial" w:cs="Arial" w:eastAsia="Arial" w:hAnsi="Arial"/>
                <w:sz w:val="14"/>
                <w:szCs w:val="14"/>
                <w:i w:val="1"/>
                <w:iCs w:val="1"/>
                <w:color w:val="001641"/>
              </w:rPr>
              <w:t>The Barack Obama</w:t>
            </w:r>
          </w:p>
        </w:tc>
        <w:tc>
          <w:tcPr>
            <w:tcW w:w="560" w:type="dxa"/>
            <w:vAlign w:val="bottom"/>
          </w:tcPr>
          <w:p>
            <w:pPr>
              <w:spacing w:after="0"/>
              <w:rPr>
                <w:sz w:val="15"/>
                <w:szCs w:val="15"/>
                <w:color w:val="auto"/>
              </w:rPr>
            </w:pPr>
          </w:p>
        </w:tc>
        <w:tc>
          <w:tcPr>
            <w:tcW w:w="140" w:type="dxa"/>
            <w:vAlign w:val="bottom"/>
            <w:shd w:val="clear" w:color="auto" w:fill="EBE1D2"/>
          </w:tcPr>
          <w:p>
            <w:pPr>
              <w:spacing w:after="0"/>
              <w:rPr>
                <w:sz w:val="15"/>
                <w:szCs w:val="15"/>
                <w:color w:val="auto"/>
              </w:rPr>
            </w:pPr>
          </w:p>
        </w:tc>
        <w:tc>
          <w:tcPr>
            <w:tcW w:w="680" w:type="dxa"/>
            <w:vAlign w:val="bottom"/>
            <w:shd w:val="clear" w:color="auto" w:fill="EBE1D2"/>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shd w:val="clear" w:color="auto" w:fill="EBE1D2"/>
          </w:tcPr>
          <w:p>
            <w:pPr>
              <w:spacing w:after="0"/>
              <w:rPr>
                <w:sz w:val="15"/>
                <w:szCs w:val="15"/>
                <w:color w:val="auto"/>
              </w:rPr>
            </w:pPr>
          </w:p>
        </w:tc>
        <w:tc>
          <w:tcPr>
            <w:tcW w:w="1120" w:type="dxa"/>
            <w:vAlign w:val="bottom"/>
            <w:shd w:val="clear" w:color="auto" w:fill="EBE1D2"/>
          </w:tcPr>
          <w:p>
            <w:pPr>
              <w:spacing w:after="0"/>
              <w:rPr>
                <w:sz w:val="15"/>
                <w:szCs w:val="15"/>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001641"/>
              </w:rPr>
              <w:t> </w:t>
            </w:r>
          </w:p>
        </w:tc>
        <w:tc>
          <w:tcPr>
            <w:tcW w:w="520" w:type="dxa"/>
            <w:vAlign w:val="bottom"/>
          </w:tcPr>
          <w:p>
            <w:pPr>
              <w:spacing w:after="0"/>
              <w:rPr>
                <w:sz w:val="15"/>
                <w:szCs w:val="15"/>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1641"/>
              </w:rPr>
              <w:t> </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BFA071"/>
            </w:tcBorders>
          </w:tcPr>
          <w:p>
            <w:pPr>
              <w:spacing w:after="0"/>
              <w:rPr>
                <w:sz w:val="16"/>
                <w:szCs w:val="16"/>
                <w:color w:val="auto"/>
              </w:rPr>
            </w:pPr>
          </w:p>
        </w:tc>
        <w:tc>
          <w:tcPr>
            <w:tcW w:w="1540" w:type="dxa"/>
            <w:vAlign w:val="bottom"/>
            <w:tcBorders>
              <w:bottom w:val="single" w:sz="8" w:color="BFA071"/>
            </w:tcBorders>
          </w:tcPr>
          <w:p>
            <w:pPr>
              <w:spacing w:after="0"/>
              <w:rPr>
                <w:sz w:val="16"/>
                <w:szCs w:val="16"/>
                <w:color w:val="auto"/>
              </w:rPr>
            </w:pPr>
          </w:p>
        </w:tc>
        <w:tc>
          <w:tcPr>
            <w:tcW w:w="1960" w:type="dxa"/>
            <w:vAlign w:val="bottom"/>
            <w:tcBorders>
              <w:bottom w:val="single" w:sz="8" w:color="BFA071"/>
            </w:tcBorders>
            <w:gridSpan w:val="2"/>
            <w:shd w:val="clear" w:color="auto" w:fill="EBE1D2"/>
          </w:tcPr>
          <w:p>
            <w:pPr>
              <w:ind w:left="140"/>
              <w:spacing w:after="0"/>
              <w:rPr>
                <w:sz w:val="20"/>
                <w:szCs w:val="20"/>
                <w:color w:val="auto"/>
              </w:rPr>
            </w:pPr>
            <w:r>
              <w:rPr>
                <w:rFonts w:ascii="Arial" w:cs="Arial" w:eastAsia="Arial" w:hAnsi="Arial"/>
                <w:sz w:val="14"/>
                <w:szCs w:val="14"/>
                <w:i w:val="1"/>
                <w:iCs w:val="1"/>
                <w:color w:val="001641"/>
              </w:rPr>
              <w:t>Foundation</w:t>
            </w:r>
          </w:p>
        </w:tc>
        <w:tc>
          <w:tcPr>
            <w:tcW w:w="560" w:type="dxa"/>
            <w:vAlign w:val="bottom"/>
            <w:tcBorders>
              <w:bottom w:val="single" w:sz="8" w:color="BFA071"/>
            </w:tcBorders>
          </w:tcPr>
          <w:p>
            <w:pPr>
              <w:spacing w:after="0"/>
              <w:rPr>
                <w:sz w:val="16"/>
                <w:szCs w:val="16"/>
                <w:color w:val="auto"/>
              </w:rPr>
            </w:pPr>
          </w:p>
        </w:tc>
        <w:tc>
          <w:tcPr>
            <w:tcW w:w="140" w:type="dxa"/>
            <w:vAlign w:val="bottom"/>
            <w:tcBorders>
              <w:bottom w:val="single" w:sz="8" w:color="BFA071"/>
            </w:tcBorders>
            <w:shd w:val="clear" w:color="auto" w:fill="EBE1D2"/>
          </w:tcPr>
          <w:p>
            <w:pPr>
              <w:spacing w:after="0"/>
              <w:rPr>
                <w:sz w:val="16"/>
                <w:szCs w:val="16"/>
                <w:color w:val="auto"/>
              </w:rPr>
            </w:pPr>
          </w:p>
        </w:tc>
        <w:tc>
          <w:tcPr>
            <w:tcW w:w="680" w:type="dxa"/>
            <w:vAlign w:val="bottom"/>
            <w:tcBorders>
              <w:bottom w:val="single" w:sz="8" w:color="BFA071"/>
            </w:tcBorders>
            <w:shd w:val="clear" w:color="auto" w:fill="EBE1D2"/>
          </w:tcPr>
          <w:p>
            <w:pPr>
              <w:spacing w:after="0"/>
              <w:rPr>
                <w:sz w:val="16"/>
                <w:szCs w:val="16"/>
                <w:color w:val="auto"/>
              </w:rPr>
            </w:pPr>
          </w:p>
        </w:tc>
        <w:tc>
          <w:tcPr>
            <w:tcW w:w="1140" w:type="dxa"/>
            <w:vAlign w:val="bottom"/>
            <w:tcBorders>
              <w:bottom w:val="single" w:sz="8" w:color="BFA071"/>
            </w:tcBorders>
          </w:tcPr>
          <w:p>
            <w:pPr>
              <w:spacing w:after="0"/>
              <w:rPr>
                <w:sz w:val="16"/>
                <w:szCs w:val="16"/>
                <w:color w:val="auto"/>
              </w:rPr>
            </w:pPr>
          </w:p>
        </w:tc>
        <w:tc>
          <w:tcPr>
            <w:tcW w:w="140" w:type="dxa"/>
            <w:vAlign w:val="bottom"/>
            <w:tcBorders>
              <w:bottom w:val="single" w:sz="8" w:color="BFA071"/>
            </w:tcBorders>
            <w:shd w:val="clear" w:color="auto" w:fill="EBE1D2"/>
          </w:tcPr>
          <w:p>
            <w:pPr>
              <w:spacing w:after="0"/>
              <w:rPr>
                <w:sz w:val="16"/>
                <w:szCs w:val="16"/>
                <w:color w:val="auto"/>
              </w:rPr>
            </w:pPr>
          </w:p>
        </w:tc>
        <w:tc>
          <w:tcPr>
            <w:tcW w:w="1120" w:type="dxa"/>
            <w:vAlign w:val="bottom"/>
            <w:tcBorders>
              <w:bottom w:val="single" w:sz="8" w:color="BFA071"/>
            </w:tcBorders>
            <w:shd w:val="clear" w:color="auto" w:fill="EBE1D2"/>
          </w:tcPr>
          <w:p>
            <w:pPr>
              <w:spacing w:after="0"/>
              <w:rPr>
                <w:sz w:val="16"/>
                <w:szCs w:val="16"/>
                <w:color w:val="auto"/>
              </w:rPr>
            </w:pPr>
          </w:p>
        </w:tc>
        <w:tc>
          <w:tcPr>
            <w:tcW w:w="120" w:type="dxa"/>
            <w:vAlign w:val="bottom"/>
            <w:tcBorders>
              <w:bottom w:val="single" w:sz="8" w:color="BFA071"/>
            </w:tcBorders>
          </w:tcPr>
          <w:p>
            <w:pPr>
              <w:spacing w:after="0"/>
              <w:rPr>
                <w:sz w:val="16"/>
                <w:szCs w:val="16"/>
                <w:color w:val="auto"/>
              </w:rPr>
            </w:pPr>
          </w:p>
        </w:tc>
        <w:tc>
          <w:tcPr>
            <w:tcW w:w="220" w:type="dxa"/>
            <w:vAlign w:val="bottom"/>
            <w:tcBorders>
              <w:bottom w:val="single" w:sz="8" w:color="BFA071"/>
            </w:tcBorders>
          </w:tcPr>
          <w:p>
            <w:pPr>
              <w:spacing w:after="0"/>
              <w:rPr>
                <w:sz w:val="16"/>
                <w:szCs w:val="16"/>
                <w:color w:val="auto"/>
              </w:rPr>
            </w:pPr>
          </w:p>
        </w:tc>
        <w:tc>
          <w:tcPr>
            <w:tcW w:w="520" w:type="dxa"/>
            <w:vAlign w:val="bottom"/>
            <w:tcBorders>
              <w:bottom w:val="single" w:sz="8" w:color="BFA071"/>
            </w:tcBorders>
          </w:tcPr>
          <w:p>
            <w:pPr>
              <w:spacing w:after="0"/>
              <w:rPr>
                <w:sz w:val="16"/>
                <w:szCs w:val="16"/>
                <w:color w:val="auto"/>
              </w:rPr>
            </w:pPr>
          </w:p>
        </w:tc>
        <w:tc>
          <w:tcPr>
            <w:tcW w:w="520" w:type="dxa"/>
            <w:vAlign w:val="bottom"/>
            <w:tcBorders>
              <w:bottom w:val="single" w:sz="8" w:color="BFA071"/>
            </w:tcBorders>
          </w:tcPr>
          <w:p>
            <w:pPr>
              <w:spacing w:after="0"/>
              <w:rPr>
                <w:sz w:val="16"/>
                <w:szCs w:val="16"/>
                <w:color w:val="auto"/>
              </w:rPr>
            </w:pPr>
          </w:p>
        </w:tc>
        <w:tc>
          <w:tcPr>
            <w:tcW w:w="440" w:type="dxa"/>
            <w:vAlign w:val="bottom"/>
            <w:tcBorders>
              <w:bottom w:val="single" w:sz="8" w:color="BFA071"/>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540" w:type="dxa"/>
            <w:vAlign w:val="bottom"/>
          </w:tcPr>
          <w:p>
            <w:pPr>
              <w:ind w:left="40"/>
              <w:spacing w:after="0"/>
              <w:rPr>
                <w:sz w:val="20"/>
                <w:szCs w:val="20"/>
                <w:color w:val="auto"/>
              </w:rPr>
            </w:pPr>
            <w:r>
              <w:rPr>
                <w:rFonts w:ascii="Arial" w:cs="Arial" w:eastAsia="Arial" w:hAnsi="Arial"/>
                <w:sz w:val="14"/>
                <w:szCs w:val="14"/>
                <w:color w:val="001641"/>
              </w:rPr>
              <w:t>Wei Zhang</w:t>
            </w:r>
          </w:p>
        </w:tc>
        <w:tc>
          <w:tcPr>
            <w:tcW w:w="1960" w:type="dxa"/>
            <w:vAlign w:val="bottom"/>
            <w:gridSpan w:val="2"/>
            <w:shd w:val="clear" w:color="auto" w:fill="EBE1D2"/>
          </w:tcPr>
          <w:p>
            <w:pPr>
              <w:ind w:left="140"/>
              <w:spacing w:after="0"/>
              <w:rPr>
                <w:sz w:val="20"/>
                <w:szCs w:val="20"/>
                <w:color w:val="auto"/>
              </w:rPr>
            </w:pPr>
            <w:r>
              <w:rPr>
                <w:rFonts w:ascii="Arial" w:cs="Arial" w:eastAsia="Arial" w:hAnsi="Arial"/>
                <w:sz w:val="14"/>
                <w:szCs w:val="14"/>
                <w:color w:val="001641"/>
              </w:rPr>
              <w:t>Former President</w:t>
            </w:r>
          </w:p>
        </w:tc>
        <w:tc>
          <w:tcPr>
            <w:tcW w:w="560" w:type="dxa"/>
            <w:vAlign w:val="bottom"/>
          </w:tcPr>
          <w:p>
            <w:pPr>
              <w:jc w:val="center"/>
              <w:spacing w:after="0"/>
              <w:rPr>
                <w:sz w:val="20"/>
                <w:szCs w:val="20"/>
                <w:color w:val="auto"/>
              </w:rPr>
            </w:pPr>
            <w:r>
              <w:rPr>
                <w:rFonts w:ascii="Arial" w:cs="Arial" w:eastAsia="Arial" w:hAnsi="Arial"/>
                <w:sz w:val="14"/>
                <w:szCs w:val="14"/>
                <w:color w:val="001641"/>
              </w:rPr>
              <w:t>56</w:t>
            </w:r>
          </w:p>
        </w:tc>
        <w:tc>
          <w:tcPr>
            <w:tcW w:w="140" w:type="dxa"/>
            <w:vAlign w:val="bottom"/>
            <w:shd w:val="clear" w:color="auto" w:fill="EBE1D2"/>
          </w:tcPr>
          <w:p>
            <w:pPr>
              <w:spacing w:after="0"/>
              <w:rPr>
                <w:sz w:val="15"/>
                <w:szCs w:val="15"/>
                <w:color w:val="auto"/>
              </w:rPr>
            </w:pPr>
          </w:p>
        </w:tc>
        <w:tc>
          <w:tcPr>
            <w:tcW w:w="680" w:type="dxa"/>
            <w:vAlign w:val="bottom"/>
            <w:shd w:val="clear" w:color="auto" w:fill="EBE1D2"/>
          </w:tcPr>
          <w:p>
            <w:pPr>
              <w:jc w:val="center"/>
              <w:ind w:right="48"/>
              <w:spacing w:after="0"/>
              <w:rPr>
                <w:sz w:val="20"/>
                <w:szCs w:val="20"/>
                <w:color w:val="auto"/>
              </w:rPr>
            </w:pPr>
            <w:r>
              <w:rPr>
                <w:rFonts w:ascii="Arial" w:cs="Arial" w:eastAsia="Arial" w:hAnsi="Arial"/>
                <w:sz w:val="14"/>
                <w:szCs w:val="14"/>
                <w:color w:val="001641"/>
              </w:rPr>
              <w:t>2022</w:t>
            </w:r>
          </w:p>
        </w:tc>
        <w:tc>
          <w:tcPr>
            <w:tcW w:w="1140" w:type="dxa"/>
            <w:vAlign w:val="bottom"/>
          </w:tcPr>
          <w:p>
            <w:pPr>
              <w:spacing w:after="0"/>
              <w:rPr>
                <w:sz w:val="15"/>
                <w:szCs w:val="15"/>
                <w:color w:val="auto"/>
              </w:rPr>
            </w:pPr>
          </w:p>
        </w:tc>
        <w:tc>
          <w:tcPr>
            <w:tcW w:w="140" w:type="dxa"/>
            <w:vAlign w:val="bottom"/>
            <w:shd w:val="clear" w:color="auto" w:fill="EBE1D2"/>
          </w:tcPr>
          <w:p>
            <w:pPr>
              <w:spacing w:after="0"/>
              <w:rPr>
                <w:sz w:val="15"/>
                <w:szCs w:val="15"/>
                <w:color w:val="auto"/>
              </w:rPr>
            </w:pPr>
          </w:p>
        </w:tc>
        <w:tc>
          <w:tcPr>
            <w:tcW w:w="1120" w:type="dxa"/>
            <w:vAlign w:val="bottom"/>
            <w:shd w:val="clear" w:color="auto" w:fill="EBE1D2"/>
          </w:tcPr>
          <w:p>
            <w:pPr>
              <w:jc w:val="center"/>
              <w:ind w:right="88"/>
              <w:spacing w:after="0"/>
              <w:rPr>
                <w:sz w:val="20"/>
                <w:szCs w:val="20"/>
                <w:color w:val="auto"/>
              </w:rPr>
            </w:pPr>
            <w:r>
              <w:rPr>
                <w:rFonts w:ascii="Arial" w:cs="Arial" w:eastAsia="Arial" w:hAnsi="Arial"/>
                <w:sz w:val="14"/>
                <w:szCs w:val="14"/>
                <w:color w:val="001641"/>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tcBorders>
              <w:bottom w:val="single" w:sz="8" w:color="EBE1D2"/>
            </w:tcBorders>
            <w:gridSpan w:val="2"/>
            <w:shd w:val="clear" w:color="auto" w:fill="EBE1D2"/>
          </w:tcPr>
          <w:p>
            <w:pPr>
              <w:ind w:left="140"/>
              <w:spacing w:after="0"/>
              <w:rPr>
                <w:sz w:val="20"/>
                <w:szCs w:val="20"/>
                <w:color w:val="auto"/>
              </w:rPr>
            </w:pPr>
            <w:r>
              <w:rPr>
                <w:rFonts w:ascii="Arial" w:cs="Arial" w:eastAsia="Arial" w:hAnsi="Arial"/>
                <w:sz w:val="14"/>
                <w:szCs w:val="14"/>
                <w:i w:val="1"/>
                <w:iCs w:val="1"/>
                <w:color w:val="001641"/>
              </w:rPr>
              <w:t>Alibaba Pictures Group</w:t>
            </w:r>
          </w:p>
        </w:tc>
        <w:tc>
          <w:tcPr>
            <w:tcW w:w="560" w:type="dxa"/>
            <w:vAlign w:val="bottom"/>
          </w:tcPr>
          <w:p>
            <w:pPr>
              <w:spacing w:after="0"/>
              <w:rPr>
                <w:sz w:val="18"/>
                <w:szCs w:val="18"/>
                <w:color w:val="auto"/>
              </w:rPr>
            </w:pPr>
          </w:p>
        </w:tc>
        <w:tc>
          <w:tcPr>
            <w:tcW w:w="140" w:type="dxa"/>
            <w:vAlign w:val="bottom"/>
            <w:tcBorders>
              <w:bottom w:val="single" w:sz="8" w:color="EBE1D2"/>
            </w:tcBorders>
            <w:shd w:val="clear" w:color="auto" w:fill="EBE1D2"/>
          </w:tcPr>
          <w:p>
            <w:pPr>
              <w:spacing w:after="0"/>
              <w:rPr>
                <w:sz w:val="18"/>
                <w:szCs w:val="18"/>
                <w:color w:val="auto"/>
              </w:rPr>
            </w:pPr>
          </w:p>
        </w:tc>
        <w:tc>
          <w:tcPr>
            <w:tcW w:w="680" w:type="dxa"/>
            <w:vAlign w:val="bottom"/>
            <w:tcBorders>
              <w:bottom w:val="single" w:sz="8" w:color="EBE1D2"/>
            </w:tcBorders>
            <w:shd w:val="clear" w:color="auto" w:fill="EBE1D2"/>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bottom w:val="single" w:sz="8" w:color="EBE1D2"/>
            </w:tcBorders>
            <w:shd w:val="clear" w:color="auto" w:fill="EBE1D2"/>
          </w:tcPr>
          <w:p>
            <w:pPr>
              <w:spacing w:after="0"/>
              <w:rPr>
                <w:sz w:val="18"/>
                <w:szCs w:val="18"/>
                <w:color w:val="auto"/>
              </w:rPr>
            </w:pPr>
          </w:p>
        </w:tc>
        <w:tc>
          <w:tcPr>
            <w:tcW w:w="1120" w:type="dxa"/>
            <w:vAlign w:val="bottom"/>
            <w:tcBorders>
              <w:bottom w:val="single" w:sz="8" w:color="EBE1D2"/>
            </w:tcBorders>
            <w:shd w:val="clear" w:color="auto" w:fill="EBE1D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1641"/>
              </w:rPr>
              <w:t> </w:t>
            </w:r>
          </w:p>
        </w:tc>
        <w:tc>
          <w:tcPr>
            <w:tcW w:w="440" w:type="dxa"/>
            <w:vAlign w:val="bottom"/>
          </w:tcPr>
          <w:p>
            <w:pPr>
              <w:ind w:left="80"/>
              <w:spacing w:after="0"/>
              <w:rPr>
                <w:sz w:val="20"/>
                <w:szCs w:val="20"/>
                <w:color w:val="auto"/>
              </w:rPr>
            </w:pPr>
            <w:r>
              <w:rPr>
                <w:rFonts w:ascii="Arial" w:cs="Arial" w:eastAsia="Arial" w:hAnsi="Arial"/>
                <w:sz w:val="14"/>
                <w:szCs w:val="14"/>
                <w:color w:val="001641"/>
              </w:rPr>
              <w:t> </w:t>
            </w:r>
          </w:p>
        </w:tc>
        <w:tc>
          <w:tcPr>
            <w:tcW w:w="0" w:type="dxa"/>
            <w:vAlign w:val="bottom"/>
          </w:tcPr>
          <w:p>
            <w:pPr>
              <w:spacing w:after="0"/>
              <w:rPr>
                <w:sz w:val="1"/>
                <w:szCs w:val="1"/>
                <w:color w:val="auto"/>
              </w:rPr>
            </w:pPr>
          </w:p>
        </w:tc>
      </w:tr>
      <w:tr>
        <w:trPr>
          <w:trHeight w:val="20"/>
        </w:trPr>
        <w:tc>
          <w:tcPr>
            <w:tcW w:w="80" w:type="dxa"/>
            <w:vAlign w:val="bottom"/>
            <w:shd w:val="clear" w:color="auto" w:fill="001641"/>
          </w:tcPr>
          <w:p>
            <w:pPr>
              <w:spacing w:after="0" w:line="20" w:lineRule="exact"/>
              <w:rPr>
                <w:sz w:val="1"/>
                <w:szCs w:val="1"/>
                <w:color w:val="auto"/>
              </w:rPr>
            </w:pPr>
          </w:p>
        </w:tc>
        <w:tc>
          <w:tcPr>
            <w:tcW w:w="1540" w:type="dxa"/>
            <w:vAlign w:val="bottom"/>
            <w:shd w:val="clear" w:color="auto" w:fill="001641"/>
          </w:tcPr>
          <w:p>
            <w:pPr>
              <w:spacing w:after="0" w:line="20" w:lineRule="exact"/>
              <w:rPr>
                <w:sz w:val="1"/>
                <w:szCs w:val="1"/>
                <w:color w:val="auto"/>
              </w:rPr>
            </w:pPr>
          </w:p>
        </w:tc>
        <w:tc>
          <w:tcPr>
            <w:tcW w:w="460" w:type="dxa"/>
            <w:vAlign w:val="bottom"/>
            <w:shd w:val="clear" w:color="auto" w:fill="001641"/>
          </w:tcPr>
          <w:p>
            <w:pPr>
              <w:spacing w:after="0" w:line="20" w:lineRule="exact"/>
              <w:rPr>
                <w:sz w:val="1"/>
                <w:szCs w:val="1"/>
                <w:color w:val="auto"/>
              </w:rPr>
            </w:pPr>
          </w:p>
        </w:tc>
        <w:tc>
          <w:tcPr>
            <w:tcW w:w="1500" w:type="dxa"/>
            <w:vAlign w:val="bottom"/>
            <w:shd w:val="clear" w:color="auto" w:fill="001641"/>
          </w:tcPr>
          <w:p>
            <w:pPr>
              <w:spacing w:after="0" w:line="20" w:lineRule="exact"/>
              <w:rPr>
                <w:sz w:val="1"/>
                <w:szCs w:val="1"/>
                <w:color w:val="auto"/>
              </w:rPr>
            </w:pPr>
          </w:p>
        </w:tc>
        <w:tc>
          <w:tcPr>
            <w:tcW w:w="560" w:type="dxa"/>
            <w:vAlign w:val="bottom"/>
            <w:shd w:val="clear" w:color="auto" w:fill="001641"/>
          </w:tcPr>
          <w:p>
            <w:pPr>
              <w:spacing w:after="0" w:line="20" w:lineRule="exact"/>
              <w:rPr>
                <w:sz w:val="1"/>
                <w:szCs w:val="1"/>
                <w:color w:val="auto"/>
              </w:rPr>
            </w:pPr>
          </w:p>
        </w:tc>
        <w:tc>
          <w:tcPr>
            <w:tcW w:w="140" w:type="dxa"/>
            <w:vAlign w:val="bottom"/>
            <w:shd w:val="clear" w:color="auto" w:fill="001641"/>
          </w:tcPr>
          <w:p>
            <w:pPr>
              <w:spacing w:after="0" w:line="20" w:lineRule="exact"/>
              <w:rPr>
                <w:sz w:val="1"/>
                <w:szCs w:val="1"/>
                <w:color w:val="auto"/>
              </w:rPr>
            </w:pPr>
          </w:p>
        </w:tc>
        <w:tc>
          <w:tcPr>
            <w:tcW w:w="680" w:type="dxa"/>
            <w:vAlign w:val="bottom"/>
            <w:shd w:val="clear" w:color="auto" w:fill="001641"/>
          </w:tcPr>
          <w:p>
            <w:pPr>
              <w:spacing w:after="0" w:line="20" w:lineRule="exact"/>
              <w:rPr>
                <w:sz w:val="1"/>
                <w:szCs w:val="1"/>
                <w:color w:val="auto"/>
              </w:rPr>
            </w:pPr>
          </w:p>
        </w:tc>
        <w:tc>
          <w:tcPr>
            <w:tcW w:w="1140" w:type="dxa"/>
            <w:vAlign w:val="bottom"/>
            <w:shd w:val="clear" w:color="auto" w:fill="001641"/>
          </w:tcPr>
          <w:p>
            <w:pPr>
              <w:spacing w:after="0" w:line="20" w:lineRule="exact"/>
              <w:rPr>
                <w:sz w:val="1"/>
                <w:szCs w:val="1"/>
                <w:color w:val="auto"/>
              </w:rPr>
            </w:pPr>
          </w:p>
        </w:tc>
        <w:tc>
          <w:tcPr>
            <w:tcW w:w="140" w:type="dxa"/>
            <w:vAlign w:val="bottom"/>
            <w:shd w:val="clear" w:color="auto" w:fill="001641"/>
          </w:tcPr>
          <w:p>
            <w:pPr>
              <w:spacing w:after="0" w:line="20" w:lineRule="exact"/>
              <w:rPr>
                <w:sz w:val="1"/>
                <w:szCs w:val="1"/>
                <w:color w:val="auto"/>
              </w:rPr>
            </w:pPr>
          </w:p>
        </w:tc>
        <w:tc>
          <w:tcPr>
            <w:tcW w:w="1120" w:type="dxa"/>
            <w:vAlign w:val="bottom"/>
            <w:shd w:val="clear" w:color="auto" w:fill="001641"/>
          </w:tcPr>
          <w:p>
            <w:pPr>
              <w:spacing w:after="0" w:line="20" w:lineRule="exact"/>
              <w:rPr>
                <w:sz w:val="1"/>
                <w:szCs w:val="1"/>
                <w:color w:val="auto"/>
              </w:rPr>
            </w:pPr>
          </w:p>
        </w:tc>
        <w:tc>
          <w:tcPr>
            <w:tcW w:w="120" w:type="dxa"/>
            <w:vAlign w:val="bottom"/>
            <w:shd w:val="clear" w:color="auto" w:fill="001641"/>
          </w:tcPr>
          <w:p>
            <w:pPr>
              <w:spacing w:after="0" w:line="20" w:lineRule="exact"/>
              <w:rPr>
                <w:sz w:val="1"/>
                <w:szCs w:val="1"/>
                <w:color w:val="auto"/>
              </w:rPr>
            </w:pPr>
          </w:p>
        </w:tc>
        <w:tc>
          <w:tcPr>
            <w:tcW w:w="220" w:type="dxa"/>
            <w:vAlign w:val="bottom"/>
            <w:shd w:val="clear" w:color="auto" w:fill="001641"/>
          </w:tcPr>
          <w:p>
            <w:pPr>
              <w:spacing w:after="0" w:line="20" w:lineRule="exact"/>
              <w:rPr>
                <w:sz w:val="1"/>
                <w:szCs w:val="1"/>
                <w:color w:val="auto"/>
              </w:rPr>
            </w:pPr>
          </w:p>
        </w:tc>
        <w:tc>
          <w:tcPr>
            <w:tcW w:w="520" w:type="dxa"/>
            <w:vAlign w:val="bottom"/>
            <w:shd w:val="clear" w:color="auto" w:fill="001641"/>
          </w:tcPr>
          <w:p>
            <w:pPr>
              <w:spacing w:after="0" w:line="20" w:lineRule="exact"/>
              <w:rPr>
                <w:sz w:val="1"/>
                <w:szCs w:val="1"/>
                <w:color w:val="auto"/>
              </w:rPr>
            </w:pPr>
          </w:p>
        </w:tc>
        <w:tc>
          <w:tcPr>
            <w:tcW w:w="520" w:type="dxa"/>
            <w:vAlign w:val="bottom"/>
            <w:shd w:val="clear" w:color="auto" w:fill="001641"/>
          </w:tcPr>
          <w:p>
            <w:pPr>
              <w:spacing w:after="0" w:line="20" w:lineRule="exact"/>
              <w:rPr>
                <w:sz w:val="1"/>
                <w:szCs w:val="1"/>
                <w:color w:val="auto"/>
              </w:rPr>
            </w:pPr>
          </w:p>
        </w:tc>
        <w:tc>
          <w:tcPr>
            <w:tcW w:w="440" w:type="dxa"/>
            <w:vAlign w:val="bottom"/>
            <w:shd w:val="clear" w:color="auto" w:fill="00164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4026535</wp:posOffset>
            </wp:positionH>
            <wp:positionV relativeFrom="paragraph">
              <wp:posOffset>-4577080</wp:posOffset>
            </wp:positionV>
            <wp:extent cx="13716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-4577080</wp:posOffset>
            </wp:positionV>
            <wp:extent cx="9398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-4577080</wp:posOffset>
            </wp:positionV>
            <wp:extent cx="9398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-4217035</wp:posOffset>
            </wp:positionV>
            <wp:extent cx="137160"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-4217035</wp:posOffset>
            </wp:positionV>
            <wp:extent cx="9398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5621020</wp:posOffset>
            </wp:positionH>
            <wp:positionV relativeFrom="paragraph">
              <wp:posOffset>-4217035</wp:posOffset>
            </wp:positionV>
            <wp:extent cx="9398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-4217035</wp:posOffset>
            </wp:positionV>
            <wp:extent cx="9398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-3754120</wp:posOffset>
            </wp:positionV>
            <wp:extent cx="13716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5621020</wp:posOffset>
            </wp:positionH>
            <wp:positionV relativeFrom="paragraph">
              <wp:posOffset>-3754120</wp:posOffset>
            </wp:positionV>
            <wp:extent cx="9398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-3754120</wp:posOffset>
            </wp:positionV>
            <wp:extent cx="9398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-2262505</wp:posOffset>
            </wp:positionV>
            <wp:extent cx="137160"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-2262505</wp:posOffset>
            </wp:positionV>
            <wp:extent cx="93980" cy="1282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-2262505</wp:posOffset>
            </wp:positionV>
            <wp:extent cx="93980" cy="1282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-1799590</wp:posOffset>
            </wp:positionV>
            <wp:extent cx="137160" cy="102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-1439545</wp:posOffset>
            </wp:positionV>
            <wp:extent cx="137160" cy="1028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-1439545</wp:posOffset>
            </wp:positionV>
            <wp:extent cx="9398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-1439545</wp:posOffset>
            </wp:positionV>
            <wp:extent cx="9398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-976630</wp:posOffset>
            </wp:positionV>
            <wp:extent cx="137160" cy="1028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-976630</wp:posOffset>
            </wp:positionV>
            <wp:extent cx="9398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5621020</wp:posOffset>
            </wp:positionH>
            <wp:positionV relativeFrom="paragraph">
              <wp:posOffset>-976630</wp:posOffset>
            </wp:positionV>
            <wp:extent cx="9398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-976630</wp:posOffset>
            </wp:positionV>
            <wp:extent cx="9398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-616585</wp:posOffset>
            </wp:positionV>
            <wp:extent cx="13716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-616585</wp:posOffset>
            </wp:positionV>
            <wp:extent cx="9398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-616585</wp:posOffset>
            </wp:positionV>
            <wp:extent cx="9398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-256540</wp:posOffset>
            </wp:positionV>
            <wp:extent cx="137160" cy="102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-256540</wp:posOffset>
            </wp:positionV>
            <wp:extent cx="9398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-256540</wp:posOffset>
            </wp:positionV>
            <wp:extent cx="9398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980" cy="128905"/>
                    </a:xfrm>
                    <a:prstGeom prst="rect">
                      <a:avLst/>
                    </a:prstGeom>
                    <a:noFill/>
                  </pic:spPr>
                </pic:pic>
              </a:graphicData>
            </a:graphic>
          </wp:anchor>
        </w:drawing>
      </w:r>
    </w:p>
    <w:p>
      <w:pPr>
        <w:spacing w:after="0" w:line="133" w:lineRule="exact"/>
        <w:rPr>
          <w:sz w:val="20"/>
          <w:szCs w:val="20"/>
          <w:color w:val="auto"/>
        </w:rPr>
      </w:pPr>
    </w:p>
    <w:p>
      <w:pPr>
        <w:ind w:left="1160" w:right="1140" w:hanging="246"/>
        <w:spacing w:after="0" w:line="263" w:lineRule="auto"/>
        <w:tabs>
          <w:tab w:leader="none" w:pos="1160" w:val="left"/>
        </w:tabs>
        <w:numPr>
          <w:ilvl w:val="0"/>
          <w:numId w:val="8"/>
        </w:numPr>
        <w:rPr>
          <w:rFonts w:ascii="Arial" w:cs="Arial" w:eastAsia="Arial" w:hAnsi="Arial"/>
          <w:sz w:val="14"/>
          <w:szCs w:val="14"/>
          <w:color w:val="4C4C4C"/>
        </w:rPr>
      </w:pPr>
      <w:r>
        <w:rPr>
          <w:rFonts w:ascii="Arial" w:cs="Arial" w:eastAsia="Arial" w:hAnsi="Arial"/>
          <w:sz w:val="14"/>
          <w:szCs w:val="14"/>
          <w:color w:val="4C4C4C"/>
        </w:rPr>
        <w:t>“A” refers to the Audit Committee of the Board (the “Audit Committee”), “T” refers to the Talent, Culture &amp; Total Rewards Committee of the Board (the “Talent Committee”), “N” refers to the Nominating, Governance, Citizenship &amp; Sustainability Committee of the Board (the “Nominating Committee”), and “F” refers to the Finance Committee of the Board (the “Finance Committee”).</w:t>
      </w:r>
    </w:p>
    <w:p>
      <w:pPr>
        <w:spacing w:after="0" w:line="10" w:lineRule="exact"/>
        <w:rPr>
          <w:rFonts w:ascii="Arial" w:cs="Arial" w:eastAsia="Arial" w:hAnsi="Arial"/>
          <w:sz w:val="14"/>
          <w:szCs w:val="14"/>
          <w:color w:val="4C4C4C"/>
        </w:rPr>
      </w:pPr>
    </w:p>
    <w:p>
      <w:pPr>
        <w:ind w:left="1160" w:hanging="246"/>
        <w:spacing w:after="0"/>
        <w:tabs>
          <w:tab w:leader="none" w:pos="1160" w:val="left"/>
        </w:tabs>
        <w:numPr>
          <w:ilvl w:val="0"/>
          <w:numId w:val="8"/>
        </w:numPr>
        <w:rPr>
          <w:rFonts w:ascii="Arial" w:cs="Arial" w:eastAsia="Arial" w:hAnsi="Arial"/>
          <w:sz w:val="14"/>
          <w:szCs w:val="14"/>
          <w:color w:val="4C4C4C"/>
        </w:rPr>
      </w:pPr>
      <w:r>
        <w:rPr>
          <w:rFonts w:ascii="Arial" w:cs="Arial" w:eastAsia="Arial" w:hAnsi="Arial"/>
          <w:sz w:val="14"/>
          <w:szCs w:val="14"/>
          <w:color w:val="4C4C4C"/>
        </w:rPr>
        <w:t>As Lead Independent Director, Ms. Ahrendts is invited to attend all Committee meetings.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4C4C4C"/>
              </w:rPr>
              <w:t> </w:t>
            </w:r>
          </w:p>
        </w:tc>
        <w:tc>
          <w:tcPr>
            <w:tcW w:w="880" w:type="dxa"/>
            <w:vAlign w:val="bottom"/>
            <w:vMerge w:val="restart"/>
          </w:tcPr>
          <w:p>
            <w:pPr>
              <w:ind w:left="40"/>
              <w:spacing w:after="0"/>
              <w:rPr>
                <w:sz w:val="20"/>
                <w:szCs w:val="20"/>
                <w:color w:val="auto"/>
              </w:rPr>
            </w:pPr>
            <w:r>
              <w:rPr>
                <w:rFonts w:ascii="Arial" w:cs="Arial" w:eastAsia="Arial" w:hAnsi="Arial"/>
                <w:sz w:val="14"/>
                <w:szCs w:val="14"/>
                <w:color w:val="4C4C4C"/>
              </w:rPr>
              <w:t xml:space="preserve">  Chair       </w:t>
            </w:r>
          </w:p>
        </w:tc>
        <w:tc>
          <w:tcPr>
            <w:tcW w:w="4660" w:type="dxa"/>
            <w:vAlign w:val="bottom"/>
          </w:tcPr>
          <w:p>
            <w:pPr>
              <w:ind w:left="140"/>
              <w:spacing w:after="0"/>
              <w:rPr>
                <w:sz w:val="20"/>
                <w:szCs w:val="20"/>
                <w:color w:val="auto"/>
              </w:rPr>
            </w:pPr>
            <w:r>
              <w:rPr>
                <w:rFonts w:ascii="Arial" w:cs="Arial" w:eastAsia="Arial" w:hAnsi="Arial"/>
                <w:sz w:val="14"/>
                <w:szCs w:val="14"/>
                <w:color w:val="4C4C4C"/>
              </w:rPr>
              <w:t> </w:t>
            </w:r>
          </w:p>
        </w:tc>
        <w:tc>
          <w:tcPr>
            <w:tcW w:w="3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660" w:type="dxa"/>
            <w:vAlign w:val="bottom"/>
          </w:tcPr>
          <w:p>
            <w:pPr>
              <w:ind w:left="280"/>
              <w:spacing w:after="0"/>
              <w:rPr>
                <w:sz w:val="20"/>
                <w:szCs w:val="20"/>
                <w:color w:val="auto"/>
              </w:rPr>
            </w:pPr>
            <w:r>
              <w:rPr>
                <w:rFonts w:ascii="Arial" w:cs="Arial" w:eastAsia="Arial" w:hAnsi="Arial"/>
                <w:sz w:val="14"/>
                <w:szCs w:val="14"/>
                <w:color w:val="4C4C4C"/>
              </w:rPr>
              <w:t>  Member</w:t>
            </w:r>
          </w:p>
        </w:tc>
        <w:tc>
          <w:tcPr>
            <w:tcW w:w="3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920" w:type="dxa"/>
            <w:vAlign w:val="bottom"/>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540" w:type="dxa"/>
            <w:vAlign w:val="bottom"/>
            <w:tcBorders>
              <w:bottom w:val="single" w:sz="8" w:color="808080"/>
            </w:tcBorders>
            <w:gridSpan w:val="2"/>
          </w:tcPr>
          <w:p>
            <w:pPr>
              <w:spacing w:after="0"/>
              <w:rPr>
                <w:sz w:val="17"/>
                <w:szCs w:val="17"/>
                <w:color w:val="auto"/>
              </w:rPr>
            </w:pPr>
          </w:p>
        </w:tc>
        <w:tc>
          <w:tcPr>
            <w:tcW w:w="3400" w:type="dxa"/>
            <w:vAlign w:val="bottom"/>
            <w:tcBorders>
              <w:bottom w:val="single" w:sz="8" w:color="808080"/>
            </w:tcBorders>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92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001641"/>
                <w:w w:val="76"/>
              </w:rPr>
              <w:t>4</w:t>
            </w:r>
          </w:p>
        </w:tc>
        <w:tc>
          <w:tcPr>
            <w:tcW w:w="5540" w:type="dxa"/>
            <w:vAlign w:val="bottom"/>
            <w:gridSpan w:val="2"/>
          </w:tcPr>
          <w:p>
            <w:pPr>
              <w:ind w:left="60"/>
              <w:spacing w:after="0"/>
              <w:rPr>
                <w:sz w:val="20"/>
                <w:szCs w:val="20"/>
                <w:color w:val="auto"/>
              </w:rPr>
            </w:pPr>
            <w:r>
              <w:rPr>
                <w:rFonts w:ascii="Arial" w:cs="Arial" w:eastAsia="Arial" w:hAnsi="Arial"/>
                <w:sz w:val="14"/>
                <w:szCs w:val="14"/>
                <w:color w:val="808080"/>
              </w:rPr>
              <w:t>Ralph Lauren 2026 Proxy Statement</w:t>
            </w:r>
          </w:p>
        </w:tc>
        <w:tc>
          <w:tcPr>
            <w:tcW w:w="3400" w:type="dxa"/>
            <w:vAlign w:val="bottom"/>
          </w:tcPr>
          <w:p>
            <w:pPr>
              <w:ind w:left="3180"/>
              <w:spacing w:after="0"/>
              <w:rPr>
                <w:sz w:val="20"/>
                <w:szCs w:val="20"/>
                <w:color w:val="auto"/>
              </w:rPr>
            </w:pPr>
            <w:r>
              <w:rPr>
                <w:rFonts w:ascii="Arial" w:cs="Arial" w:eastAsia="Arial" w:hAnsi="Arial"/>
                <w:sz w:val="14"/>
                <w:szCs w:val="14"/>
                <w:color w:val="808080"/>
              </w:rPr>
              <w:t xml:space="preserve">    </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66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-676910</wp:posOffset>
            </wp:positionV>
            <wp:extent cx="9461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-676910</wp:posOffset>
            </wp:positionV>
            <wp:extent cx="9461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-256540</wp:posOffset>
            </wp:positionV>
            <wp:extent cx="128905" cy="1111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DIRECTOR NOMINEES HIGHLIGHTS</w:t>
      </w:r>
    </w:p>
    <w:p>
      <w:pPr>
        <w:spacing w:after="0" w:line="15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As presented in the chart below, we believe our Board nominees offer a broad range of key skills and experiences to provide effective oversight of the Company and create long-term sustainable growth for our Company through successful execution of the Company’s strategic plan. Below is a high-level summary which highlights certain of the Board nominees’ skills, qualifications and experiences and is not intended to be an exhaustive list of each director nominee’s contributions to the Board. A diversity matrix is also provided.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BALANCED MIX OF SKILLS, QUALIFICATIONS AND EXPERIENCE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40" w:type="dxa"/>
            <w:vAlign w:val="bottom"/>
            <w:shd w:val="clear" w:color="auto" w:fill="001641"/>
          </w:tcPr>
          <w:p>
            <w:pPr>
              <w:spacing w:after="0"/>
              <w:rPr>
                <w:sz w:val="16"/>
                <w:szCs w:val="16"/>
                <w:color w:val="auto"/>
              </w:rPr>
            </w:pPr>
          </w:p>
        </w:tc>
        <w:tc>
          <w:tcPr>
            <w:tcW w:w="720" w:type="dxa"/>
            <w:vAlign w:val="bottom"/>
            <w:vMerge w:val="restart"/>
            <w:shd w:val="clear" w:color="auto" w:fill="001641"/>
          </w:tcPr>
          <w:p>
            <w:pPr>
              <w:jc w:val="center"/>
              <w:spacing w:after="0"/>
              <w:rPr>
                <w:sz w:val="20"/>
                <w:szCs w:val="20"/>
                <w:color w:val="auto"/>
              </w:rPr>
            </w:pPr>
            <w:r>
              <w:rPr>
                <w:rFonts w:ascii="Arial" w:cs="Arial" w:eastAsia="Arial" w:hAnsi="Arial"/>
                <w:sz w:val="13"/>
                <w:szCs w:val="13"/>
                <w:b w:val="1"/>
                <w:bCs w:val="1"/>
                <w:color w:val="FFFFFF"/>
                <w:w w:val="96"/>
              </w:rPr>
              <w:t>Angela</w:t>
            </w:r>
          </w:p>
        </w:tc>
        <w:tc>
          <w:tcPr>
            <w:tcW w:w="720" w:type="dxa"/>
            <w:vAlign w:val="bottom"/>
            <w:shd w:val="clear" w:color="auto" w:fill="001641"/>
          </w:tcPr>
          <w:p>
            <w:pPr>
              <w:jc w:val="center"/>
              <w:spacing w:after="0"/>
              <w:rPr>
                <w:sz w:val="20"/>
                <w:szCs w:val="20"/>
                <w:color w:val="auto"/>
              </w:rPr>
            </w:pPr>
            <w:r>
              <w:rPr>
                <w:rFonts w:ascii="Arial" w:cs="Arial" w:eastAsia="Arial" w:hAnsi="Arial"/>
                <w:sz w:val="13"/>
                <w:szCs w:val="13"/>
                <w:b w:val="1"/>
                <w:bCs w:val="1"/>
                <w:color w:val="FFFFFF"/>
                <w:w w:val="96"/>
              </w:rPr>
              <w:t>Frank A.</w:t>
            </w:r>
          </w:p>
        </w:tc>
        <w:tc>
          <w:tcPr>
            <w:tcW w:w="540" w:type="dxa"/>
            <w:vAlign w:val="bottom"/>
            <w:vMerge w:val="restart"/>
            <w:shd w:val="clear" w:color="auto" w:fill="001641"/>
          </w:tcPr>
          <w:p>
            <w:pPr>
              <w:ind w:left="80"/>
              <w:spacing w:after="0"/>
              <w:rPr>
                <w:sz w:val="20"/>
                <w:szCs w:val="20"/>
                <w:color w:val="auto"/>
              </w:rPr>
            </w:pPr>
            <w:r>
              <w:rPr>
                <w:rFonts w:ascii="Arial" w:cs="Arial" w:eastAsia="Arial" w:hAnsi="Arial"/>
                <w:sz w:val="13"/>
                <w:szCs w:val="13"/>
                <w:b w:val="1"/>
                <w:bCs w:val="1"/>
                <w:color w:val="FFFFFF"/>
              </w:rPr>
              <w:t>Cesar</w:t>
            </w:r>
          </w:p>
        </w:tc>
        <w:tc>
          <w:tcPr>
            <w:tcW w:w="520" w:type="dxa"/>
            <w:vAlign w:val="bottom"/>
            <w:vMerge w:val="restart"/>
            <w:shd w:val="clear" w:color="auto" w:fill="001641"/>
          </w:tcPr>
          <w:p>
            <w:pPr>
              <w:ind w:left="80"/>
              <w:spacing w:after="0"/>
              <w:rPr>
                <w:sz w:val="20"/>
                <w:szCs w:val="20"/>
                <w:color w:val="auto"/>
              </w:rPr>
            </w:pPr>
            <w:r>
              <w:rPr>
                <w:rFonts w:ascii="Arial" w:cs="Arial" w:eastAsia="Arial" w:hAnsi="Arial"/>
                <w:sz w:val="13"/>
                <w:szCs w:val="13"/>
                <w:b w:val="1"/>
                <w:bCs w:val="1"/>
                <w:color w:val="FFFFFF"/>
              </w:rPr>
              <w:t>Debra</w:t>
            </w:r>
          </w:p>
        </w:tc>
        <w:tc>
          <w:tcPr>
            <w:tcW w:w="620" w:type="dxa"/>
            <w:vAlign w:val="bottom"/>
            <w:vMerge w:val="restart"/>
            <w:shd w:val="clear" w:color="auto" w:fill="001641"/>
          </w:tcPr>
          <w:p>
            <w:pPr>
              <w:jc w:val="center"/>
              <w:spacing w:after="0"/>
              <w:rPr>
                <w:sz w:val="20"/>
                <w:szCs w:val="20"/>
                <w:color w:val="auto"/>
              </w:rPr>
            </w:pPr>
            <w:r>
              <w:rPr>
                <w:rFonts w:ascii="Arial" w:cs="Arial" w:eastAsia="Arial" w:hAnsi="Arial"/>
                <w:sz w:val="13"/>
                <w:szCs w:val="13"/>
                <w:b w:val="1"/>
                <w:bCs w:val="1"/>
                <w:color w:val="FFFFFF"/>
                <w:w w:val="92"/>
              </w:rPr>
              <w:t>Linda</w:t>
            </w:r>
          </w:p>
        </w:tc>
        <w:tc>
          <w:tcPr>
            <w:tcW w:w="660" w:type="dxa"/>
            <w:vAlign w:val="bottom"/>
            <w:shd w:val="clear" w:color="auto" w:fill="001641"/>
          </w:tcPr>
          <w:p>
            <w:pPr>
              <w:jc w:val="center"/>
              <w:spacing w:after="0"/>
              <w:rPr>
                <w:sz w:val="20"/>
                <w:szCs w:val="20"/>
                <w:color w:val="auto"/>
              </w:rPr>
            </w:pPr>
            <w:r>
              <w:rPr>
                <w:rFonts w:ascii="Arial" w:cs="Arial" w:eastAsia="Arial" w:hAnsi="Arial"/>
                <w:sz w:val="13"/>
                <w:szCs w:val="13"/>
                <w:b w:val="1"/>
                <w:bCs w:val="1"/>
                <w:color w:val="FFFFFF"/>
                <w:w w:val="96"/>
              </w:rPr>
              <w:t>Michael</w:t>
            </w:r>
          </w:p>
        </w:tc>
        <w:tc>
          <w:tcPr>
            <w:tcW w:w="580" w:type="dxa"/>
            <w:vAlign w:val="bottom"/>
            <w:vMerge w:val="restart"/>
            <w:shd w:val="clear" w:color="auto" w:fill="001641"/>
          </w:tcPr>
          <w:p>
            <w:pPr>
              <w:jc w:val="right"/>
              <w:ind w:right="17"/>
              <w:spacing w:after="0"/>
              <w:rPr>
                <w:sz w:val="20"/>
                <w:szCs w:val="20"/>
                <w:color w:val="auto"/>
              </w:rPr>
            </w:pPr>
            <w:r>
              <w:rPr>
                <w:rFonts w:ascii="Arial" w:cs="Arial" w:eastAsia="Arial" w:hAnsi="Arial"/>
                <w:sz w:val="13"/>
                <w:szCs w:val="13"/>
                <w:b w:val="1"/>
                <w:bCs w:val="1"/>
                <w:color w:val="FFFFFF"/>
              </w:rPr>
              <w:t>Valerie</w:t>
            </w:r>
          </w:p>
        </w:tc>
        <w:tc>
          <w:tcPr>
            <w:tcW w:w="600" w:type="dxa"/>
            <w:vAlign w:val="bottom"/>
            <w:vMerge w:val="restart"/>
            <w:shd w:val="clear" w:color="auto" w:fill="001641"/>
          </w:tcPr>
          <w:p>
            <w:pPr>
              <w:ind w:left="120"/>
              <w:spacing w:after="0"/>
              <w:rPr>
                <w:sz w:val="20"/>
                <w:szCs w:val="20"/>
                <w:color w:val="auto"/>
              </w:rPr>
            </w:pPr>
            <w:r>
              <w:rPr>
                <w:rFonts w:ascii="Arial" w:cs="Arial" w:eastAsia="Arial" w:hAnsi="Arial"/>
                <w:sz w:val="13"/>
                <w:szCs w:val="13"/>
                <w:b w:val="1"/>
                <w:bCs w:val="1"/>
                <w:color w:val="FFFFFF"/>
              </w:rPr>
              <w:t>David</w:t>
            </w:r>
          </w:p>
        </w:tc>
        <w:tc>
          <w:tcPr>
            <w:tcW w:w="600" w:type="dxa"/>
            <w:vAlign w:val="bottom"/>
            <w:vMerge w:val="restart"/>
            <w:shd w:val="clear" w:color="auto" w:fill="001641"/>
          </w:tcPr>
          <w:p>
            <w:pPr>
              <w:ind w:left="120"/>
              <w:spacing w:after="0"/>
              <w:rPr>
                <w:sz w:val="20"/>
                <w:szCs w:val="20"/>
                <w:color w:val="auto"/>
              </w:rPr>
            </w:pPr>
            <w:r>
              <w:rPr>
                <w:rFonts w:ascii="Arial" w:cs="Arial" w:eastAsia="Arial" w:hAnsi="Arial"/>
                <w:sz w:val="13"/>
                <w:szCs w:val="13"/>
                <w:b w:val="1"/>
                <w:bCs w:val="1"/>
                <w:color w:val="FFFFFF"/>
              </w:rPr>
              <w:t>Ralph</w:t>
            </w:r>
          </w:p>
        </w:tc>
        <w:tc>
          <w:tcPr>
            <w:tcW w:w="600" w:type="dxa"/>
            <w:vAlign w:val="bottom"/>
            <w:vMerge w:val="restart"/>
            <w:shd w:val="clear" w:color="auto" w:fill="001641"/>
          </w:tcPr>
          <w:p>
            <w:pPr>
              <w:ind w:left="80"/>
              <w:spacing w:after="0"/>
              <w:rPr>
                <w:sz w:val="20"/>
                <w:szCs w:val="20"/>
                <w:color w:val="auto"/>
              </w:rPr>
            </w:pPr>
            <w:r>
              <w:rPr>
                <w:rFonts w:ascii="Arial" w:cs="Arial" w:eastAsia="Arial" w:hAnsi="Arial"/>
                <w:sz w:val="13"/>
                <w:szCs w:val="13"/>
                <w:b w:val="1"/>
                <w:bCs w:val="1"/>
                <w:color w:val="FFFFFF"/>
              </w:rPr>
              <w:t>Patrice</w:t>
            </w:r>
          </w:p>
        </w:tc>
        <w:tc>
          <w:tcPr>
            <w:tcW w:w="580" w:type="dxa"/>
            <w:vAlign w:val="bottom"/>
            <w:vMerge w:val="restart"/>
            <w:shd w:val="clear" w:color="auto" w:fill="001641"/>
          </w:tcPr>
          <w:p>
            <w:pPr>
              <w:ind w:left="80"/>
              <w:spacing w:after="0"/>
              <w:rPr>
                <w:sz w:val="20"/>
                <w:szCs w:val="20"/>
                <w:color w:val="auto"/>
              </w:rPr>
            </w:pPr>
            <w:r>
              <w:rPr>
                <w:rFonts w:ascii="Arial" w:cs="Arial" w:eastAsia="Arial" w:hAnsi="Arial"/>
                <w:sz w:val="13"/>
                <w:szCs w:val="13"/>
                <w:b w:val="1"/>
                <w:bCs w:val="1"/>
                <w:color w:val="FFFFFF"/>
              </w:rPr>
              <w:t>Darren</w:t>
            </w:r>
          </w:p>
        </w:tc>
        <w:tc>
          <w:tcPr>
            <w:tcW w:w="500" w:type="dxa"/>
            <w:vAlign w:val="bottom"/>
            <w:vMerge w:val="restart"/>
            <w:shd w:val="clear" w:color="auto" w:fill="001641"/>
          </w:tcPr>
          <w:p>
            <w:pPr>
              <w:ind w:left="160"/>
              <w:spacing w:after="0"/>
              <w:rPr>
                <w:sz w:val="20"/>
                <w:szCs w:val="20"/>
                <w:color w:val="auto"/>
              </w:rPr>
            </w:pPr>
            <w:r>
              <w:rPr>
                <w:rFonts w:ascii="Arial" w:cs="Arial" w:eastAsia="Arial" w:hAnsi="Arial"/>
                <w:sz w:val="13"/>
                <w:szCs w:val="13"/>
                <w:b w:val="1"/>
                <w:bCs w:val="1"/>
                <w:color w:val="FFFFFF"/>
              </w:rPr>
              <w:t>Wei</w:t>
            </w:r>
          </w:p>
        </w:tc>
        <w:tc>
          <w:tcPr>
            <w:tcW w:w="0" w:type="dxa"/>
            <w:vAlign w:val="bottom"/>
          </w:tcPr>
          <w:p>
            <w:pPr>
              <w:spacing w:after="0"/>
              <w:rPr>
                <w:sz w:val="1"/>
                <w:szCs w:val="1"/>
                <w:color w:val="auto"/>
              </w:rPr>
            </w:pPr>
          </w:p>
        </w:tc>
      </w:tr>
      <w:tr>
        <w:trPr>
          <w:trHeight w:val="68"/>
        </w:trPr>
        <w:tc>
          <w:tcPr>
            <w:tcW w:w="1940" w:type="dxa"/>
            <w:vAlign w:val="bottom"/>
            <w:shd w:val="clear" w:color="auto" w:fill="001641"/>
          </w:tcPr>
          <w:p>
            <w:pPr>
              <w:spacing w:after="0"/>
              <w:rPr>
                <w:sz w:val="5"/>
                <w:szCs w:val="5"/>
                <w:color w:val="auto"/>
              </w:rPr>
            </w:pPr>
          </w:p>
        </w:tc>
        <w:tc>
          <w:tcPr>
            <w:tcW w:w="720" w:type="dxa"/>
            <w:vAlign w:val="bottom"/>
            <w:vMerge w:val="continue"/>
            <w:shd w:val="clear" w:color="auto" w:fill="001641"/>
          </w:tcPr>
          <w:p>
            <w:pPr>
              <w:spacing w:after="0"/>
              <w:rPr>
                <w:sz w:val="5"/>
                <w:szCs w:val="5"/>
                <w:color w:val="auto"/>
              </w:rPr>
            </w:pPr>
          </w:p>
        </w:tc>
        <w:tc>
          <w:tcPr>
            <w:tcW w:w="720" w:type="dxa"/>
            <w:vAlign w:val="bottom"/>
            <w:vMerge w:val="restart"/>
            <w:shd w:val="clear" w:color="auto" w:fill="001641"/>
          </w:tcPr>
          <w:p>
            <w:pPr>
              <w:jc w:val="center"/>
              <w:spacing w:after="0" w:line="135" w:lineRule="exact"/>
              <w:rPr>
                <w:sz w:val="20"/>
                <w:szCs w:val="20"/>
                <w:color w:val="auto"/>
              </w:rPr>
            </w:pPr>
            <w:r>
              <w:rPr>
                <w:rFonts w:ascii="Arial" w:cs="Arial" w:eastAsia="Arial" w:hAnsi="Arial"/>
                <w:sz w:val="13"/>
                <w:szCs w:val="13"/>
                <w:b w:val="1"/>
                <w:bCs w:val="1"/>
                <w:color w:val="FFFFFF"/>
                <w:w w:val="96"/>
              </w:rPr>
              <w:t>Bennack,</w:t>
            </w:r>
          </w:p>
        </w:tc>
        <w:tc>
          <w:tcPr>
            <w:tcW w:w="540" w:type="dxa"/>
            <w:vAlign w:val="bottom"/>
            <w:vMerge w:val="continue"/>
            <w:shd w:val="clear" w:color="auto" w:fill="001641"/>
          </w:tcPr>
          <w:p>
            <w:pPr>
              <w:spacing w:after="0"/>
              <w:rPr>
                <w:sz w:val="5"/>
                <w:szCs w:val="5"/>
                <w:color w:val="auto"/>
              </w:rPr>
            </w:pPr>
          </w:p>
        </w:tc>
        <w:tc>
          <w:tcPr>
            <w:tcW w:w="520" w:type="dxa"/>
            <w:vAlign w:val="bottom"/>
            <w:vMerge w:val="continue"/>
            <w:shd w:val="clear" w:color="auto" w:fill="001641"/>
          </w:tcPr>
          <w:p>
            <w:pPr>
              <w:spacing w:after="0"/>
              <w:rPr>
                <w:sz w:val="5"/>
                <w:szCs w:val="5"/>
                <w:color w:val="auto"/>
              </w:rPr>
            </w:pPr>
          </w:p>
        </w:tc>
        <w:tc>
          <w:tcPr>
            <w:tcW w:w="620" w:type="dxa"/>
            <w:vAlign w:val="bottom"/>
            <w:vMerge w:val="continue"/>
            <w:shd w:val="clear" w:color="auto" w:fill="001641"/>
          </w:tcPr>
          <w:p>
            <w:pPr>
              <w:spacing w:after="0"/>
              <w:rPr>
                <w:sz w:val="5"/>
                <w:szCs w:val="5"/>
                <w:color w:val="auto"/>
              </w:rPr>
            </w:pPr>
          </w:p>
        </w:tc>
        <w:tc>
          <w:tcPr>
            <w:tcW w:w="660" w:type="dxa"/>
            <w:vAlign w:val="bottom"/>
            <w:vMerge w:val="restart"/>
            <w:shd w:val="clear" w:color="auto" w:fill="001641"/>
          </w:tcPr>
          <w:p>
            <w:pPr>
              <w:jc w:val="center"/>
              <w:spacing w:after="0" w:line="135" w:lineRule="exact"/>
              <w:rPr>
                <w:sz w:val="20"/>
                <w:szCs w:val="20"/>
                <w:color w:val="auto"/>
              </w:rPr>
            </w:pPr>
            <w:r>
              <w:rPr>
                <w:rFonts w:ascii="Arial" w:cs="Arial" w:eastAsia="Arial" w:hAnsi="Arial"/>
                <w:sz w:val="13"/>
                <w:szCs w:val="13"/>
                <w:b w:val="1"/>
                <w:bCs w:val="1"/>
                <w:color w:val="FFFFFF"/>
              </w:rPr>
              <w:t>A.</w:t>
            </w:r>
          </w:p>
        </w:tc>
        <w:tc>
          <w:tcPr>
            <w:tcW w:w="580" w:type="dxa"/>
            <w:vAlign w:val="bottom"/>
            <w:vMerge w:val="continue"/>
            <w:shd w:val="clear" w:color="auto" w:fill="001641"/>
          </w:tcPr>
          <w:p>
            <w:pPr>
              <w:spacing w:after="0"/>
              <w:rPr>
                <w:sz w:val="5"/>
                <w:szCs w:val="5"/>
                <w:color w:val="auto"/>
              </w:rPr>
            </w:pPr>
          </w:p>
        </w:tc>
        <w:tc>
          <w:tcPr>
            <w:tcW w:w="600" w:type="dxa"/>
            <w:vAlign w:val="bottom"/>
            <w:vMerge w:val="continue"/>
            <w:shd w:val="clear" w:color="auto" w:fill="001641"/>
          </w:tcPr>
          <w:p>
            <w:pPr>
              <w:spacing w:after="0"/>
              <w:rPr>
                <w:sz w:val="5"/>
                <w:szCs w:val="5"/>
                <w:color w:val="auto"/>
              </w:rPr>
            </w:pPr>
          </w:p>
        </w:tc>
        <w:tc>
          <w:tcPr>
            <w:tcW w:w="600" w:type="dxa"/>
            <w:vAlign w:val="bottom"/>
            <w:vMerge w:val="continue"/>
            <w:shd w:val="clear" w:color="auto" w:fill="001641"/>
          </w:tcPr>
          <w:p>
            <w:pPr>
              <w:spacing w:after="0"/>
              <w:rPr>
                <w:sz w:val="5"/>
                <w:szCs w:val="5"/>
                <w:color w:val="auto"/>
              </w:rPr>
            </w:pPr>
          </w:p>
        </w:tc>
        <w:tc>
          <w:tcPr>
            <w:tcW w:w="600" w:type="dxa"/>
            <w:vAlign w:val="bottom"/>
            <w:vMerge w:val="continue"/>
            <w:shd w:val="clear" w:color="auto" w:fill="001641"/>
          </w:tcPr>
          <w:p>
            <w:pPr>
              <w:spacing w:after="0"/>
              <w:rPr>
                <w:sz w:val="5"/>
                <w:szCs w:val="5"/>
                <w:color w:val="auto"/>
              </w:rPr>
            </w:pPr>
          </w:p>
        </w:tc>
        <w:tc>
          <w:tcPr>
            <w:tcW w:w="580" w:type="dxa"/>
            <w:vAlign w:val="bottom"/>
            <w:vMerge w:val="continue"/>
            <w:shd w:val="clear" w:color="auto" w:fill="001641"/>
          </w:tcPr>
          <w:p>
            <w:pPr>
              <w:spacing w:after="0"/>
              <w:rPr>
                <w:sz w:val="5"/>
                <w:szCs w:val="5"/>
                <w:color w:val="auto"/>
              </w:rPr>
            </w:pPr>
          </w:p>
        </w:tc>
        <w:tc>
          <w:tcPr>
            <w:tcW w:w="500" w:type="dxa"/>
            <w:vAlign w:val="bottom"/>
            <w:vMerge w:val="continue"/>
            <w:shd w:val="clear" w:color="auto" w:fill="001641"/>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940" w:type="dxa"/>
            <w:vAlign w:val="bottom"/>
            <w:shd w:val="clear" w:color="auto" w:fill="001641"/>
          </w:tcPr>
          <w:p>
            <w:pPr>
              <w:spacing w:after="0"/>
              <w:rPr>
                <w:sz w:val="5"/>
                <w:szCs w:val="5"/>
                <w:color w:val="auto"/>
              </w:rPr>
            </w:pPr>
          </w:p>
        </w:tc>
        <w:tc>
          <w:tcPr>
            <w:tcW w:w="720" w:type="dxa"/>
            <w:vAlign w:val="bottom"/>
            <w:vMerge w:val="restart"/>
            <w:shd w:val="clear" w:color="auto" w:fill="001641"/>
          </w:tcPr>
          <w:p>
            <w:pPr>
              <w:jc w:val="center"/>
              <w:spacing w:after="0"/>
              <w:rPr>
                <w:sz w:val="20"/>
                <w:szCs w:val="20"/>
                <w:color w:val="auto"/>
              </w:rPr>
            </w:pPr>
            <w:r>
              <w:rPr>
                <w:rFonts w:ascii="Arial" w:cs="Arial" w:eastAsia="Arial" w:hAnsi="Arial"/>
                <w:sz w:val="13"/>
                <w:szCs w:val="13"/>
                <w:b w:val="1"/>
                <w:bCs w:val="1"/>
                <w:color w:val="FFFFFF"/>
                <w:w w:val="98"/>
              </w:rPr>
              <w:t>Ahrendts</w:t>
            </w:r>
          </w:p>
        </w:tc>
        <w:tc>
          <w:tcPr>
            <w:tcW w:w="720" w:type="dxa"/>
            <w:vAlign w:val="bottom"/>
            <w:vMerge w:val="continue"/>
            <w:shd w:val="clear" w:color="auto" w:fill="001641"/>
          </w:tcPr>
          <w:p>
            <w:pPr>
              <w:spacing w:after="0"/>
              <w:rPr>
                <w:sz w:val="5"/>
                <w:szCs w:val="5"/>
                <w:color w:val="auto"/>
              </w:rPr>
            </w:pPr>
          </w:p>
        </w:tc>
        <w:tc>
          <w:tcPr>
            <w:tcW w:w="540" w:type="dxa"/>
            <w:vAlign w:val="bottom"/>
            <w:vMerge w:val="restart"/>
            <w:shd w:val="clear" w:color="auto" w:fill="001641"/>
          </w:tcPr>
          <w:p>
            <w:pPr>
              <w:ind w:left="80"/>
              <w:spacing w:after="0"/>
              <w:rPr>
                <w:sz w:val="20"/>
                <w:szCs w:val="20"/>
                <w:color w:val="auto"/>
              </w:rPr>
            </w:pPr>
            <w:r>
              <w:rPr>
                <w:rFonts w:ascii="Arial" w:cs="Arial" w:eastAsia="Arial" w:hAnsi="Arial"/>
                <w:sz w:val="13"/>
                <w:szCs w:val="13"/>
                <w:b w:val="1"/>
                <w:bCs w:val="1"/>
                <w:color w:val="FFFFFF"/>
              </w:rPr>
              <w:t>Conde</w:t>
            </w:r>
          </w:p>
        </w:tc>
        <w:tc>
          <w:tcPr>
            <w:tcW w:w="520" w:type="dxa"/>
            <w:vAlign w:val="bottom"/>
            <w:vMerge w:val="restart"/>
            <w:shd w:val="clear" w:color="auto" w:fill="001641"/>
          </w:tcPr>
          <w:p>
            <w:pPr>
              <w:ind w:left="100"/>
              <w:spacing w:after="0"/>
              <w:rPr>
                <w:sz w:val="20"/>
                <w:szCs w:val="20"/>
                <w:color w:val="auto"/>
              </w:rPr>
            </w:pPr>
            <w:r>
              <w:rPr>
                <w:rFonts w:ascii="Arial" w:cs="Arial" w:eastAsia="Arial" w:hAnsi="Arial"/>
                <w:sz w:val="13"/>
                <w:szCs w:val="13"/>
                <w:b w:val="1"/>
                <w:bCs w:val="1"/>
                <w:color w:val="FFFFFF"/>
              </w:rPr>
              <w:t>Cupp</w:t>
            </w:r>
          </w:p>
        </w:tc>
        <w:tc>
          <w:tcPr>
            <w:tcW w:w="620" w:type="dxa"/>
            <w:vAlign w:val="bottom"/>
            <w:vMerge w:val="restart"/>
            <w:shd w:val="clear" w:color="auto" w:fill="001641"/>
          </w:tcPr>
          <w:p>
            <w:pPr>
              <w:jc w:val="center"/>
              <w:spacing w:after="0"/>
              <w:rPr>
                <w:sz w:val="20"/>
                <w:szCs w:val="20"/>
                <w:color w:val="auto"/>
              </w:rPr>
            </w:pPr>
            <w:r>
              <w:rPr>
                <w:rFonts w:ascii="Arial" w:cs="Arial" w:eastAsia="Arial" w:hAnsi="Arial"/>
                <w:sz w:val="13"/>
                <w:szCs w:val="13"/>
                <w:b w:val="1"/>
                <w:bCs w:val="1"/>
                <w:color w:val="FFFFFF"/>
                <w:w w:val="96"/>
              </w:rPr>
              <w:t>Findley</w:t>
            </w:r>
          </w:p>
        </w:tc>
        <w:tc>
          <w:tcPr>
            <w:tcW w:w="660" w:type="dxa"/>
            <w:vAlign w:val="bottom"/>
            <w:vMerge w:val="continue"/>
            <w:shd w:val="clear" w:color="auto" w:fill="001641"/>
          </w:tcPr>
          <w:p>
            <w:pPr>
              <w:spacing w:after="0"/>
              <w:rPr>
                <w:sz w:val="5"/>
                <w:szCs w:val="5"/>
                <w:color w:val="auto"/>
              </w:rPr>
            </w:pPr>
          </w:p>
        </w:tc>
        <w:tc>
          <w:tcPr>
            <w:tcW w:w="580" w:type="dxa"/>
            <w:vAlign w:val="bottom"/>
            <w:vMerge w:val="restart"/>
            <w:shd w:val="clear" w:color="auto" w:fill="001641"/>
          </w:tcPr>
          <w:p>
            <w:pPr>
              <w:jc w:val="right"/>
              <w:ind w:right="17"/>
              <w:spacing w:after="0"/>
              <w:rPr>
                <w:sz w:val="20"/>
                <w:szCs w:val="20"/>
                <w:color w:val="auto"/>
              </w:rPr>
            </w:pPr>
            <w:r>
              <w:rPr>
                <w:rFonts w:ascii="Arial" w:cs="Arial" w:eastAsia="Arial" w:hAnsi="Arial"/>
                <w:sz w:val="13"/>
                <w:szCs w:val="13"/>
                <w:b w:val="1"/>
                <w:bCs w:val="1"/>
                <w:color w:val="FFFFFF"/>
              </w:rPr>
              <w:t>Jarrett</w:t>
            </w:r>
          </w:p>
        </w:tc>
        <w:tc>
          <w:tcPr>
            <w:tcW w:w="600" w:type="dxa"/>
            <w:vAlign w:val="bottom"/>
            <w:vMerge w:val="restart"/>
            <w:shd w:val="clear" w:color="auto" w:fill="001641"/>
          </w:tcPr>
          <w:p>
            <w:pPr>
              <w:ind w:left="100"/>
              <w:spacing w:after="0"/>
              <w:rPr>
                <w:sz w:val="20"/>
                <w:szCs w:val="20"/>
                <w:color w:val="auto"/>
              </w:rPr>
            </w:pPr>
            <w:r>
              <w:rPr>
                <w:rFonts w:ascii="Arial" w:cs="Arial" w:eastAsia="Arial" w:hAnsi="Arial"/>
                <w:sz w:val="13"/>
                <w:szCs w:val="13"/>
                <w:b w:val="1"/>
                <w:bCs w:val="1"/>
                <w:color w:val="FFFFFF"/>
              </w:rPr>
              <w:t>Lauren</w:t>
            </w:r>
          </w:p>
        </w:tc>
        <w:tc>
          <w:tcPr>
            <w:tcW w:w="600" w:type="dxa"/>
            <w:vAlign w:val="bottom"/>
            <w:vMerge w:val="restart"/>
            <w:shd w:val="clear" w:color="auto" w:fill="001641"/>
          </w:tcPr>
          <w:p>
            <w:pPr>
              <w:ind w:left="100"/>
              <w:spacing w:after="0"/>
              <w:rPr>
                <w:sz w:val="20"/>
                <w:szCs w:val="20"/>
                <w:color w:val="auto"/>
              </w:rPr>
            </w:pPr>
            <w:r>
              <w:rPr>
                <w:rFonts w:ascii="Arial" w:cs="Arial" w:eastAsia="Arial" w:hAnsi="Arial"/>
                <w:sz w:val="13"/>
                <w:szCs w:val="13"/>
                <w:b w:val="1"/>
                <w:bCs w:val="1"/>
                <w:color w:val="FFFFFF"/>
              </w:rPr>
              <w:t>Lauren</w:t>
            </w:r>
          </w:p>
        </w:tc>
        <w:tc>
          <w:tcPr>
            <w:tcW w:w="600" w:type="dxa"/>
            <w:vAlign w:val="bottom"/>
            <w:vMerge w:val="restart"/>
            <w:shd w:val="clear" w:color="auto" w:fill="001641"/>
          </w:tcPr>
          <w:p>
            <w:pPr>
              <w:ind w:left="100"/>
              <w:spacing w:after="0"/>
              <w:rPr>
                <w:sz w:val="20"/>
                <w:szCs w:val="20"/>
                <w:color w:val="auto"/>
              </w:rPr>
            </w:pPr>
            <w:r>
              <w:rPr>
                <w:rFonts w:ascii="Arial" w:cs="Arial" w:eastAsia="Arial" w:hAnsi="Arial"/>
                <w:sz w:val="13"/>
                <w:szCs w:val="13"/>
                <w:b w:val="1"/>
                <w:bCs w:val="1"/>
                <w:color w:val="FFFFFF"/>
              </w:rPr>
              <w:t>Louvet</w:t>
            </w:r>
          </w:p>
        </w:tc>
        <w:tc>
          <w:tcPr>
            <w:tcW w:w="580" w:type="dxa"/>
            <w:vAlign w:val="bottom"/>
            <w:vMerge w:val="restart"/>
            <w:shd w:val="clear" w:color="auto" w:fill="001641"/>
          </w:tcPr>
          <w:p>
            <w:pPr>
              <w:ind w:left="80"/>
              <w:spacing w:after="0"/>
              <w:rPr>
                <w:sz w:val="20"/>
                <w:szCs w:val="20"/>
                <w:color w:val="auto"/>
              </w:rPr>
            </w:pPr>
            <w:r>
              <w:rPr>
                <w:rFonts w:ascii="Arial" w:cs="Arial" w:eastAsia="Arial" w:hAnsi="Arial"/>
                <w:sz w:val="13"/>
                <w:szCs w:val="13"/>
                <w:b w:val="1"/>
                <w:bCs w:val="1"/>
                <w:color w:val="FFFFFF"/>
              </w:rPr>
              <w:t>Walker</w:t>
            </w:r>
          </w:p>
        </w:tc>
        <w:tc>
          <w:tcPr>
            <w:tcW w:w="500" w:type="dxa"/>
            <w:vAlign w:val="bottom"/>
            <w:vMerge w:val="restart"/>
            <w:shd w:val="clear" w:color="auto" w:fill="001641"/>
          </w:tcPr>
          <w:p>
            <w:pPr>
              <w:ind w:left="80"/>
              <w:spacing w:after="0"/>
              <w:rPr>
                <w:sz w:val="20"/>
                <w:szCs w:val="20"/>
                <w:color w:val="auto"/>
              </w:rPr>
            </w:pPr>
            <w:r>
              <w:rPr>
                <w:rFonts w:ascii="Arial" w:cs="Arial" w:eastAsia="Arial" w:hAnsi="Arial"/>
                <w:sz w:val="13"/>
                <w:szCs w:val="13"/>
                <w:b w:val="1"/>
                <w:bCs w:val="1"/>
                <w:color w:val="FFFFFF"/>
              </w:rPr>
              <w:t>Zhang</w:t>
            </w:r>
          </w:p>
        </w:tc>
        <w:tc>
          <w:tcPr>
            <w:tcW w:w="0" w:type="dxa"/>
            <w:vAlign w:val="bottom"/>
          </w:tcPr>
          <w:p>
            <w:pPr>
              <w:spacing w:after="0"/>
              <w:rPr>
                <w:sz w:val="1"/>
                <w:szCs w:val="1"/>
                <w:color w:val="auto"/>
              </w:rPr>
            </w:pPr>
          </w:p>
        </w:tc>
      </w:tr>
      <w:tr>
        <w:trPr>
          <w:trHeight w:val="104"/>
        </w:trPr>
        <w:tc>
          <w:tcPr>
            <w:tcW w:w="1940" w:type="dxa"/>
            <w:vAlign w:val="bottom"/>
            <w:vMerge w:val="restart"/>
            <w:shd w:val="clear" w:color="auto" w:fill="001641"/>
          </w:tcPr>
          <w:p>
            <w:pPr>
              <w:ind w:left="40"/>
              <w:spacing w:after="0"/>
              <w:rPr>
                <w:sz w:val="20"/>
                <w:szCs w:val="20"/>
                <w:color w:val="auto"/>
              </w:rPr>
            </w:pPr>
            <w:r>
              <w:rPr>
                <w:rFonts w:ascii="Arial" w:cs="Arial" w:eastAsia="Arial" w:hAnsi="Arial"/>
                <w:sz w:val="13"/>
                <w:szCs w:val="13"/>
                <w:b w:val="1"/>
                <w:bCs w:val="1"/>
                <w:color w:val="FFFFFF"/>
              </w:rPr>
              <w:t>Name</w:t>
            </w:r>
          </w:p>
        </w:tc>
        <w:tc>
          <w:tcPr>
            <w:tcW w:w="720" w:type="dxa"/>
            <w:vAlign w:val="bottom"/>
            <w:vMerge w:val="continue"/>
            <w:shd w:val="clear" w:color="auto" w:fill="001641"/>
          </w:tcPr>
          <w:p>
            <w:pPr>
              <w:spacing w:after="0"/>
              <w:rPr>
                <w:sz w:val="9"/>
                <w:szCs w:val="9"/>
                <w:color w:val="auto"/>
              </w:rPr>
            </w:pPr>
          </w:p>
        </w:tc>
        <w:tc>
          <w:tcPr>
            <w:tcW w:w="720" w:type="dxa"/>
            <w:vAlign w:val="bottom"/>
            <w:vMerge w:val="restart"/>
            <w:shd w:val="clear" w:color="auto" w:fill="001641"/>
          </w:tcPr>
          <w:p>
            <w:pPr>
              <w:jc w:val="center"/>
              <w:spacing w:after="0"/>
              <w:rPr>
                <w:sz w:val="20"/>
                <w:szCs w:val="20"/>
                <w:color w:val="auto"/>
              </w:rPr>
            </w:pPr>
            <w:r>
              <w:rPr>
                <w:rFonts w:ascii="Arial" w:cs="Arial" w:eastAsia="Arial" w:hAnsi="Arial"/>
                <w:sz w:val="13"/>
                <w:szCs w:val="13"/>
                <w:b w:val="1"/>
                <w:bCs w:val="1"/>
                <w:color w:val="FFFFFF"/>
                <w:w w:val="87"/>
              </w:rPr>
              <w:t>Jr.</w:t>
            </w:r>
          </w:p>
        </w:tc>
        <w:tc>
          <w:tcPr>
            <w:tcW w:w="540" w:type="dxa"/>
            <w:vAlign w:val="bottom"/>
            <w:vMerge w:val="continue"/>
            <w:shd w:val="clear" w:color="auto" w:fill="001641"/>
          </w:tcPr>
          <w:p>
            <w:pPr>
              <w:spacing w:after="0"/>
              <w:rPr>
                <w:sz w:val="9"/>
                <w:szCs w:val="9"/>
                <w:color w:val="auto"/>
              </w:rPr>
            </w:pPr>
          </w:p>
        </w:tc>
        <w:tc>
          <w:tcPr>
            <w:tcW w:w="520" w:type="dxa"/>
            <w:vAlign w:val="bottom"/>
            <w:vMerge w:val="continue"/>
            <w:shd w:val="clear" w:color="auto" w:fill="001641"/>
          </w:tcPr>
          <w:p>
            <w:pPr>
              <w:spacing w:after="0"/>
              <w:rPr>
                <w:sz w:val="9"/>
                <w:szCs w:val="9"/>
                <w:color w:val="auto"/>
              </w:rPr>
            </w:pPr>
          </w:p>
        </w:tc>
        <w:tc>
          <w:tcPr>
            <w:tcW w:w="620" w:type="dxa"/>
            <w:vAlign w:val="bottom"/>
            <w:vMerge w:val="continue"/>
            <w:shd w:val="clear" w:color="auto" w:fill="001641"/>
          </w:tcPr>
          <w:p>
            <w:pPr>
              <w:spacing w:after="0"/>
              <w:rPr>
                <w:sz w:val="9"/>
                <w:szCs w:val="9"/>
                <w:color w:val="auto"/>
              </w:rPr>
            </w:pPr>
          </w:p>
        </w:tc>
        <w:tc>
          <w:tcPr>
            <w:tcW w:w="660" w:type="dxa"/>
            <w:vAlign w:val="bottom"/>
            <w:vMerge w:val="restart"/>
            <w:shd w:val="clear" w:color="auto" w:fill="001641"/>
          </w:tcPr>
          <w:p>
            <w:pPr>
              <w:jc w:val="center"/>
              <w:spacing w:after="0"/>
              <w:rPr>
                <w:sz w:val="20"/>
                <w:szCs w:val="20"/>
                <w:color w:val="auto"/>
              </w:rPr>
            </w:pPr>
            <w:r>
              <w:rPr>
                <w:rFonts w:ascii="Arial" w:cs="Arial" w:eastAsia="Arial" w:hAnsi="Arial"/>
                <w:sz w:val="13"/>
                <w:szCs w:val="13"/>
                <w:b w:val="1"/>
                <w:bCs w:val="1"/>
                <w:color w:val="FFFFFF"/>
                <w:w w:val="96"/>
              </w:rPr>
              <w:t>George</w:t>
            </w:r>
          </w:p>
        </w:tc>
        <w:tc>
          <w:tcPr>
            <w:tcW w:w="580" w:type="dxa"/>
            <w:vAlign w:val="bottom"/>
            <w:vMerge w:val="continue"/>
            <w:shd w:val="clear" w:color="auto" w:fill="001641"/>
          </w:tcPr>
          <w:p>
            <w:pPr>
              <w:spacing w:after="0"/>
              <w:rPr>
                <w:sz w:val="9"/>
                <w:szCs w:val="9"/>
                <w:color w:val="auto"/>
              </w:rPr>
            </w:pPr>
          </w:p>
        </w:tc>
        <w:tc>
          <w:tcPr>
            <w:tcW w:w="600" w:type="dxa"/>
            <w:vAlign w:val="bottom"/>
            <w:vMerge w:val="continue"/>
            <w:shd w:val="clear" w:color="auto" w:fill="001641"/>
          </w:tcPr>
          <w:p>
            <w:pPr>
              <w:spacing w:after="0"/>
              <w:rPr>
                <w:sz w:val="9"/>
                <w:szCs w:val="9"/>
                <w:color w:val="auto"/>
              </w:rPr>
            </w:pPr>
          </w:p>
        </w:tc>
        <w:tc>
          <w:tcPr>
            <w:tcW w:w="600" w:type="dxa"/>
            <w:vAlign w:val="bottom"/>
            <w:vMerge w:val="continue"/>
            <w:shd w:val="clear" w:color="auto" w:fill="001641"/>
          </w:tcPr>
          <w:p>
            <w:pPr>
              <w:spacing w:after="0"/>
              <w:rPr>
                <w:sz w:val="9"/>
                <w:szCs w:val="9"/>
                <w:color w:val="auto"/>
              </w:rPr>
            </w:pPr>
          </w:p>
        </w:tc>
        <w:tc>
          <w:tcPr>
            <w:tcW w:w="600" w:type="dxa"/>
            <w:vAlign w:val="bottom"/>
            <w:vMerge w:val="continue"/>
            <w:shd w:val="clear" w:color="auto" w:fill="001641"/>
          </w:tcPr>
          <w:p>
            <w:pPr>
              <w:spacing w:after="0"/>
              <w:rPr>
                <w:sz w:val="9"/>
                <w:szCs w:val="9"/>
                <w:color w:val="auto"/>
              </w:rPr>
            </w:pPr>
          </w:p>
        </w:tc>
        <w:tc>
          <w:tcPr>
            <w:tcW w:w="580" w:type="dxa"/>
            <w:vAlign w:val="bottom"/>
            <w:vMerge w:val="continue"/>
            <w:shd w:val="clear" w:color="auto" w:fill="001641"/>
          </w:tcPr>
          <w:p>
            <w:pPr>
              <w:spacing w:after="0"/>
              <w:rPr>
                <w:sz w:val="9"/>
                <w:szCs w:val="9"/>
                <w:color w:val="auto"/>
              </w:rPr>
            </w:pPr>
          </w:p>
        </w:tc>
        <w:tc>
          <w:tcPr>
            <w:tcW w:w="500" w:type="dxa"/>
            <w:vAlign w:val="bottom"/>
            <w:vMerge w:val="continue"/>
            <w:shd w:val="clear" w:color="auto" w:fill="001641"/>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940" w:type="dxa"/>
            <w:vAlign w:val="bottom"/>
            <w:vMerge w:val="continue"/>
            <w:shd w:val="clear" w:color="auto" w:fill="001641"/>
          </w:tcPr>
          <w:p>
            <w:pPr>
              <w:spacing w:after="0"/>
              <w:rPr>
                <w:sz w:val="6"/>
                <w:szCs w:val="6"/>
                <w:color w:val="auto"/>
              </w:rPr>
            </w:pPr>
          </w:p>
        </w:tc>
        <w:tc>
          <w:tcPr>
            <w:tcW w:w="720" w:type="dxa"/>
            <w:vAlign w:val="bottom"/>
            <w:shd w:val="clear" w:color="auto" w:fill="001641"/>
          </w:tcPr>
          <w:p>
            <w:pPr>
              <w:spacing w:after="0"/>
              <w:rPr>
                <w:sz w:val="6"/>
                <w:szCs w:val="6"/>
                <w:color w:val="auto"/>
              </w:rPr>
            </w:pPr>
          </w:p>
        </w:tc>
        <w:tc>
          <w:tcPr>
            <w:tcW w:w="720" w:type="dxa"/>
            <w:vAlign w:val="bottom"/>
            <w:vMerge w:val="continue"/>
            <w:shd w:val="clear" w:color="auto" w:fill="001641"/>
          </w:tcPr>
          <w:p>
            <w:pPr>
              <w:spacing w:after="0"/>
              <w:rPr>
                <w:sz w:val="6"/>
                <w:szCs w:val="6"/>
                <w:color w:val="auto"/>
              </w:rPr>
            </w:pPr>
          </w:p>
        </w:tc>
        <w:tc>
          <w:tcPr>
            <w:tcW w:w="540" w:type="dxa"/>
            <w:vAlign w:val="bottom"/>
            <w:shd w:val="clear" w:color="auto" w:fill="001641"/>
          </w:tcPr>
          <w:p>
            <w:pPr>
              <w:spacing w:after="0"/>
              <w:rPr>
                <w:sz w:val="6"/>
                <w:szCs w:val="6"/>
                <w:color w:val="auto"/>
              </w:rPr>
            </w:pPr>
          </w:p>
        </w:tc>
        <w:tc>
          <w:tcPr>
            <w:tcW w:w="520" w:type="dxa"/>
            <w:vAlign w:val="bottom"/>
            <w:shd w:val="clear" w:color="auto" w:fill="001641"/>
          </w:tcPr>
          <w:p>
            <w:pPr>
              <w:spacing w:after="0"/>
              <w:rPr>
                <w:sz w:val="6"/>
                <w:szCs w:val="6"/>
                <w:color w:val="auto"/>
              </w:rPr>
            </w:pPr>
          </w:p>
        </w:tc>
        <w:tc>
          <w:tcPr>
            <w:tcW w:w="620" w:type="dxa"/>
            <w:vAlign w:val="bottom"/>
            <w:shd w:val="clear" w:color="auto" w:fill="001641"/>
          </w:tcPr>
          <w:p>
            <w:pPr>
              <w:spacing w:after="0"/>
              <w:rPr>
                <w:sz w:val="6"/>
                <w:szCs w:val="6"/>
                <w:color w:val="auto"/>
              </w:rPr>
            </w:pPr>
          </w:p>
        </w:tc>
        <w:tc>
          <w:tcPr>
            <w:tcW w:w="660" w:type="dxa"/>
            <w:vAlign w:val="bottom"/>
            <w:vMerge w:val="continue"/>
            <w:shd w:val="clear" w:color="auto" w:fill="001641"/>
          </w:tcPr>
          <w:p>
            <w:pPr>
              <w:spacing w:after="0"/>
              <w:rPr>
                <w:sz w:val="6"/>
                <w:szCs w:val="6"/>
                <w:color w:val="auto"/>
              </w:rPr>
            </w:pPr>
          </w:p>
        </w:tc>
        <w:tc>
          <w:tcPr>
            <w:tcW w:w="580" w:type="dxa"/>
            <w:vAlign w:val="bottom"/>
            <w:shd w:val="clear" w:color="auto" w:fill="001641"/>
          </w:tcPr>
          <w:p>
            <w:pPr>
              <w:spacing w:after="0"/>
              <w:rPr>
                <w:sz w:val="6"/>
                <w:szCs w:val="6"/>
                <w:color w:val="auto"/>
              </w:rPr>
            </w:pPr>
          </w:p>
        </w:tc>
        <w:tc>
          <w:tcPr>
            <w:tcW w:w="600" w:type="dxa"/>
            <w:vAlign w:val="bottom"/>
            <w:shd w:val="clear" w:color="auto" w:fill="001641"/>
          </w:tcPr>
          <w:p>
            <w:pPr>
              <w:spacing w:after="0"/>
              <w:rPr>
                <w:sz w:val="6"/>
                <w:szCs w:val="6"/>
                <w:color w:val="auto"/>
              </w:rPr>
            </w:pPr>
          </w:p>
        </w:tc>
        <w:tc>
          <w:tcPr>
            <w:tcW w:w="600" w:type="dxa"/>
            <w:vAlign w:val="bottom"/>
            <w:shd w:val="clear" w:color="auto" w:fill="001641"/>
          </w:tcPr>
          <w:p>
            <w:pPr>
              <w:spacing w:after="0"/>
              <w:rPr>
                <w:sz w:val="6"/>
                <w:szCs w:val="6"/>
                <w:color w:val="auto"/>
              </w:rPr>
            </w:pPr>
          </w:p>
        </w:tc>
        <w:tc>
          <w:tcPr>
            <w:tcW w:w="600" w:type="dxa"/>
            <w:vAlign w:val="bottom"/>
            <w:shd w:val="clear" w:color="auto" w:fill="001641"/>
          </w:tcPr>
          <w:p>
            <w:pPr>
              <w:spacing w:after="0"/>
              <w:rPr>
                <w:sz w:val="6"/>
                <w:szCs w:val="6"/>
                <w:color w:val="auto"/>
              </w:rPr>
            </w:pPr>
          </w:p>
        </w:tc>
        <w:tc>
          <w:tcPr>
            <w:tcW w:w="580" w:type="dxa"/>
            <w:vAlign w:val="bottom"/>
            <w:shd w:val="clear" w:color="auto" w:fill="001641"/>
          </w:tcPr>
          <w:p>
            <w:pPr>
              <w:spacing w:after="0"/>
              <w:rPr>
                <w:sz w:val="6"/>
                <w:szCs w:val="6"/>
                <w:color w:val="auto"/>
              </w:rPr>
            </w:pPr>
          </w:p>
        </w:tc>
        <w:tc>
          <w:tcPr>
            <w:tcW w:w="500" w:type="dxa"/>
            <w:vAlign w:val="bottom"/>
            <w:shd w:val="clear" w:color="auto" w:fill="001641"/>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BFA071"/>
          </w:tcPr>
          <w:p>
            <w:pPr>
              <w:ind w:left="40"/>
              <w:spacing w:after="0"/>
              <w:rPr>
                <w:sz w:val="20"/>
                <w:szCs w:val="20"/>
                <w:color w:val="auto"/>
              </w:rPr>
            </w:pPr>
            <w:r>
              <w:rPr>
                <w:rFonts w:ascii="Arial" w:cs="Arial" w:eastAsia="Arial" w:hAnsi="Arial"/>
                <w:sz w:val="13"/>
                <w:szCs w:val="13"/>
                <w:b w:val="1"/>
                <w:bCs w:val="1"/>
                <w:color w:val="FFFFFF"/>
              </w:rPr>
              <w:t>Attributes/Experiences</w:t>
            </w:r>
          </w:p>
        </w:tc>
        <w:tc>
          <w:tcPr>
            <w:tcW w:w="720" w:type="dxa"/>
            <w:vAlign w:val="bottom"/>
            <w:shd w:val="clear" w:color="auto" w:fill="BFA071"/>
          </w:tcPr>
          <w:p>
            <w:pPr>
              <w:spacing w:after="0"/>
              <w:rPr>
                <w:sz w:val="15"/>
                <w:szCs w:val="15"/>
                <w:color w:val="auto"/>
              </w:rPr>
            </w:pPr>
          </w:p>
        </w:tc>
        <w:tc>
          <w:tcPr>
            <w:tcW w:w="720" w:type="dxa"/>
            <w:vAlign w:val="bottom"/>
            <w:shd w:val="clear" w:color="auto" w:fill="BFA071"/>
          </w:tcPr>
          <w:p>
            <w:pPr>
              <w:spacing w:after="0"/>
              <w:rPr>
                <w:sz w:val="15"/>
                <w:szCs w:val="15"/>
                <w:color w:val="auto"/>
              </w:rPr>
            </w:pPr>
          </w:p>
        </w:tc>
        <w:tc>
          <w:tcPr>
            <w:tcW w:w="540" w:type="dxa"/>
            <w:vAlign w:val="bottom"/>
            <w:shd w:val="clear" w:color="auto" w:fill="BFA071"/>
          </w:tcPr>
          <w:p>
            <w:pPr>
              <w:spacing w:after="0"/>
              <w:rPr>
                <w:sz w:val="15"/>
                <w:szCs w:val="15"/>
                <w:color w:val="auto"/>
              </w:rPr>
            </w:pPr>
          </w:p>
        </w:tc>
        <w:tc>
          <w:tcPr>
            <w:tcW w:w="520" w:type="dxa"/>
            <w:vAlign w:val="bottom"/>
            <w:shd w:val="clear" w:color="auto" w:fill="BFA071"/>
          </w:tcPr>
          <w:p>
            <w:pPr>
              <w:spacing w:after="0"/>
              <w:rPr>
                <w:sz w:val="15"/>
                <w:szCs w:val="15"/>
                <w:color w:val="auto"/>
              </w:rPr>
            </w:pPr>
          </w:p>
        </w:tc>
        <w:tc>
          <w:tcPr>
            <w:tcW w:w="620" w:type="dxa"/>
            <w:vAlign w:val="bottom"/>
            <w:shd w:val="clear" w:color="auto" w:fill="BFA071"/>
          </w:tcPr>
          <w:p>
            <w:pPr>
              <w:spacing w:after="0"/>
              <w:rPr>
                <w:sz w:val="15"/>
                <w:szCs w:val="15"/>
                <w:color w:val="auto"/>
              </w:rPr>
            </w:pPr>
          </w:p>
        </w:tc>
        <w:tc>
          <w:tcPr>
            <w:tcW w:w="660" w:type="dxa"/>
            <w:vAlign w:val="bottom"/>
            <w:shd w:val="clear" w:color="auto" w:fill="BFA071"/>
          </w:tcPr>
          <w:p>
            <w:pPr>
              <w:spacing w:after="0"/>
              <w:rPr>
                <w:sz w:val="15"/>
                <w:szCs w:val="15"/>
                <w:color w:val="auto"/>
              </w:rPr>
            </w:pPr>
          </w:p>
        </w:tc>
        <w:tc>
          <w:tcPr>
            <w:tcW w:w="580" w:type="dxa"/>
            <w:vAlign w:val="bottom"/>
            <w:shd w:val="clear" w:color="auto" w:fill="BFA071"/>
          </w:tcPr>
          <w:p>
            <w:pPr>
              <w:spacing w:after="0"/>
              <w:rPr>
                <w:sz w:val="15"/>
                <w:szCs w:val="15"/>
                <w:color w:val="auto"/>
              </w:rPr>
            </w:pPr>
          </w:p>
        </w:tc>
        <w:tc>
          <w:tcPr>
            <w:tcW w:w="600" w:type="dxa"/>
            <w:vAlign w:val="bottom"/>
            <w:shd w:val="clear" w:color="auto" w:fill="BFA071"/>
          </w:tcPr>
          <w:p>
            <w:pPr>
              <w:spacing w:after="0"/>
              <w:rPr>
                <w:sz w:val="15"/>
                <w:szCs w:val="15"/>
                <w:color w:val="auto"/>
              </w:rPr>
            </w:pPr>
          </w:p>
        </w:tc>
        <w:tc>
          <w:tcPr>
            <w:tcW w:w="600" w:type="dxa"/>
            <w:vAlign w:val="bottom"/>
            <w:shd w:val="clear" w:color="auto" w:fill="BFA071"/>
          </w:tcPr>
          <w:p>
            <w:pPr>
              <w:spacing w:after="0"/>
              <w:rPr>
                <w:sz w:val="15"/>
                <w:szCs w:val="15"/>
                <w:color w:val="auto"/>
              </w:rPr>
            </w:pPr>
          </w:p>
        </w:tc>
        <w:tc>
          <w:tcPr>
            <w:tcW w:w="600" w:type="dxa"/>
            <w:vAlign w:val="bottom"/>
            <w:shd w:val="clear" w:color="auto" w:fill="BFA071"/>
          </w:tcPr>
          <w:p>
            <w:pPr>
              <w:spacing w:after="0"/>
              <w:rPr>
                <w:sz w:val="15"/>
                <w:szCs w:val="15"/>
                <w:color w:val="auto"/>
              </w:rPr>
            </w:pPr>
          </w:p>
        </w:tc>
        <w:tc>
          <w:tcPr>
            <w:tcW w:w="580" w:type="dxa"/>
            <w:vAlign w:val="bottom"/>
            <w:shd w:val="clear" w:color="auto" w:fill="BFA071"/>
          </w:tcPr>
          <w:p>
            <w:pPr>
              <w:spacing w:after="0"/>
              <w:rPr>
                <w:sz w:val="15"/>
                <w:szCs w:val="15"/>
                <w:color w:val="auto"/>
              </w:rPr>
            </w:pPr>
          </w:p>
        </w:tc>
        <w:tc>
          <w:tcPr>
            <w:tcW w:w="500" w:type="dxa"/>
            <w:vAlign w:val="bottom"/>
            <w:shd w:val="clear" w:color="auto" w:fill="BFA071"/>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40" w:type="dxa"/>
            <w:vAlign w:val="bottom"/>
            <w:tcBorders>
              <w:bottom w:val="single" w:sz="8" w:color="BFA071"/>
            </w:tcBorders>
          </w:tcPr>
          <w:p>
            <w:pPr>
              <w:ind w:left="40"/>
              <w:spacing w:after="0" w:line="203" w:lineRule="exact"/>
              <w:rPr>
                <w:sz w:val="20"/>
                <w:szCs w:val="20"/>
                <w:color w:val="auto"/>
              </w:rPr>
            </w:pPr>
            <w:r>
              <w:rPr>
                <w:rFonts w:ascii="Arial" w:cs="Arial" w:eastAsia="Arial" w:hAnsi="Arial"/>
                <w:sz w:val="13"/>
                <w:szCs w:val="13"/>
                <w:b w:val="1"/>
                <w:bCs w:val="1"/>
                <w:color w:val="001641"/>
              </w:rPr>
              <w:t>CEO</w:t>
            </w:r>
            <w:r>
              <w:rPr>
                <w:rFonts w:ascii="Arial" w:cs="Arial" w:eastAsia="Arial" w:hAnsi="Arial"/>
                <w:sz w:val="20"/>
                <w:szCs w:val="20"/>
                <w:b w:val="1"/>
                <w:bCs w:val="1"/>
                <w:color w:val="001641"/>
                <w:vertAlign w:val="superscript"/>
              </w:rPr>
              <w:t>1</w:t>
            </w:r>
          </w:p>
        </w:tc>
        <w:tc>
          <w:tcPr>
            <w:tcW w:w="720" w:type="dxa"/>
            <w:vAlign w:val="bottom"/>
            <w:tcBorders>
              <w:bottom w:val="single" w:sz="8" w:color="BFA071"/>
            </w:tcBorders>
          </w:tcPr>
          <w:p>
            <w:pPr>
              <w:spacing w:after="0"/>
              <w:rPr>
                <w:sz w:val="17"/>
                <w:szCs w:val="17"/>
                <w:color w:val="auto"/>
              </w:rPr>
            </w:pPr>
          </w:p>
        </w:tc>
        <w:tc>
          <w:tcPr>
            <w:tcW w:w="720" w:type="dxa"/>
            <w:vAlign w:val="bottom"/>
            <w:tcBorders>
              <w:bottom w:val="single" w:sz="8" w:color="BFA071"/>
            </w:tcBorders>
          </w:tcPr>
          <w:p>
            <w:pPr>
              <w:spacing w:after="0"/>
              <w:rPr>
                <w:sz w:val="17"/>
                <w:szCs w:val="17"/>
                <w:color w:val="auto"/>
              </w:rPr>
            </w:pPr>
          </w:p>
        </w:tc>
        <w:tc>
          <w:tcPr>
            <w:tcW w:w="540" w:type="dxa"/>
            <w:vAlign w:val="bottom"/>
            <w:tcBorders>
              <w:bottom w:val="single" w:sz="8" w:color="BFA071"/>
            </w:tcBorders>
          </w:tcPr>
          <w:p>
            <w:pPr>
              <w:spacing w:after="0"/>
              <w:rPr>
                <w:sz w:val="17"/>
                <w:szCs w:val="17"/>
                <w:color w:val="auto"/>
              </w:rPr>
            </w:pPr>
          </w:p>
        </w:tc>
        <w:tc>
          <w:tcPr>
            <w:tcW w:w="520" w:type="dxa"/>
            <w:vAlign w:val="bottom"/>
            <w:tcBorders>
              <w:bottom w:val="single" w:sz="8" w:color="BFA071"/>
            </w:tcBorders>
          </w:tcPr>
          <w:p>
            <w:pPr>
              <w:spacing w:after="0"/>
              <w:rPr>
                <w:sz w:val="17"/>
                <w:szCs w:val="17"/>
                <w:color w:val="auto"/>
              </w:rPr>
            </w:pPr>
          </w:p>
        </w:tc>
        <w:tc>
          <w:tcPr>
            <w:tcW w:w="620" w:type="dxa"/>
            <w:vAlign w:val="bottom"/>
            <w:tcBorders>
              <w:bottom w:val="single" w:sz="8" w:color="BFA071"/>
            </w:tcBorders>
          </w:tcPr>
          <w:p>
            <w:pPr>
              <w:spacing w:after="0"/>
              <w:rPr>
                <w:sz w:val="17"/>
                <w:szCs w:val="17"/>
                <w:color w:val="auto"/>
              </w:rPr>
            </w:pPr>
          </w:p>
        </w:tc>
        <w:tc>
          <w:tcPr>
            <w:tcW w:w="660" w:type="dxa"/>
            <w:vAlign w:val="bottom"/>
            <w:tcBorders>
              <w:bottom w:val="single" w:sz="8" w:color="BFA071"/>
            </w:tcBorders>
          </w:tcPr>
          <w:p>
            <w:pPr>
              <w:spacing w:after="0"/>
              <w:rPr>
                <w:sz w:val="17"/>
                <w:szCs w:val="17"/>
                <w:color w:val="auto"/>
              </w:rPr>
            </w:pPr>
          </w:p>
        </w:tc>
        <w:tc>
          <w:tcPr>
            <w:tcW w:w="580" w:type="dxa"/>
            <w:vAlign w:val="bottom"/>
            <w:tcBorders>
              <w:bottom w:val="single" w:sz="8" w:color="BFA071"/>
            </w:tcBorders>
          </w:tcPr>
          <w:p>
            <w:pPr>
              <w:spacing w:after="0"/>
              <w:rPr>
                <w:sz w:val="17"/>
                <w:szCs w:val="17"/>
                <w:color w:val="auto"/>
              </w:rPr>
            </w:pPr>
          </w:p>
        </w:tc>
        <w:tc>
          <w:tcPr>
            <w:tcW w:w="600" w:type="dxa"/>
            <w:vAlign w:val="bottom"/>
            <w:tcBorders>
              <w:bottom w:val="single" w:sz="8" w:color="BFA071"/>
            </w:tcBorders>
          </w:tcPr>
          <w:p>
            <w:pPr>
              <w:spacing w:after="0"/>
              <w:rPr>
                <w:sz w:val="17"/>
                <w:szCs w:val="17"/>
                <w:color w:val="auto"/>
              </w:rPr>
            </w:pPr>
          </w:p>
        </w:tc>
        <w:tc>
          <w:tcPr>
            <w:tcW w:w="600" w:type="dxa"/>
            <w:vAlign w:val="bottom"/>
            <w:tcBorders>
              <w:bottom w:val="single" w:sz="8" w:color="BFA071"/>
            </w:tcBorders>
          </w:tcPr>
          <w:p>
            <w:pPr>
              <w:spacing w:after="0"/>
              <w:rPr>
                <w:sz w:val="17"/>
                <w:szCs w:val="17"/>
                <w:color w:val="auto"/>
              </w:rPr>
            </w:pPr>
          </w:p>
        </w:tc>
        <w:tc>
          <w:tcPr>
            <w:tcW w:w="600" w:type="dxa"/>
            <w:vAlign w:val="bottom"/>
            <w:tcBorders>
              <w:bottom w:val="single" w:sz="8" w:color="BFA071"/>
            </w:tcBorders>
          </w:tcPr>
          <w:p>
            <w:pPr>
              <w:spacing w:after="0"/>
              <w:rPr>
                <w:sz w:val="17"/>
                <w:szCs w:val="17"/>
                <w:color w:val="auto"/>
              </w:rPr>
            </w:pPr>
          </w:p>
        </w:tc>
        <w:tc>
          <w:tcPr>
            <w:tcW w:w="580" w:type="dxa"/>
            <w:vAlign w:val="bottom"/>
            <w:tcBorders>
              <w:bottom w:val="single" w:sz="8" w:color="BFA071"/>
            </w:tcBorders>
          </w:tcPr>
          <w:p>
            <w:pPr>
              <w:spacing w:after="0"/>
              <w:rPr>
                <w:sz w:val="17"/>
                <w:szCs w:val="17"/>
                <w:color w:val="auto"/>
              </w:rPr>
            </w:pPr>
          </w:p>
        </w:tc>
        <w:tc>
          <w:tcPr>
            <w:tcW w:w="500" w:type="dxa"/>
            <w:vAlign w:val="bottom"/>
            <w:tcBorders>
              <w:bottom w:val="single" w:sz="8" w:color="BFA071"/>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940" w:type="dxa"/>
            <w:vAlign w:val="bottom"/>
          </w:tcPr>
          <w:p>
            <w:pPr>
              <w:ind w:left="40"/>
              <w:spacing w:after="0"/>
              <w:rPr>
                <w:sz w:val="20"/>
                <w:szCs w:val="20"/>
                <w:color w:val="auto"/>
              </w:rPr>
            </w:pPr>
            <w:r>
              <w:rPr>
                <w:rFonts w:ascii="Arial" w:cs="Arial" w:eastAsia="Arial" w:hAnsi="Arial"/>
                <w:sz w:val="13"/>
                <w:szCs w:val="13"/>
                <w:b w:val="1"/>
                <w:bCs w:val="1"/>
                <w:color w:val="001641"/>
              </w:rPr>
              <w:t>International Experience</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vMerge w:val="restart"/>
          </w:tcPr>
          <w:p>
            <w:pPr>
              <w:ind w:left="100"/>
              <w:spacing w:after="0"/>
              <w:rPr>
                <w:sz w:val="20"/>
                <w:szCs w:val="20"/>
                <w:color w:val="auto"/>
              </w:rPr>
            </w:pPr>
            <w:r>
              <w:rPr>
                <w:rFonts w:ascii="Arial" w:cs="Arial" w:eastAsia="Arial" w:hAnsi="Arial"/>
                <w:sz w:val="13"/>
                <w:szCs w:val="13"/>
                <w:color w:val="001641"/>
              </w:rPr>
              <w:t> </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1641"/>
              </w:rPr>
              <w:t xml:space="preserve">  </w:t>
            </w:r>
          </w:p>
        </w:tc>
        <w:tc>
          <w:tcPr>
            <w:tcW w:w="0" w:type="dxa"/>
            <w:vAlign w:val="bottom"/>
          </w:tcPr>
          <w:p>
            <w:pPr>
              <w:spacing w:after="0"/>
              <w:rPr>
                <w:sz w:val="1"/>
                <w:szCs w:val="1"/>
                <w:color w:val="auto"/>
              </w:rPr>
            </w:pPr>
          </w:p>
        </w:tc>
      </w:tr>
      <w:tr>
        <w:trPr>
          <w:trHeight w:val="48"/>
        </w:trPr>
        <w:tc>
          <w:tcPr>
            <w:tcW w:w="1940" w:type="dxa"/>
            <w:vAlign w:val="bottom"/>
            <w:tcBorders>
              <w:bottom w:val="single" w:sz="8" w:color="BFA071"/>
            </w:tcBorders>
          </w:tcPr>
          <w:p>
            <w:pPr>
              <w:spacing w:after="0"/>
              <w:rPr>
                <w:sz w:val="4"/>
                <w:szCs w:val="4"/>
                <w:color w:val="auto"/>
              </w:rPr>
            </w:pPr>
          </w:p>
        </w:tc>
        <w:tc>
          <w:tcPr>
            <w:tcW w:w="720" w:type="dxa"/>
            <w:vAlign w:val="bottom"/>
            <w:tcBorders>
              <w:bottom w:val="single" w:sz="8" w:color="BFA071"/>
            </w:tcBorders>
          </w:tcPr>
          <w:p>
            <w:pPr>
              <w:spacing w:after="0"/>
              <w:rPr>
                <w:sz w:val="4"/>
                <w:szCs w:val="4"/>
                <w:color w:val="auto"/>
              </w:rPr>
            </w:pPr>
          </w:p>
        </w:tc>
        <w:tc>
          <w:tcPr>
            <w:tcW w:w="720" w:type="dxa"/>
            <w:vAlign w:val="bottom"/>
            <w:tcBorders>
              <w:bottom w:val="single" w:sz="8" w:color="BFA071"/>
            </w:tcBorders>
          </w:tcPr>
          <w:p>
            <w:pPr>
              <w:spacing w:after="0"/>
              <w:rPr>
                <w:sz w:val="4"/>
                <w:szCs w:val="4"/>
                <w:color w:val="auto"/>
              </w:rPr>
            </w:pPr>
          </w:p>
        </w:tc>
        <w:tc>
          <w:tcPr>
            <w:tcW w:w="540" w:type="dxa"/>
            <w:vAlign w:val="bottom"/>
            <w:tcBorders>
              <w:bottom w:val="single" w:sz="8" w:color="BFA071"/>
            </w:tcBorders>
          </w:tcPr>
          <w:p>
            <w:pPr>
              <w:spacing w:after="0"/>
              <w:rPr>
                <w:sz w:val="4"/>
                <w:szCs w:val="4"/>
                <w:color w:val="auto"/>
              </w:rPr>
            </w:pPr>
          </w:p>
        </w:tc>
        <w:tc>
          <w:tcPr>
            <w:tcW w:w="520" w:type="dxa"/>
            <w:vAlign w:val="bottom"/>
            <w:tcBorders>
              <w:bottom w:val="single" w:sz="8" w:color="BFA071"/>
            </w:tcBorders>
          </w:tcPr>
          <w:p>
            <w:pPr>
              <w:spacing w:after="0"/>
              <w:rPr>
                <w:sz w:val="4"/>
                <w:szCs w:val="4"/>
                <w:color w:val="auto"/>
              </w:rPr>
            </w:pPr>
          </w:p>
        </w:tc>
        <w:tc>
          <w:tcPr>
            <w:tcW w:w="620" w:type="dxa"/>
            <w:vAlign w:val="bottom"/>
            <w:tcBorders>
              <w:bottom w:val="single" w:sz="8" w:color="BFA071"/>
            </w:tcBorders>
          </w:tcPr>
          <w:p>
            <w:pPr>
              <w:spacing w:after="0"/>
              <w:rPr>
                <w:sz w:val="4"/>
                <w:szCs w:val="4"/>
                <w:color w:val="auto"/>
              </w:rPr>
            </w:pPr>
          </w:p>
        </w:tc>
        <w:tc>
          <w:tcPr>
            <w:tcW w:w="660" w:type="dxa"/>
            <w:vAlign w:val="bottom"/>
            <w:tcBorders>
              <w:bottom w:val="single" w:sz="8" w:color="BFA071"/>
            </w:tcBorders>
          </w:tcPr>
          <w:p>
            <w:pPr>
              <w:spacing w:after="0"/>
              <w:rPr>
                <w:sz w:val="4"/>
                <w:szCs w:val="4"/>
                <w:color w:val="auto"/>
              </w:rPr>
            </w:pPr>
          </w:p>
        </w:tc>
        <w:tc>
          <w:tcPr>
            <w:tcW w:w="580" w:type="dxa"/>
            <w:vAlign w:val="bottom"/>
            <w:tcBorders>
              <w:bottom w:val="single" w:sz="8" w:color="BFA071"/>
            </w:tcBorders>
          </w:tcPr>
          <w:p>
            <w:pPr>
              <w:spacing w:after="0"/>
              <w:rPr>
                <w:sz w:val="4"/>
                <w:szCs w:val="4"/>
                <w:color w:val="auto"/>
              </w:rPr>
            </w:pPr>
          </w:p>
        </w:tc>
        <w:tc>
          <w:tcPr>
            <w:tcW w:w="600" w:type="dxa"/>
            <w:vAlign w:val="bottom"/>
            <w:tcBorders>
              <w:bottom w:val="single" w:sz="8" w:color="BFA071"/>
            </w:tcBorders>
            <w:vMerge w:val="continue"/>
          </w:tcPr>
          <w:p>
            <w:pPr>
              <w:spacing w:after="0"/>
              <w:rPr>
                <w:sz w:val="4"/>
                <w:szCs w:val="4"/>
                <w:color w:val="auto"/>
              </w:rPr>
            </w:pPr>
          </w:p>
        </w:tc>
        <w:tc>
          <w:tcPr>
            <w:tcW w:w="600" w:type="dxa"/>
            <w:vAlign w:val="bottom"/>
            <w:tcBorders>
              <w:bottom w:val="single" w:sz="8" w:color="BFA071"/>
            </w:tcBorders>
          </w:tcPr>
          <w:p>
            <w:pPr>
              <w:spacing w:after="0"/>
              <w:rPr>
                <w:sz w:val="4"/>
                <w:szCs w:val="4"/>
                <w:color w:val="auto"/>
              </w:rPr>
            </w:pPr>
          </w:p>
        </w:tc>
        <w:tc>
          <w:tcPr>
            <w:tcW w:w="600" w:type="dxa"/>
            <w:vAlign w:val="bottom"/>
            <w:tcBorders>
              <w:bottom w:val="single" w:sz="8" w:color="BFA071"/>
            </w:tcBorders>
          </w:tcPr>
          <w:p>
            <w:pPr>
              <w:spacing w:after="0"/>
              <w:rPr>
                <w:sz w:val="4"/>
                <w:szCs w:val="4"/>
                <w:color w:val="auto"/>
              </w:rPr>
            </w:pPr>
          </w:p>
        </w:tc>
        <w:tc>
          <w:tcPr>
            <w:tcW w:w="580" w:type="dxa"/>
            <w:vAlign w:val="bottom"/>
            <w:tcBorders>
              <w:bottom w:val="single" w:sz="8" w:color="BFA071"/>
            </w:tcBorders>
          </w:tcPr>
          <w:p>
            <w:pPr>
              <w:spacing w:after="0"/>
              <w:rPr>
                <w:sz w:val="4"/>
                <w:szCs w:val="4"/>
                <w:color w:val="auto"/>
              </w:rPr>
            </w:pPr>
          </w:p>
        </w:tc>
        <w:tc>
          <w:tcPr>
            <w:tcW w:w="500" w:type="dxa"/>
            <w:vAlign w:val="bottom"/>
            <w:tcBorders>
              <w:bottom w:val="single" w:sz="8" w:color="BFA071"/>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940" w:type="dxa"/>
            <w:vAlign w:val="bottom"/>
          </w:tcPr>
          <w:p>
            <w:pPr>
              <w:ind w:left="40"/>
              <w:spacing w:after="0" w:line="124" w:lineRule="exact"/>
              <w:rPr>
                <w:sz w:val="20"/>
                <w:szCs w:val="20"/>
                <w:color w:val="auto"/>
              </w:rPr>
            </w:pPr>
            <w:r>
              <w:rPr>
                <w:rFonts w:ascii="Arial" w:cs="Arial" w:eastAsia="Arial" w:hAnsi="Arial"/>
                <w:sz w:val="13"/>
                <w:szCs w:val="13"/>
                <w:b w:val="1"/>
                <w:bCs w:val="1"/>
                <w:color w:val="001641"/>
              </w:rPr>
              <w:t>Additional Public</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1641"/>
              </w:rPr>
              <w:t xml:space="preserve">  </w:t>
            </w:r>
          </w:p>
        </w:tc>
        <w:tc>
          <w:tcPr>
            <w:tcW w:w="0" w:type="dxa"/>
            <w:vAlign w:val="bottom"/>
          </w:tcPr>
          <w:p>
            <w:pPr>
              <w:spacing w:after="0"/>
              <w:rPr>
                <w:sz w:val="1"/>
                <w:szCs w:val="1"/>
                <w:color w:val="auto"/>
              </w:rPr>
            </w:pPr>
          </w:p>
        </w:tc>
      </w:tr>
      <w:tr>
        <w:trPr>
          <w:trHeight w:val="166"/>
        </w:trPr>
        <w:tc>
          <w:tcPr>
            <w:tcW w:w="1940" w:type="dxa"/>
            <w:vAlign w:val="bottom"/>
            <w:tcBorders>
              <w:bottom w:val="single" w:sz="8" w:color="BFA071"/>
            </w:tcBorders>
          </w:tcPr>
          <w:p>
            <w:pPr>
              <w:ind w:left="40"/>
              <w:spacing w:after="0"/>
              <w:rPr>
                <w:sz w:val="20"/>
                <w:szCs w:val="20"/>
                <w:color w:val="auto"/>
              </w:rPr>
            </w:pPr>
            <w:r>
              <w:rPr>
                <w:rFonts w:ascii="Arial" w:cs="Arial" w:eastAsia="Arial" w:hAnsi="Arial"/>
                <w:sz w:val="13"/>
                <w:szCs w:val="13"/>
                <w:b w:val="1"/>
                <w:bCs w:val="1"/>
                <w:color w:val="001641"/>
              </w:rPr>
              <w:t>Company Executive</w:t>
            </w:r>
          </w:p>
        </w:tc>
        <w:tc>
          <w:tcPr>
            <w:tcW w:w="720" w:type="dxa"/>
            <w:vAlign w:val="bottom"/>
            <w:tcBorders>
              <w:bottom w:val="single" w:sz="8" w:color="BFA071"/>
            </w:tcBorders>
          </w:tcPr>
          <w:p>
            <w:pPr>
              <w:spacing w:after="0"/>
              <w:rPr>
                <w:sz w:val="14"/>
                <w:szCs w:val="14"/>
                <w:color w:val="auto"/>
              </w:rPr>
            </w:pPr>
          </w:p>
        </w:tc>
        <w:tc>
          <w:tcPr>
            <w:tcW w:w="720" w:type="dxa"/>
            <w:vAlign w:val="bottom"/>
            <w:tcBorders>
              <w:bottom w:val="single" w:sz="8" w:color="BFA071"/>
            </w:tcBorders>
          </w:tcPr>
          <w:p>
            <w:pPr>
              <w:spacing w:after="0"/>
              <w:rPr>
                <w:sz w:val="14"/>
                <w:szCs w:val="14"/>
                <w:color w:val="auto"/>
              </w:rPr>
            </w:pPr>
          </w:p>
        </w:tc>
        <w:tc>
          <w:tcPr>
            <w:tcW w:w="540" w:type="dxa"/>
            <w:vAlign w:val="bottom"/>
            <w:tcBorders>
              <w:bottom w:val="single" w:sz="8" w:color="BFA071"/>
            </w:tcBorders>
          </w:tcPr>
          <w:p>
            <w:pPr>
              <w:spacing w:after="0"/>
              <w:rPr>
                <w:sz w:val="14"/>
                <w:szCs w:val="14"/>
                <w:color w:val="auto"/>
              </w:rPr>
            </w:pPr>
          </w:p>
        </w:tc>
        <w:tc>
          <w:tcPr>
            <w:tcW w:w="520" w:type="dxa"/>
            <w:vAlign w:val="bottom"/>
            <w:tcBorders>
              <w:bottom w:val="single" w:sz="8" w:color="BFA071"/>
            </w:tcBorders>
          </w:tcPr>
          <w:p>
            <w:pPr>
              <w:spacing w:after="0"/>
              <w:rPr>
                <w:sz w:val="14"/>
                <w:szCs w:val="14"/>
                <w:color w:val="auto"/>
              </w:rPr>
            </w:pPr>
          </w:p>
        </w:tc>
        <w:tc>
          <w:tcPr>
            <w:tcW w:w="620" w:type="dxa"/>
            <w:vAlign w:val="bottom"/>
            <w:tcBorders>
              <w:bottom w:val="single" w:sz="8" w:color="BFA071"/>
            </w:tcBorders>
          </w:tcPr>
          <w:p>
            <w:pPr>
              <w:spacing w:after="0"/>
              <w:rPr>
                <w:sz w:val="14"/>
                <w:szCs w:val="14"/>
                <w:color w:val="auto"/>
              </w:rPr>
            </w:pPr>
          </w:p>
        </w:tc>
        <w:tc>
          <w:tcPr>
            <w:tcW w:w="660" w:type="dxa"/>
            <w:vAlign w:val="bottom"/>
            <w:tcBorders>
              <w:bottom w:val="single" w:sz="8" w:color="BFA071"/>
            </w:tcBorders>
          </w:tcPr>
          <w:p>
            <w:pPr>
              <w:spacing w:after="0"/>
              <w:rPr>
                <w:sz w:val="14"/>
                <w:szCs w:val="14"/>
                <w:color w:val="auto"/>
              </w:rPr>
            </w:pPr>
          </w:p>
        </w:tc>
        <w:tc>
          <w:tcPr>
            <w:tcW w:w="580" w:type="dxa"/>
            <w:vAlign w:val="bottom"/>
            <w:tcBorders>
              <w:bottom w:val="single" w:sz="8" w:color="BFA071"/>
            </w:tcBorders>
          </w:tcPr>
          <w:p>
            <w:pPr>
              <w:spacing w:after="0"/>
              <w:rPr>
                <w:sz w:val="14"/>
                <w:szCs w:val="14"/>
                <w:color w:val="auto"/>
              </w:rPr>
            </w:pPr>
          </w:p>
        </w:tc>
        <w:tc>
          <w:tcPr>
            <w:tcW w:w="600" w:type="dxa"/>
            <w:vAlign w:val="bottom"/>
            <w:tcBorders>
              <w:bottom w:val="single" w:sz="8" w:color="BFA071"/>
            </w:tcBorders>
          </w:tcPr>
          <w:p>
            <w:pPr>
              <w:spacing w:after="0"/>
              <w:rPr>
                <w:sz w:val="14"/>
                <w:szCs w:val="14"/>
                <w:color w:val="auto"/>
              </w:rPr>
            </w:pPr>
          </w:p>
        </w:tc>
        <w:tc>
          <w:tcPr>
            <w:tcW w:w="600" w:type="dxa"/>
            <w:vAlign w:val="bottom"/>
            <w:tcBorders>
              <w:bottom w:val="single" w:sz="8" w:color="BFA071"/>
            </w:tcBorders>
          </w:tcPr>
          <w:p>
            <w:pPr>
              <w:spacing w:after="0"/>
              <w:rPr>
                <w:sz w:val="14"/>
                <w:szCs w:val="14"/>
                <w:color w:val="auto"/>
              </w:rPr>
            </w:pPr>
          </w:p>
        </w:tc>
        <w:tc>
          <w:tcPr>
            <w:tcW w:w="600" w:type="dxa"/>
            <w:vAlign w:val="bottom"/>
            <w:tcBorders>
              <w:bottom w:val="single" w:sz="8" w:color="BFA071"/>
            </w:tcBorders>
          </w:tcPr>
          <w:p>
            <w:pPr>
              <w:spacing w:after="0"/>
              <w:rPr>
                <w:sz w:val="14"/>
                <w:szCs w:val="14"/>
                <w:color w:val="auto"/>
              </w:rPr>
            </w:pPr>
          </w:p>
        </w:tc>
        <w:tc>
          <w:tcPr>
            <w:tcW w:w="580" w:type="dxa"/>
            <w:vAlign w:val="bottom"/>
            <w:tcBorders>
              <w:bottom w:val="single" w:sz="8" w:color="BFA071"/>
            </w:tcBorders>
          </w:tcPr>
          <w:p>
            <w:pPr>
              <w:spacing w:after="0"/>
              <w:rPr>
                <w:sz w:val="14"/>
                <w:szCs w:val="14"/>
                <w:color w:val="auto"/>
              </w:rPr>
            </w:pPr>
          </w:p>
        </w:tc>
        <w:tc>
          <w:tcPr>
            <w:tcW w:w="500" w:type="dxa"/>
            <w:vAlign w:val="bottom"/>
            <w:tcBorders>
              <w:bottom w:val="single" w:sz="8" w:color="BFA071"/>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40" w:type="dxa"/>
            <w:vAlign w:val="bottom"/>
          </w:tcPr>
          <w:p>
            <w:pPr>
              <w:ind w:left="40"/>
              <w:spacing w:after="0"/>
              <w:rPr>
                <w:sz w:val="20"/>
                <w:szCs w:val="20"/>
                <w:color w:val="auto"/>
              </w:rPr>
            </w:pPr>
            <w:r>
              <w:rPr>
                <w:rFonts w:ascii="Arial" w:cs="Arial" w:eastAsia="Arial" w:hAnsi="Arial"/>
                <w:sz w:val="13"/>
                <w:szCs w:val="13"/>
                <w:b w:val="1"/>
                <w:bCs w:val="1"/>
                <w:color w:val="001641"/>
              </w:rPr>
              <w:t>Retail/Consumer Products</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vMerge w:val="restart"/>
          </w:tcPr>
          <w:p>
            <w:pPr>
              <w:ind w:left="100"/>
              <w:spacing w:after="0"/>
              <w:rPr>
                <w:sz w:val="20"/>
                <w:szCs w:val="20"/>
                <w:color w:val="auto"/>
              </w:rPr>
            </w:pPr>
            <w:r>
              <w:rPr>
                <w:rFonts w:ascii="Arial" w:cs="Arial" w:eastAsia="Arial" w:hAnsi="Arial"/>
                <w:sz w:val="13"/>
                <w:szCs w:val="13"/>
                <w:color w:val="001641"/>
              </w:rPr>
              <w:t> </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1641"/>
              </w:rPr>
              <w:t xml:space="preserve">  </w:t>
            </w:r>
          </w:p>
        </w:tc>
        <w:tc>
          <w:tcPr>
            <w:tcW w:w="0" w:type="dxa"/>
            <w:vAlign w:val="bottom"/>
          </w:tcPr>
          <w:p>
            <w:pPr>
              <w:spacing w:after="0"/>
              <w:rPr>
                <w:sz w:val="1"/>
                <w:szCs w:val="1"/>
                <w:color w:val="auto"/>
              </w:rPr>
            </w:pPr>
          </w:p>
        </w:tc>
      </w:tr>
      <w:tr>
        <w:trPr>
          <w:trHeight w:val="48"/>
        </w:trPr>
        <w:tc>
          <w:tcPr>
            <w:tcW w:w="1940" w:type="dxa"/>
            <w:vAlign w:val="bottom"/>
            <w:tcBorders>
              <w:bottom w:val="single" w:sz="8" w:color="BFA071"/>
            </w:tcBorders>
          </w:tcPr>
          <w:p>
            <w:pPr>
              <w:spacing w:after="0"/>
              <w:rPr>
                <w:sz w:val="4"/>
                <w:szCs w:val="4"/>
                <w:color w:val="auto"/>
              </w:rPr>
            </w:pPr>
          </w:p>
        </w:tc>
        <w:tc>
          <w:tcPr>
            <w:tcW w:w="720" w:type="dxa"/>
            <w:vAlign w:val="bottom"/>
            <w:tcBorders>
              <w:bottom w:val="single" w:sz="8" w:color="BFA071"/>
            </w:tcBorders>
          </w:tcPr>
          <w:p>
            <w:pPr>
              <w:spacing w:after="0"/>
              <w:rPr>
                <w:sz w:val="4"/>
                <w:szCs w:val="4"/>
                <w:color w:val="auto"/>
              </w:rPr>
            </w:pPr>
          </w:p>
        </w:tc>
        <w:tc>
          <w:tcPr>
            <w:tcW w:w="720" w:type="dxa"/>
            <w:vAlign w:val="bottom"/>
            <w:tcBorders>
              <w:bottom w:val="single" w:sz="8" w:color="BFA071"/>
            </w:tcBorders>
          </w:tcPr>
          <w:p>
            <w:pPr>
              <w:spacing w:after="0"/>
              <w:rPr>
                <w:sz w:val="4"/>
                <w:szCs w:val="4"/>
                <w:color w:val="auto"/>
              </w:rPr>
            </w:pPr>
          </w:p>
        </w:tc>
        <w:tc>
          <w:tcPr>
            <w:tcW w:w="540" w:type="dxa"/>
            <w:vAlign w:val="bottom"/>
            <w:tcBorders>
              <w:bottom w:val="single" w:sz="8" w:color="BFA071"/>
            </w:tcBorders>
          </w:tcPr>
          <w:p>
            <w:pPr>
              <w:spacing w:after="0"/>
              <w:rPr>
                <w:sz w:val="4"/>
                <w:szCs w:val="4"/>
                <w:color w:val="auto"/>
              </w:rPr>
            </w:pPr>
          </w:p>
        </w:tc>
        <w:tc>
          <w:tcPr>
            <w:tcW w:w="520" w:type="dxa"/>
            <w:vAlign w:val="bottom"/>
            <w:tcBorders>
              <w:bottom w:val="single" w:sz="8" w:color="BFA071"/>
            </w:tcBorders>
          </w:tcPr>
          <w:p>
            <w:pPr>
              <w:spacing w:after="0"/>
              <w:rPr>
                <w:sz w:val="4"/>
                <w:szCs w:val="4"/>
                <w:color w:val="auto"/>
              </w:rPr>
            </w:pPr>
          </w:p>
        </w:tc>
        <w:tc>
          <w:tcPr>
            <w:tcW w:w="620" w:type="dxa"/>
            <w:vAlign w:val="bottom"/>
            <w:tcBorders>
              <w:bottom w:val="single" w:sz="8" w:color="BFA071"/>
            </w:tcBorders>
          </w:tcPr>
          <w:p>
            <w:pPr>
              <w:spacing w:after="0"/>
              <w:rPr>
                <w:sz w:val="4"/>
                <w:szCs w:val="4"/>
                <w:color w:val="auto"/>
              </w:rPr>
            </w:pPr>
          </w:p>
        </w:tc>
        <w:tc>
          <w:tcPr>
            <w:tcW w:w="660" w:type="dxa"/>
            <w:vAlign w:val="bottom"/>
            <w:tcBorders>
              <w:bottom w:val="single" w:sz="8" w:color="BFA071"/>
            </w:tcBorders>
          </w:tcPr>
          <w:p>
            <w:pPr>
              <w:spacing w:after="0"/>
              <w:rPr>
                <w:sz w:val="4"/>
                <w:szCs w:val="4"/>
                <w:color w:val="auto"/>
              </w:rPr>
            </w:pPr>
          </w:p>
        </w:tc>
        <w:tc>
          <w:tcPr>
            <w:tcW w:w="580" w:type="dxa"/>
            <w:vAlign w:val="bottom"/>
            <w:tcBorders>
              <w:bottom w:val="single" w:sz="8" w:color="BFA071"/>
            </w:tcBorders>
          </w:tcPr>
          <w:p>
            <w:pPr>
              <w:spacing w:after="0"/>
              <w:rPr>
                <w:sz w:val="4"/>
                <w:szCs w:val="4"/>
                <w:color w:val="auto"/>
              </w:rPr>
            </w:pPr>
          </w:p>
        </w:tc>
        <w:tc>
          <w:tcPr>
            <w:tcW w:w="600" w:type="dxa"/>
            <w:vAlign w:val="bottom"/>
            <w:tcBorders>
              <w:bottom w:val="single" w:sz="8" w:color="BFA071"/>
            </w:tcBorders>
            <w:vMerge w:val="continue"/>
          </w:tcPr>
          <w:p>
            <w:pPr>
              <w:spacing w:after="0"/>
              <w:rPr>
                <w:sz w:val="4"/>
                <w:szCs w:val="4"/>
                <w:color w:val="auto"/>
              </w:rPr>
            </w:pPr>
          </w:p>
        </w:tc>
        <w:tc>
          <w:tcPr>
            <w:tcW w:w="600" w:type="dxa"/>
            <w:vAlign w:val="bottom"/>
            <w:tcBorders>
              <w:bottom w:val="single" w:sz="8" w:color="BFA071"/>
            </w:tcBorders>
          </w:tcPr>
          <w:p>
            <w:pPr>
              <w:spacing w:after="0"/>
              <w:rPr>
                <w:sz w:val="4"/>
                <w:szCs w:val="4"/>
                <w:color w:val="auto"/>
              </w:rPr>
            </w:pPr>
          </w:p>
        </w:tc>
        <w:tc>
          <w:tcPr>
            <w:tcW w:w="600" w:type="dxa"/>
            <w:vAlign w:val="bottom"/>
            <w:tcBorders>
              <w:bottom w:val="single" w:sz="8" w:color="BFA071"/>
            </w:tcBorders>
          </w:tcPr>
          <w:p>
            <w:pPr>
              <w:spacing w:after="0"/>
              <w:rPr>
                <w:sz w:val="4"/>
                <w:szCs w:val="4"/>
                <w:color w:val="auto"/>
              </w:rPr>
            </w:pPr>
          </w:p>
        </w:tc>
        <w:tc>
          <w:tcPr>
            <w:tcW w:w="580" w:type="dxa"/>
            <w:vAlign w:val="bottom"/>
            <w:tcBorders>
              <w:bottom w:val="single" w:sz="8" w:color="BFA071"/>
            </w:tcBorders>
          </w:tcPr>
          <w:p>
            <w:pPr>
              <w:spacing w:after="0"/>
              <w:rPr>
                <w:sz w:val="4"/>
                <w:szCs w:val="4"/>
                <w:color w:val="auto"/>
              </w:rPr>
            </w:pPr>
          </w:p>
        </w:tc>
        <w:tc>
          <w:tcPr>
            <w:tcW w:w="500" w:type="dxa"/>
            <w:vAlign w:val="bottom"/>
            <w:tcBorders>
              <w:bottom w:val="single" w:sz="8" w:color="BFA071"/>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940" w:type="dxa"/>
            <w:vAlign w:val="bottom"/>
          </w:tcPr>
          <w:p>
            <w:pPr>
              <w:ind w:left="40"/>
              <w:spacing w:after="0" w:line="124" w:lineRule="exact"/>
              <w:rPr>
                <w:sz w:val="20"/>
                <w:szCs w:val="20"/>
                <w:color w:val="auto"/>
              </w:rPr>
            </w:pPr>
            <w:r>
              <w:rPr>
                <w:rFonts w:ascii="Arial" w:cs="Arial" w:eastAsia="Arial" w:hAnsi="Arial"/>
                <w:sz w:val="13"/>
                <w:szCs w:val="13"/>
                <w:b w:val="1"/>
                <w:bCs w:val="1"/>
                <w:color w:val="001641"/>
              </w:rPr>
              <w:t>E-commerce/Digital/</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vMerge w:val="restart"/>
          </w:tcPr>
          <w:p>
            <w:pPr>
              <w:ind w:left="100"/>
              <w:spacing w:after="0"/>
              <w:rPr>
                <w:sz w:val="20"/>
                <w:szCs w:val="20"/>
                <w:color w:val="auto"/>
              </w:rPr>
            </w:pPr>
            <w:r>
              <w:rPr>
                <w:rFonts w:ascii="Arial" w:cs="Arial" w:eastAsia="Arial" w:hAnsi="Arial"/>
                <w:sz w:val="13"/>
                <w:szCs w:val="13"/>
                <w:color w:val="001641"/>
              </w:rPr>
              <w:t> </w:t>
            </w: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1641"/>
              </w:rPr>
              <w:t xml:space="preserve">  </w:t>
            </w:r>
          </w:p>
        </w:tc>
        <w:tc>
          <w:tcPr>
            <w:tcW w:w="0" w:type="dxa"/>
            <w:vAlign w:val="bottom"/>
          </w:tcPr>
          <w:p>
            <w:pPr>
              <w:spacing w:after="0"/>
              <w:rPr>
                <w:sz w:val="1"/>
                <w:szCs w:val="1"/>
                <w:color w:val="auto"/>
              </w:rPr>
            </w:pPr>
          </w:p>
        </w:tc>
      </w:tr>
      <w:tr>
        <w:trPr>
          <w:trHeight w:val="166"/>
        </w:trPr>
        <w:tc>
          <w:tcPr>
            <w:tcW w:w="1940" w:type="dxa"/>
            <w:vAlign w:val="bottom"/>
            <w:tcBorders>
              <w:bottom w:val="single" w:sz="8" w:color="BFA071"/>
            </w:tcBorders>
          </w:tcPr>
          <w:p>
            <w:pPr>
              <w:ind w:left="40"/>
              <w:spacing w:after="0"/>
              <w:rPr>
                <w:sz w:val="20"/>
                <w:szCs w:val="20"/>
                <w:color w:val="auto"/>
              </w:rPr>
            </w:pPr>
            <w:r>
              <w:rPr>
                <w:rFonts w:ascii="Arial" w:cs="Arial" w:eastAsia="Arial" w:hAnsi="Arial"/>
                <w:sz w:val="13"/>
                <w:szCs w:val="13"/>
                <w:b w:val="1"/>
                <w:bCs w:val="1"/>
                <w:color w:val="001641"/>
              </w:rPr>
              <w:t>Technology/AI</w:t>
            </w:r>
          </w:p>
        </w:tc>
        <w:tc>
          <w:tcPr>
            <w:tcW w:w="720" w:type="dxa"/>
            <w:vAlign w:val="bottom"/>
            <w:tcBorders>
              <w:bottom w:val="single" w:sz="8" w:color="BFA071"/>
            </w:tcBorders>
          </w:tcPr>
          <w:p>
            <w:pPr>
              <w:spacing w:after="0"/>
              <w:rPr>
                <w:sz w:val="14"/>
                <w:szCs w:val="14"/>
                <w:color w:val="auto"/>
              </w:rPr>
            </w:pPr>
          </w:p>
        </w:tc>
        <w:tc>
          <w:tcPr>
            <w:tcW w:w="720" w:type="dxa"/>
            <w:vAlign w:val="bottom"/>
            <w:tcBorders>
              <w:bottom w:val="single" w:sz="8" w:color="BFA071"/>
            </w:tcBorders>
          </w:tcPr>
          <w:p>
            <w:pPr>
              <w:spacing w:after="0"/>
              <w:rPr>
                <w:sz w:val="14"/>
                <w:szCs w:val="14"/>
                <w:color w:val="auto"/>
              </w:rPr>
            </w:pPr>
          </w:p>
        </w:tc>
        <w:tc>
          <w:tcPr>
            <w:tcW w:w="540" w:type="dxa"/>
            <w:vAlign w:val="bottom"/>
            <w:tcBorders>
              <w:bottom w:val="single" w:sz="8" w:color="BFA071"/>
            </w:tcBorders>
          </w:tcPr>
          <w:p>
            <w:pPr>
              <w:spacing w:after="0"/>
              <w:rPr>
                <w:sz w:val="14"/>
                <w:szCs w:val="14"/>
                <w:color w:val="auto"/>
              </w:rPr>
            </w:pPr>
          </w:p>
        </w:tc>
        <w:tc>
          <w:tcPr>
            <w:tcW w:w="520" w:type="dxa"/>
            <w:vAlign w:val="bottom"/>
            <w:tcBorders>
              <w:bottom w:val="single" w:sz="8" w:color="BFA071"/>
            </w:tcBorders>
          </w:tcPr>
          <w:p>
            <w:pPr>
              <w:spacing w:after="0"/>
              <w:rPr>
                <w:sz w:val="14"/>
                <w:szCs w:val="14"/>
                <w:color w:val="auto"/>
              </w:rPr>
            </w:pPr>
          </w:p>
        </w:tc>
        <w:tc>
          <w:tcPr>
            <w:tcW w:w="620" w:type="dxa"/>
            <w:vAlign w:val="bottom"/>
            <w:tcBorders>
              <w:bottom w:val="single" w:sz="8" w:color="BFA071"/>
            </w:tcBorders>
          </w:tcPr>
          <w:p>
            <w:pPr>
              <w:spacing w:after="0"/>
              <w:rPr>
                <w:sz w:val="14"/>
                <w:szCs w:val="14"/>
                <w:color w:val="auto"/>
              </w:rPr>
            </w:pPr>
          </w:p>
        </w:tc>
        <w:tc>
          <w:tcPr>
            <w:tcW w:w="660" w:type="dxa"/>
            <w:vAlign w:val="bottom"/>
            <w:tcBorders>
              <w:bottom w:val="single" w:sz="8" w:color="BFA071"/>
            </w:tcBorders>
          </w:tcPr>
          <w:p>
            <w:pPr>
              <w:spacing w:after="0"/>
              <w:rPr>
                <w:sz w:val="14"/>
                <w:szCs w:val="14"/>
                <w:color w:val="auto"/>
              </w:rPr>
            </w:pPr>
          </w:p>
        </w:tc>
        <w:tc>
          <w:tcPr>
            <w:tcW w:w="580" w:type="dxa"/>
            <w:vAlign w:val="bottom"/>
            <w:tcBorders>
              <w:bottom w:val="single" w:sz="8" w:color="BFA071"/>
            </w:tcBorders>
          </w:tcPr>
          <w:p>
            <w:pPr>
              <w:spacing w:after="0"/>
              <w:rPr>
                <w:sz w:val="14"/>
                <w:szCs w:val="14"/>
                <w:color w:val="auto"/>
              </w:rPr>
            </w:pPr>
          </w:p>
        </w:tc>
        <w:tc>
          <w:tcPr>
            <w:tcW w:w="600" w:type="dxa"/>
            <w:vAlign w:val="bottom"/>
            <w:tcBorders>
              <w:bottom w:val="single" w:sz="8" w:color="BFA071"/>
            </w:tcBorders>
            <w:vMerge w:val="continue"/>
          </w:tcPr>
          <w:p>
            <w:pPr>
              <w:spacing w:after="0"/>
              <w:rPr>
                <w:sz w:val="14"/>
                <w:szCs w:val="14"/>
                <w:color w:val="auto"/>
              </w:rPr>
            </w:pPr>
          </w:p>
        </w:tc>
        <w:tc>
          <w:tcPr>
            <w:tcW w:w="600" w:type="dxa"/>
            <w:vAlign w:val="bottom"/>
            <w:tcBorders>
              <w:bottom w:val="single" w:sz="8" w:color="BFA071"/>
            </w:tcBorders>
          </w:tcPr>
          <w:p>
            <w:pPr>
              <w:spacing w:after="0"/>
              <w:rPr>
                <w:sz w:val="14"/>
                <w:szCs w:val="14"/>
                <w:color w:val="auto"/>
              </w:rPr>
            </w:pPr>
          </w:p>
        </w:tc>
        <w:tc>
          <w:tcPr>
            <w:tcW w:w="600" w:type="dxa"/>
            <w:vAlign w:val="bottom"/>
            <w:tcBorders>
              <w:bottom w:val="single" w:sz="8" w:color="BFA071"/>
            </w:tcBorders>
          </w:tcPr>
          <w:p>
            <w:pPr>
              <w:spacing w:after="0"/>
              <w:rPr>
                <w:sz w:val="14"/>
                <w:szCs w:val="14"/>
                <w:color w:val="auto"/>
              </w:rPr>
            </w:pPr>
          </w:p>
        </w:tc>
        <w:tc>
          <w:tcPr>
            <w:tcW w:w="580" w:type="dxa"/>
            <w:vAlign w:val="bottom"/>
            <w:tcBorders>
              <w:bottom w:val="single" w:sz="8" w:color="BFA071"/>
            </w:tcBorders>
          </w:tcPr>
          <w:p>
            <w:pPr>
              <w:spacing w:after="0"/>
              <w:rPr>
                <w:sz w:val="14"/>
                <w:szCs w:val="14"/>
                <w:color w:val="auto"/>
              </w:rPr>
            </w:pPr>
          </w:p>
        </w:tc>
        <w:tc>
          <w:tcPr>
            <w:tcW w:w="500" w:type="dxa"/>
            <w:vAlign w:val="bottom"/>
            <w:tcBorders>
              <w:bottom w:val="single" w:sz="8" w:color="BFA071"/>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40" w:type="dxa"/>
            <w:vAlign w:val="bottom"/>
            <w:tcBorders>
              <w:bottom w:val="single" w:sz="8" w:color="BFA071"/>
            </w:tcBorders>
          </w:tcPr>
          <w:p>
            <w:pPr>
              <w:ind w:left="40"/>
              <w:spacing w:after="0"/>
              <w:rPr>
                <w:sz w:val="20"/>
                <w:szCs w:val="20"/>
                <w:color w:val="auto"/>
              </w:rPr>
            </w:pPr>
            <w:r>
              <w:rPr>
                <w:rFonts w:ascii="Arial" w:cs="Arial" w:eastAsia="Arial" w:hAnsi="Arial"/>
                <w:sz w:val="13"/>
                <w:szCs w:val="13"/>
                <w:b w:val="1"/>
                <w:bCs w:val="1"/>
                <w:color w:val="001641"/>
              </w:rPr>
              <w:t>Data protection/Cyber/IT</w:t>
            </w:r>
          </w:p>
        </w:tc>
        <w:tc>
          <w:tcPr>
            <w:tcW w:w="720" w:type="dxa"/>
            <w:vAlign w:val="bottom"/>
            <w:tcBorders>
              <w:bottom w:val="single" w:sz="8" w:color="BFA071"/>
            </w:tcBorders>
          </w:tcPr>
          <w:p>
            <w:pPr>
              <w:spacing w:after="0"/>
              <w:rPr>
                <w:sz w:val="13"/>
                <w:szCs w:val="13"/>
                <w:color w:val="auto"/>
              </w:rPr>
            </w:pPr>
          </w:p>
        </w:tc>
        <w:tc>
          <w:tcPr>
            <w:tcW w:w="720" w:type="dxa"/>
            <w:vAlign w:val="bottom"/>
            <w:tcBorders>
              <w:bottom w:val="single" w:sz="8" w:color="BFA071"/>
            </w:tcBorders>
          </w:tcPr>
          <w:p>
            <w:pPr>
              <w:spacing w:after="0"/>
              <w:rPr>
                <w:sz w:val="13"/>
                <w:szCs w:val="13"/>
                <w:color w:val="auto"/>
              </w:rPr>
            </w:pPr>
          </w:p>
        </w:tc>
        <w:tc>
          <w:tcPr>
            <w:tcW w:w="540" w:type="dxa"/>
            <w:vAlign w:val="bottom"/>
            <w:tcBorders>
              <w:bottom w:val="single" w:sz="8" w:color="BFA071"/>
            </w:tcBorders>
          </w:tcPr>
          <w:p>
            <w:pPr>
              <w:spacing w:after="0"/>
              <w:rPr>
                <w:sz w:val="13"/>
                <w:szCs w:val="13"/>
                <w:color w:val="auto"/>
              </w:rPr>
            </w:pPr>
          </w:p>
        </w:tc>
        <w:tc>
          <w:tcPr>
            <w:tcW w:w="520" w:type="dxa"/>
            <w:vAlign w:val="bottom"/>
            <w:tcBorders>
              <w:bottom w:val="single" w:sz="8" w:color="BFA071"/>
            </w:tcBorders>
          </w:tcPr>
          <w:p>
            <w:pPr>
              <w:spacing w:after="0"/>
              <w:rPr>
                <w:sz w:val="13"/>
                <w:szCs w:val="13"/>
                <w:color w:val="auto"/>
              </w:rPr>
            </w:pPr>
          </w:p>
        </w:tc>
        <w:tc>
          <w:tcPr>
            <w:tcW w:w="620" w:type="dxa"/>
            <w:vAlign w:val="bottom"/>
            <w:tcBorders>
              <w:bottom w:val="single" w:sz="8" w:color="BFA071"/>
            </w:tcBorders>
          </w:tcPr>
          <w:p>
            <w:pPr>
              <w:spacing w:after="0"/>
              <w:rPr>
                <w:sz w:val="13"/>
                <w:szCs w:val="13"/>
                <w:color w:val="auto"/>
              </w:rPr>
            </w:pPr>
          </w:p>
        </w:tc>
        <w:tc>
          <w:tcPr>
            <w:tcW w:w="660" w:type="dxa"/>
            <w:vAlign w:val="bottom"/>
            <w:tcBorders>
              <w:bottom w:val="single" w:sz="8" w:color="BFA071"/>
            </w:tcBorders>
          </w:tcPr>
          <w:p>
            <w:pPr>
              <w:spacing w:after="0"/>
              <w:rPr>
                <w:sz w:val="13"/>
                <w:szCs w:val="13"/>
                <w:color w:val="auto"/>
              </w:rPr>
            </w:pPr>
          </w:p>
        </w:tc>
        <w:tc>
          <w:tcPr>
            <w:tcW w:w="580" w:type="dxa"/>
            <w:vAlign w:val="bottom"/>
            <w:tcBorders>
              <w:bottom w:val="single" w:sz="8" w:color="BFA071"/>
            </w:tcBorders>
          </w:tcPr>
          <w:p>
            <w:pPr>
              <w:spacing w:after="0"/>
              <w:rPr>
                <w:sz w:val="13"/>
                <w:szCs w:val="13"/>
                <w:color w:val="auto"/>
              </w:rPr>
            </w:pPr>
          </w:p>
        </w:tc>
        <w:tc>
          <w:tcPr>
            <w:tcW w:w="600" w:type="dxa"/>
            <w:vAlign w:val="bottom"/>
            <w:tcBorders>
              <w:bottom w:val="single" w:sz="8" w:color="BFA071"/>
            </w:tcBorders>
          </w:tcPr>
          <w:p>
            <w:pPr>
              <w:spacing w:after="0"/>
              <w:rPr>
                <w:sz w:val="13"/>
                <w:szCs w:val="13"/>
                <w:color w:val="auto"/>
              </w:rPr>
            </w:pPr>
          </w:p>
        </w:tc>
        <w:tc>
          <w:tcPr>
            <w:tcW w:w="600" w:type="dxa"/>
            <w:vAlign w:val="bottom"/>
            <w:tcBorders>
              <w:bottom w:val="single" w:sz="8" w:color="BFA071"/>
            </w:tcBorders>
          </w:tcPr>
          <w:p>
            <w:pPr>
              <w:spacing w:after="0"/>
              <w:rPr>
                <w:sz w:val="13"/>
                <w:szCs w:val="13"/>
                <w:color w:val="auto"/>
              </w:rPr>
            </w:pPr>
          </w:p>
        </w:tc>
        <w:tc>
          <w:tcPr>
            <w:tcW w:w="600" w:type="dxa"/>
            <w:vAlign w:val="bottom"/>
            <w:tcBorders>
              <w:bottom w:val="single" w:sz="8" w:color="BFA071"/>
            </w:tcBorders>
          </w:tcPr>
          <w:p>
            <w:pPr>
              <w:spacing w:after="0"/>
              <w:rPr>
                <w:sz w:val="13"/>
                <w:szCs w:val="13"/>
                <w:color w:val="auto"/>
              </w:rPr>
            </w:pPr>
          </w:p>
        </w:tc>
        <w:tc>
          <w:tcPr>
            <w:tcW w:w="580" w:type="dxa"/>
            <w:vAlign w:val="bottom"/>
            <w:tcBorders>
              <w:bottom w:val="single" w:sz="8" w:color="BFA071"/>
            </w:tcBorders>
          </w:tcPr>
          <w:p>
            <w:pPr>
              <w:spacing w:after="0"/>
              <w:rPr>
                <w:sz w:val="13"/>
                <w:szCs w:val="13"/>
                <w:color w:val="auto"/>
              </w:rPr>
            </w:pPr>
          </w:p>
        </w:tc>
        <w:tc>
          <w:tcPr>
            <w:tcW w:w="500" w:type="dxa"/>
            <w:vAlign w:val="bottom"/>
            <w:tcBorders>
              <w:bottom w:val="single" w:sz="8" w:color="BFA071"/>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940" w:type="dxa"/>
            <w:vAlign w:val="bottom"/>
          </w:tcPr>
          <w:p>
            <w:pPr>
              <w:ind w:left="40"/>
              <w:spacing w:after="0"/>
              <w:rPr>
                <w:sz w:val="20"/>
                <w:szCs w:val="20"/>
                <w:color w:val="auto"/>
              </w:rPr>
            </w:pPr>
            <w:r>
              <w:rPr>
                <w:rFonts w:ascii="Arial" w:cs="Arial" w:eastAsia="Arial" w:hAnsi="Arial"/>
                <w:sz w:val="13"/>
                <w:szCs w:val="13"/>
                <w:b w:val="1"/>
                <w:bCs w:val="1"/>
                <w:color w:val="001641"/>
              </w:rPr>
              <w:t>Finance/Capital Allocation</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1641"/>
              </w:rPr>
              <w:t xml:space="preserve">  </w:t>
            </w:r>
          </w:p>
        </w:tc>
        <w:tc>
          <w:tcPr>
            <w:tcW w:w="0" w:type="dxa"/>
            <w:vAlign w:val="bottom"/>
          </w:tcPr>
          <w:p>
            <w:pPr>
              <w:spacing w:after="0"/>
              <w:rPr>
                <w:sz w:val="1"/>
                <w:szCs w:val="1"/>
                <w:color w:val="auto"/>
              </w:rPr>
            </w:pPr>
          </w:p>
        </w:tc>
      </w:tr>
      <w:tr>
        <w:trPr>
          <w:trHeight w:val="48"/>
        </w:trPr>
        <w:tc>
          <w:tcPr>
            <w:tcW w:w="1940" w:type="dxa"/>
            <w:vAlign w:val="bottom"/>
            <w:tcBorders>
              <w:bottom w:val="single" w:sz="8" w:color="BFA071"/>
            </w:tcBorders>
          </w:tcPr>
          <w:p>
            <w:pPr>
              <w:spacing w:after="0"/>
              <w:rPr>
                <w:sz w:val="4"/>
                <w:szCs w:val="4"/>
                <w:color w:val="auto"/>
              </w:rPr>
            </w:pPr>
          </w:p>
        </w:tc>
        <w:tc>
          <w:tcPr>
            <w:tcW w:w="720" w:type="dxa"/>
            <w:vAlign w:val="bottom"/>
            <w:tcBorders>
              <w:bottom w:val="single" w:sz="8" w:color="BFA071"/>
            </w:tcBorders>
          </w:tcPr>
          <w:p>
            <w:pPr>
              <w:spacing w:after="0"/>
              <w:rPr>
                <w:sz w:val="4"/>
                <w:szCs w:val="4"/>
                <w:color w:val="auto"/>
              </w:rPr>
            </w:pPr>
          </w:p>
        </w:tc>
        <w:tc>
          <w:tcPr>
            <w:tcW w:w="720" w:type="dxa"/>
            <w:vAlign w:val="bottom"/>
            <w:tcBorders>
              <w:bottom w:val="single" w:sz="8" w:color="BFA071"/>
            </w:tcBorders>
          </w:tcPr>
          <w:p>
            <w:pPr>
              <w:spacing w:after="0"/>
              <w:rPr>
                <w:sz w:val="4"/>
                <w:szCs w:val="4"/>
                <w:color w:val="auto"/>
              </w:rPr>
            </w:pPr>
          </w:p>
        </w:tc>
        <w:tc>
          <w:tcPr>
            <w:tcW w:w="540" w:type="dxa"/>
            <w:vAlign w:val="bottom"/>
            <w:tcBorders>
              <w:bottom w:val="single" w:sz="8" w:color="BFA071"/>
            </w:tcBorders>
          </w:tcPr>
          <w:p>
            <w:pPr>
              <w:spacing w:after="0"/>
              <w:rPr>
                <w:sz w:val="4"/>
                <w:szCs w:val="4"/>
                <w:color w:val="auto"/>
              </w:rPr>
            </w:pPr>
          </w:p>
        </w:tc>
        <w:tc>
          <w:tcPr>
            <w:tcW w:w="520" w:type="dxa"/>
            <w:vAlign w:val="bottom"/>
            <w:tcBorders>
              <w:bottom w:val="single" w:sz="8" w:color="BFA071"/>
            </w:tcBorders>
          </w:tcPr>
          <w:p>
            <w:pPr>
              <w:spacing w:after="0"/>
              <w:rPr>
                <w:sz w:val="4"/>
                <w:szCs w:val="4"/>
                <w:color w:val="auto"/>
              </w:rPr>
            </w:pPr>
          </w:p>
        </w:tc>
        <w:tc>
          <w:tcPr>
            <w:tcW w:w="620" w:type="dxa"/>
            <w:vAlign w:val="bottom"/>
            <w:tcBorders>
              <w:bottom w:val="single" w:sz="8" w:color="BFA071"/>
            </w:tcBorders>
          </w:tcPr>
          <w:p>
            <w:pPr>
              <w:spacing w:after="0"/>
              <w:rPr>
                <w:sz w:val="4"/>
                <w:szCs w:val="4"/>
                <w:color w:val="auto"/>
              </w:rPr>
            </w:pPr>
          </w:p>
        </w:tc>
        <w:tc>
          <w:tcPr>
            <w:tcW w:w="660" w:type="dxa"/>
            <w:vAlign w:val="bottom"/>
            <w:tcBorders>
              <w:bottom w:val="single" w:sz="8" w:color="BFA071"/>
            </w:tcBorders>
          </w:tcPr>
          <w:p>
            <w:pPr>
              <w:spacing w:after="0"/>
              <w:rPr>
                <w:sz w:val="4"/>
                <w:szCs w:val="4"/>
                <w:color w:val="auto"/>
              </w:rPr>
            </w:pPr>
          </w:p>
        </w:tc>
        <w:tc>
          <w:tcPr>
            <w:tcW w:w="580" w:type="dxa"/>
            <w:vAlign w:val="bottom"/>
            <w:tcBorders>
              <w:bottom w:val="single" w:sz="8" w:color="BFA071"/>
            </w:tcBorders>
          </w:tcPr>
          <w:p>
            <w:pPr>
              <w:spacing w:after="0"/>
              <w:rPr>
                <w:sz w:val="4"/>
                <w:szCs w:val="4"/>
                <w:color w:val="auto"/>
              </w:rPr>
            </w:pPr>
          </w:p>
        </w:tc>
        <w:tc>
          <w:tcPr>
            <w:tcW w:w="600" w:type="dxa"/>
            <w:vAlign w:val="bottom"/>
            <w:tcBorders>
              <w:bottom w:val="single" w:sz="8" w:color="BFA071"/>
            </w:tcBorders>
          </w:tcPr>
          <w:p>
            <w:pPr>
              <w:spacing w:after="0"/>
              <w:rPr>
                <w:sz w:val="4"/>
                <w:szCs w:val="4"/>
                <w:color w:val="auto"/>
              </w:rPr>
            </w:pPr>
          </w:p>
        </w:tc>
        <w:tc>
          <w:tcPr>
            <w:tcW w:w="600" w:type="dxa"/>
            <w:vAlign w:val="bottom"/>
            <w:tcBorders>
              <w:bottom w:val="single" w:sz="8" w:color="BFA071"/>
            </w:tcBorders>
          </w:tcPr>
          <w:p>
            <w:pPr>
              <w:spacing w:after="0"/>
              <w:rPr>
                <w:sz w:val="4"/>
                <w:szCs w:val="4"/>
                <w:color w:val="auto"/>
              </w:rPr>
            </w:pPr>
          </w:p>
        </w:tc>
        <w:tc>
          <w:tcPr>
            <w:tcW w:w="600" w:type="dxa"/>
            <w:vAlign w:val="bottom"/>
            <w:tcBorders>
              <w:bottom w:val="single" w:sz="8" w:color="BFA071"/>
            </w:tcBorders>
          </w:tcPr>
          <w:p>
            <w:pPr>
              <w:spacing w:after="0"/>
              <w:rPr>
                <w:sz w:val="4"/>
                <w:szCs w:val="4"/>
                <w:color w:val="auto"/>
              </w:rPr>
            </w:pPr>
          </w:p>
        </w:tc>
        <w:tc>
          <w:tcPr>
            <w:tcW w:w="580" w:type="dxa"/>
            <w:vAlign w:val="bottom"/>
            <w:tcBorders>
              <w:bottom w:val="single" w:sz="8" w:color="BFA071"/>
            </w:tcBorders>
          </w:tcPr>
          <w:p>
            <w:pPr>
              <w:spacing w:after="0"/>
              <w:rPr>
                <w:sz w:val="4"/>
                <w:szCs w:val="4"/>
                <w:color w:val="auto"/>
              </w:rPr>
            </w:pPr>
          </w:p>
        </w:tc>
        <w:tc>
          <w:tcPr>
            <w:tcW w:w="500" w:type="dxa"/>
            <w:vAlign w:val="bottom"/>
            <w:tcBorders>
              <w:bottom w:val="single" w:sz="8" w:color="BFA071"/>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940" w:type="dxa"/>
            <w:vAlign w:val="bottom"/>
          </w:tcPr>
          <w:p>
            <w:pPr>
              <w:ind w:left="40"/>
              <w:spacing w:after="0" w:line="124" w:lineRule="exact"/>
              <w:rPr>
                <w:sz w:val="20"/>
                <w:szCs w:val="20"/>
                <w:color w:val="auto"/>
              </w:rPr>
            </w:pPr>
            <w:r>
              <w:rPr>
                <w:rFonts w:ascii="Arial" w:cs="Arial" w:eastAsia="Arial" w:hAnsi="Arial"/>
                <w:sz w:val="13"/>
                <w:szCs w:val="13"/>
                <w:b w:val="1"/>
                <w:bCs w:val="1"/>
                <w:color w:val="001641"/>
              </w:rPr>
              <w:t>Consumer</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vMerge w:val="restart"/>
          </w:tcPr>
          <w:p>
            <w:pPr>
              <w:ind w:left="100"/>
              <w:spacing w:after="0"/>
              <w:rPr>
                <w:sz w:val="20"/>
                <w:szCs w:val="20"/>
                <w:color w:val="auto"/>
              </w:rPr>
            </w:pPr>
            <w:r>
              <w:rPr>
                <w:rFonts w:ascii="Arial" w:cs="Arial" w:eastAsia="Arial" w:hAnsi="Arial"/>
                <w:sz w:val="13"/>
                <w:szCs w:val="13"/>
                <w:color w:val="001641"/>
              </w:rPr>
              <w:t> </w:t>
            </w: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1641"/>
              </w:rPr>
              <w:t xml:space="preserve">  </w:t>
            </w:r>
          </w:p>
        </w:tc>
        <w:tc>
          <w:tcPr>
            <w:tcW w:w="0" w:type="dxa"/>
            <w:vAlign w:val="bottom"/>
          </w:tcPr>
          <w:p>
            <w:pPr>
              <w:spacing w:after="0"/>
              <w:rPr>
                <w:sz w:val="1"/>
                <w:szCs w:val="1"/>
                <w:color w:val="auto"/>
              </w:rPr>
            </w:pPr>
          </w:p>
        </w:tc>
      </w:tr>
      <w:tr>
        <w:trPr>
          <w:trHeight w:val="166"/>
        </w:trPr>
        <w:tc>
          <w:tcPr>
            <w:tcW w:w="1940" w:type="dxa"/>
            <w:vAlign w:val="bottom"/>
            <w:tcBorders>
              <w:bottom w:val="single" w:sz="8" w:color="BFA071"/>
            </w:tcBorders>
          </w:tcPr>
          <w:p>
            <w:pPr>
              <w:ind w:left="40"/>
              <w:spacing w:after="0"/>
              <w:rPr>
                <w:sz w:val="20"/>
                <w:szCs w:val="20"/>
                <w:color w:val="auto"/>
              </w:rPr>
            </w:pPr>
            <w:r>
              <w:rPr>
                <w:rFonts w:ascii="Arial" w:cs="Arial" w:eastAsia="Arial" w:hAnsi="Arial"/>
                <w:sz w:val="13"/>
                <w:szCs w:val="13"/>
                <w:b w:val="1"/>
                <w:bCs w:val="1"/>
                <w:color w:val="001641"/>
              </w:rPr>
              <w:t>Insights/Marketing/Sales</w:t>
            </w:r>
          </w:p>
        </w:tc>
        <w:tc>
          <w:tcPr>
            <w:tcW w:w="720" w:type="dxa"/>
            <w:vAlign w:val="bottom"/>
            <w:tcBorders>
              <w:bottom w:val="single" w:sz="8" w:color="BFA071"/>
            </w:tcBorders>
          </w:tcPr>
          <w:p>
            <w:pPr>
              <w:spacing w:after="0"/>
              <w:rPr>
                <w:sz w:val="14"/>
                <w:szCs w:val="14"/>
                <w:color w:val="auto"/>
              </w:rPr>
            </w:pPr>
          </w:p>
        </w:tc>
        <w:tc>
          <w:tcPr>
            <w:tcW w:w="720" w:type="dxa"/>
            <w:vAlign w:val="bottom"/>
            <w:tcBorders>
              <w:bottom w:val="single" w:sz="8" w:color="BFA071"/>
            </w:tcBorders>
          </w:tcPr>
          <w:p>
            <w:pPr>
              <w:spacing w:after="0"/>
              <w:rPr>
                <w:sz w:val="14"/>
                <w:szCs w:val="14"/>
                <w:color w:val="auto"/>
              </w:rPr>
            </w:pPr>
          </w:p>
        </w:tc>
        <w:tc>
          <w:tcPr>
            <w:tcW w:w="540" w:type="dxa"/>
            <w:vAlign w:val="bottom"/>
            <w:tcBorders>
              <w:bottom w:val="single" w:sz="8" w:color="BFA071"/>
            </w:tcBorders>
          </w:tcPr>
          <w:p>
            <w:pPr>
              <w:spacing w:after="0"/>
              <w:rPr>
                <w:sz w:val="14"/>
                <w:szCs w:val="14"/>
                <w:color w:val="auto"/>
              </w:rPr>
            </w:pPr>
          </w:p>
        </w:tc>
        <w:tc>
          <w:tcPr>
            <w:tcW w:w="520" w:type="dxa"/>
            <w:vAlign w:val="bottom"/>
            <w:tcBorders>
              <w:bottom w:val="single" w:sz="8" w:color="BFA071"/>
            </w:tcBorders>
          </w:tcPr>
          <w:p>
            <w:pPr>
              <w:spacing w:after="0"/>
              <w:rPr>
                <w:sz w:val="14"/>
                <w:szCs w:val="14"/>
                <w:color w:val="auto"/>
              </w:rPr>
            </w:pPr>
          </w:p>
        </w:tc>
        <w:tc>
          <w:tcPr>
            <w:tcW w:w="620" w:type="dxa"/>
            <w:vAlign w:val="bottom"/>
            <w:tcBorders>
              <w:bottom w:val="single" w:sz="8" w:color="BFA071"/>
            </w:tcBorders>
          </w:tcPr>
          <w:p>
            <w:pPr>
              <w:spacing w:after="0"/>
              <w:rPr>
                <w:sz w:val="14"/>
                <w:szCs w:val="14"/>
                <w:color w:val="auto"/>
              </w:rPr>
            </w:pPr>
          </w:p>
        </w:tc>
        <w:tc>
          <w:tcPr>
            <w:tcW w:w="660" w:type="dxa"/>
            <w:vAlign w:val="bottom"/>
            <w:tcBorders>
              <w:bottom w:val="single" w:sz="8" w:color="BFA071"/>
            </w:tcBorders>
          </w:tcPr>
          <w:p>
            <w:pPr>
              <w:spacing w:after="0"/>
              <w:rPr>
                <w:sz w:val="14"/>
                <w:szCs w:val="14"/>
                <w:color w:val="auto"/>
              </w:rPr>
            </w:pPr>
          </w:p>
        </w:tc>
        <w:tc>
          <w:tcPr>
            <w:tcW w:w="580" w:type="dxa"/>
            <w:vAlign w:val="bottom"/>
            <w:tcBorders>
              <w:bottom w:val="single" w:sz="8" w:color="BFA071"/>
            </w:tcBorders>
          </w:tcPr>
          <w:p>
            <w:pPr>
              <w:spacing w:after="0"/>
              <w:rPr>
                <w:sz w:val="14"/>
                <w:szCs w:val="14"/>
                <w:color w:val="auto"/>
              </w:rPr>
            </w:pPr>
          </w:p>
        </w:tc>
        <w:tc>
          <w:tcPr>
            <w:tcW w:w="600" w:type="dxa"/>
            <w:vAlign w:val="bottom"/>
            <w:tcBorders>
              <w:bottom w:val="single" w:sz="8" w:color="BFA071"/>
            </w:tcBorders>
            <w:vMerge w:val="continue"/>
          </w:tcPr>
          <w:p>
            <w:pPr>
              <w:spacing w:after="0"/>
              <w:rPr>
                <w:sz w:val="14"/>
                <w:szCs w:val="14"/>
                <w:color w:val="auto"/>
              </w:rPr>
            </w:pPr>
          </w:p>
        </w:tc>
        <w:tc>
          <w:tcPr>
            <w:tcW w:w="600" w:type="dxa"/>
            <w:vAlign w:val="bottom"/>
            <w:tcBorders>
              <w:bottom w:val="single" w:sz="8" w:color="BFA071"/>
            </w:tcBorders>
          </w:tcPr>
          <w:p>
            <w:pPr>
              <w:spacing w:after="0"/>
              <w:rPr>
                <w:sz w:val="14"/>
                <w:szCs w:val="14"/>
                <w:color w:val="auto"/>
              </w:rPr>
            </w:pPr>
          </w:p>
        </w:tc>
        <w:tc>
          <w:tcPr>
            <w:tcW w:w="600" w:type="dxa"/>
            <w:vAlign w:val="bottom"/>
            <w:tcBorders>
              <w:bottom w:val="single" w:sz="8" w:color="BFA071"/>
            </w:tcBorders>
          </w:tcPr>
          <w:p>
            <w:pPr>
              <w:spacing w:after="0"/>
              <w:rPr>
                <w:sz w:val="14"/>
                <w:szCs w:val="14"/>
                <w:color w:val="auto"/>
              </w:rPr>
            </w:pPr>
          </w:p>
        </w:tc>
        <w:tc>
          <w:tcPr>
            <w:tcW w:w="580" w:type="dxa"/>
            <w:vAlign w:val="bottom"/>
            <w:tcBorders>
              <w:bottom w:val="single" w:sz="8" w:color="BFA071"/>
            </w:tcBorders>
          </w:tcPr>
          <w:p>
            <w:pPr>
              <w:spacing w:after="0"/>
              <w:rPr>
                <w:sz w:val="14"/>
                <w:szCs w:val="14"/>
                <w:color w:val="auto"/>
              </w:rPr>
            </w:pPr>
          </w:p>
        </w:tc>
        <w:tc>
          <w:tcPr>
            <w:tcW w:w="500" w:type="dxa"/>
            <w:vAlign w:val="bottom"/>
            <w:tcBorders>
              <w:bottom w:val="single" w:sz="8" w:color="BFA071"/>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40" w:type="dxa"/>
            <w:vAlign w:val="bottom"/>
          </w:tcPr>
          <w:p>
            <w:pPr>
              <w:ind w:left="40"/>
              <w:spacing w:after="0"/>
              <w:rPr>
                <w:sz w:val="20"/>
                <w:szCs w:val="20"/>
                <w:color w:val="auto"/>
              </w:rPr>
            </w:pPr>
            <w:r>
              <w:rPr>
                <w:rFonts w:ascii="Arial" w:cs="Arial" w:eastAsia="Arial" w:hAnsi="Arial"/>
                <w:sz w:val="13"/>
                <w:szCs w:val="13"/>
                <w:b w:val="1"/>
                <w:bCs w:val="1"/>
                <w:color w:val="001641"/>
                <w:w w:val="99"/>
              </w:rPr>
              <w:t>Policy/Regulatory/Governance</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40" w:type="dxa"/>
            <w:vAlign w:val="bottom"/>
            <w:shd w:val="clear" w:color="auto" w:fill="BFA071"/>
          </w:tcPr>
          <w:p>
            <w:pPr>
              <w:ind w:left="40"/>
              <w:spacing w:after="0"/>
              <w:rPr>
                <w:sz w:val="20"/>
                <w:szCs w:val="20"/>
                <w:color w:val="auto"/>
              </w:rPr>
            </w:pPr>
            <w:r>
              <w:rPr>
                <w:rFonts w:ascii="Arial" w:cs="Arial" w:eastAsia="Arial" w:hAnsi="Arial"/>
                <w:sz w:val="13"/>
                <w:szCs w:val="13"/>
                <w:b w:val="1"/>
                <w:bCs w:val="1"/>
                <w:color w:val="FFFFFF"/>
              </w:rPr>
              <w:t>Diversity</w:t>
            </w:r>
          </w:p>
        </w:tc>
        <w:tc>
          <w:tcPr>
            <w:tcW w:w="720" w:type="dxa"/>
            <w:vAlign w:val="bottom"/>
            <w:shd w:val="clear" w:color="auto" w:fill="BFA071"/>
          </w:tcPr>
          <w:p>
            <w:pPr>
              <w:spacing w:after="0"/>
              <w:rPr>
                <w:sz w:val="16"/>
                <w:szCs w:val="16"/>
                <w:color w:val="auto"/>
              </w:rPr>
            </w:pPr>
          </w:p>
        </w:tc>
        <w:tc>
          <w:tcPr>
            <w:tcW w:w="720" w:type="dxa"/>
            <w:vAlign w:val="bottom"/>
            <w:shd w:val="clear" w:color="auto" w:fill="BFA071"/>
          </w:tcPr>
          <w:p>
            <w:pPr>
              <w:spacing w:after="0"/>
              <w:rPr>
                <w:sz w:val="16"/>
                <w:szCs w:val="16"/>
                <w:color w:val="auto"/>
              </w:rPr>
            </w:pPr>
          </w:p>
        </w:tc>
        <w:tc>
          <w:tcPr>
            <w:tcW w:w="540" w:type="dxa"/>
            <w:vAlign w:val="bottom"/>
            <w:shd w:val="clear" w:color="auto" w:fill="BFA071"/>
          </w:tcPr>
          <w:p>
            <w:pPr>
              <w:spacing w:after="0"/>
              <w:rPr>
                <w:sz w:val="16"/>
                <w:szCs w:val="16"/>
                <w:color w:val="auto"/>
              </w:rPr>
            </w:pPr>
          </w:p>
        </w:tc>
        <w:tc>
          <w:tcPr>
            <w:tcW w:w="520" w:type="dxa"/>
            <w:vAlign w:val="bottom"/>
            <w:shd w:val="clear" w:color="auto" w:fill="BFA071"/>
          </w:tcPr>
          <w:p>
            <w:pPr>
              <w:spacing w:after="0"/>
              <w:rPr>
                <w:sz w:val="16"/>
                <w:szCs w:val="16"/>
                <w:color w:val="auto"/>
              </w:rPr>
            </w:pPr>
          </w:p>
        </w:tc>
        <w:tc>
          <w:tcPr>
            <w:tcW w:w="620" w:type="dxa"/>
            <w:vAlign w:val="bottom"/>
            <w:shd w:val="clear" w:color="auto" w:fill="BFA071"/>
          </w:tcPr>
          <w:p>
            <w:pPr>
              <w:spacing w:after="0"/>
              <w:rPr>
                <w:sz w:val="16"/>
                <w:szCs w:val="16"/>
                <w:color w:val="auto"/>
              </w:rPr>
            </w:pPr>
          </w:p>
        </w:tc>
        <w:tc>
          <w:tcPr>
            <w:tcW w:w="660" w:type="dxa"/>
            <w:vAlign w:val="bottom"/>
            <w:shd w:val="clear" w:color="auto" w:fill="BFA071"/>
          </w:tcPr>
          <w:p>
            <w:pPr>
              <w:spacing w:after="0"/>
              <w:rPr>
                <w:sz w:val="16"/>
                <w:szCs w:val="16"/>
                <w:color w:val="auto"/>
              </w:rPr>
            </w:pPr>
          </w:p>
        </w:tc>
        <w:tc>
          <w:tcPr>
            <w:tcW w:w="580" w:type="dxa"/>
            <w:vAlign w:val="bottom"/>
            <w:shd w:val="clear" w:color="auto" w:fill="BFA071"/>
          </w:tcPr>
          <w:p>
            <w:pPr>
              <w:spacing w:after="0"/>
              <w:rPr>
                <w:sz w:val="16"/>
                <w:szCs w:val="16"/>
                <w:color w:val="auto"/>
              </w:rPr>
            </w:pPr>
          </w:p>
        </w:tc>
        <w:tc>
          <w:tcPr>
            <w:tcW w:w="600" w:type="dxa"/>
            <w:vAlign w:val="bottom"/>
            <w:shd w:val="clear" w:color="auto" w:fill="BFA071"/>
          </w:tcPr>
          <w:p>
            <w:pPr>
              <w:spacing w:after="0"/>
              <w:rPr>
                <w:sz w:val="16"/>
                <w:szCs w:val="16"/>
                <w:color w:val="auto"/>
              </w:rPr>
            </w:pPr>
          </w:p>
        </w:tc>
        <w:tc>
          <w:tcPr>
            <w:tcW w:w="600" w:type="dxa"/>
            <w:vAlign w:val="bottom"/>
            <w:shd w:val="clear" w:color="auto" w:fill="BFA071"/>
          </w:tcPr>
          <w:p>
            <w:pPr>
              <w:spacing w:after="0"/>
              <w:rPr>
                <w:sz w:val="16"/>
                <w:szCs w:val="16"/>
                <w:color w:val="auto"/>
              </w:rPr>
            </w:pPr>
          </w:p>
        </w:tc>
        <w:tc>
          <w:tcPr>
            <w:tcW w:w="600" w:type="dxa"/>
            <w:vAlign w:val="bottom"/>
            <w:shd w:val="clear" w:color="auto" w:fill="BFA071"/>
          </w:tcPr>
          <w:p>
            <w:pPr>
              <w:spacing w:after="0"/>
              <w:rPr>
                <w:sz w:val="16"/>
                <w:szCs w:val="16"/>
                <w:color w:val="auto"/>
              </w:rPr>
            </w:pPr>
          </w:p>
        </w:tc>
        <w:tc>
          <w:tcPr>
            <w:tcW w:w="580" w:type="dxa"/>
            <w:vAlign w:val="bottom"/>
            <w:shd w:val="clear" w:color="auto" w:fill="BFA071"/>
          </w:tcPr>
          <w:p>
            <w:pPr>
              <w:spacing w:after="0"/>
              <w:rPr>
                <w:sz w:val="16"/>
                <w:szCs w:val="16"/>
                <w:color w:val="auto"/>
              </w:rPr>
            </w:pPr>
          </w:p>
        </w:tc>
        <w:tc>
          <w:tcPr>
            <w:tcW w:w="500" w:type="dxa"/>
            <w:vAlign w:val="bottom"/>
            <w:shd w:val="clear" w:color="auto" w:fill="BFA071"/>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940" w:type="dxa"/>
            <w:vAlign w:val="bottom"/>
          </w:tcPr>
          <w:p>
            <w:pPr>
              <w:ind w:left="40"/>
              <w:spacing w:after="0"/>
              <w:rPr>
                <w:sz w:val="20"/>
                <w:szCs w:val="20"/>
                <w:color w:val="auto"/>
              </w:rPr>
            </w:pPr>
            <w:r>
              <w:rPr>
                <w:rFonts w:ascii="Arial" w:cs="Arial" w:eastAsia="Arial" w:hAnsi="Arial"/>
                <w:sz w:val="13"/>
                <w:szCs w:val="13"/>
                <w:b w:val="1"/>
                <w:bCs w:val="1"/>
                <w:color w:val="001641"/>
              </w:rPr>
              <w:t>Race/Ethnicity</w:t>
            </w: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1641"/>
              </w:rPr>
              <w:t xml:space="preserve">  </w:t>
            </w:r>
          </w:p>
        </w:tc>
        <w:tc>
          <w:tcPr>
            <w:tcW w:w="0" w:type="dxa"/>
            <w:vAlign w:val="bottom"/>
          </w:tcPr>
          <w:p>
            <w:pPr>
              <w:spacing w:after="0"/>
              <w:rPr>
                <w:sz w:val="1"/>
                <w:szCs w:val="1"/>
                <w:color w:val="auto"/>
              </w:rPr>
            </w:pPr>
          </w:p>
        </w:tc>
      </w:tr>
      <w:tr>
        <w:trPr>
          <w:trHeight w:val="48"/>
        </w:trPr>
        <w:tc>
          <w:tcPr>
            <w:tcW w:w="1940" w:type="dxa"/>
            <w:vAlign w:val="bottom"/>
            <w:tcBorders>
              <w:bottom w:val="single" w:sz="8" w:color="BFA071"/>
            </w:tcBorders>
          </w:tcPr>
          <w:p>
            <w:pPr>
              <w:spacing w:after="0"/>
              <w:rPr>
                <w:sz w:val="4"/>
                <w:szCs w:val="4"/>
                <w:color w:val="auto"/>
              </w:rPr>
            </w:pPr>
          </w:p>
        </w:tc>
        <w:tc>
          <w:tcPr>
            <w:tcW w:w="720" w:type="dxa"/>
            <w:vAlign w:val="bottom"/>
            <w:tcBorders>
              <w:bottom w:val="single" w:sz="8" w:color="BFA071"/>
            </w:tcBorders>
          </w:tcPr>
          <w:p>
            <w:pPr>
              <w:spacing w:after="0"/>
              <w:rPr>
                <w:sz w:val="4"/>
                <w:szCs w:val="4"/>
                <w:color w:val="auto"/>
              </w:rPr>
            </w:pPr>
          </w:p>
        </w:tc>
        <w:tc>
          <w:tcPr>
            <w:tcW w:w="720" w:type="dxa"/>
            <w:vAlign w:val="bottom"/>
            <w:tcBorders>
              <w:bottom w:val="single" w:sz="8" w:color="BFA071"/>
            </w:tcBorders>
          </w:tcPr>
          <w:p>
            <w:pPr>
              <w:spacing w:after="0"/>
              <w:rPr>
                <w:sz w:val="4"/>
                <w:szCs w:val="4"/>
                <w:color w:val="auto"/>
              </w:rPr>
            </w:pPr>
          </w:p>
        </w:tc>
        <w:tc>
          <w:tcPr>
            <w:tcW w:w="540" w:type="dxa"/>
            <w:vAlign w:val="bottom"/>
            <w:tcBorders>
              <w:bottom w:val="single" w:sz="8" w:color="BFA071"/>
            </w:tcBorders>
          </w:tcPr>
          <w:p>
            <w:pPr>
              <w:spacing w:after="0"/>
              <w:rPr>
                <w:sz w:val="4"/>
                <w:szCs w:val="4"/>
                <w:color w:val="auto"/>
              </w:rPr>
            </w:pPr>
          </w:p>
        </w:tc>
        <w:tc>
          <w:tcPr>
            <w:tcW w:w="520" w:type="dxa"/>
            <w:vAlign w:val="bottom"/>
            <w:tcBorders>
              <w:bottom w:val="single" w:sz="8" w:color="BFA071"/>
            </w:tcBorders>
          </w:tcPr>
          <w:p>
            <w:pPr>
              <w:spacing w:after="0"/>
              <w:rPr>
                <w:sz w:val="4"/>
                <w:szCs w:val="4"/>
                <w:color w:val="auto"/>
              </w:rPr>
            </w:pPr>
          </w:p>
        </w:tc>
        <w:tc>
          <w:tcPr>
            <w:tcW w:w="620" w:type="dxa"/>
            <w:vAlign w:val="bottom"/>
            <w:tcBorders>
              <w:bottom w:val="single" w:sz="8" w:color="BFA071"/>
            </w:tcBorders>
          </w:tcPr>
          <w:p>
            <w:pPr>
              <w:spacing w:after="0"/>
              <w:rPr>
                <w:sz w:val="4"/>
                <w:szCs w:val="4"/>
                <w:color w:val="auto"/>
              </w:rPr>
            </w:pPr>
          </w:p>
        </w:tc>
        <w:tc>
          <w:tcPr>
            <w:tcW w:w="660" w:type="dxa"/>
            <w:vAlign w:val="bottom"/>
            <w:tcBorders>
              <w:bottom w:val="single" w:sz="8" w:color="BFA071"/>
            </w:tcBorders>
          </w:tcPr>
          <w:p>
            <w:pPr>
              <w:spacing w:after="0"/>
              <w:rPr>
                <w:sz w:val="4"/>
                <w:szCs w:val="4"/>
                <w:color w:val="auto"/>
              </w:rPr>
            </w:pPr>
          </w:p>
        </w:tc>
        <w:tc>
          <w:tcPr>
            <w:tcW w:w="580" w:type="dxa"/>
            <w:vAlign w:val="bottom"/>
            <w:tcBorders>
              <w:bottom w:val="single" w:sz="8" w:color="BFA071"/>
            </w:tcBorders>
          </w:tcPr>
          <w:p>
            <w:pPr>
              <w:spacing w:after="0"/>
              <w:rPr>
                <w:sz w:val="4"/>
                <w:szCs w:val="4"/>
                <w:color w:val="auto"/>
              </w:rPr>
            </w:pPr>
          </w:p>
        </w:tc>
        <w:tc>
          <w:tcPr>
            <w:tcW w:w="600" w:type="dxa"/>
            <w:vAlign w:val="bottom"/>
            <w:tcBorders>
              <w:bottom w:val="single" w:sz="8" w:color="BFA071"/>
            </w:tcBorders>
          </w:tcPr>
          <w:p>
            <w:pPr>
              <w:spacing w:after="0"/>
              <w:rPr>
                <w:sz w:val="4"/>
                <w:szCs w:val="4"/>
                <w:color w:val="auto"/>
              </w:rPr>
            </w:pPr>
          </w:p>
        </w:tc>
        <w:tc>
          <w:tcPr>
            <w:tcW w:w="600" w:type="dxa"/>
            <w:vAlign w:val="bottom"/>
            <w:tcBorders>
              <w:bottom w:val="single" w:sz="8" w:color="BFA071"/>
            </w:tcBorders>
          </w:tcPr>
          <w:p>
            <w:pPr>
              <w:spacing w:after="0"/>
              <w:rPr>
                <w:sz w:val="4"/>
                <w:szCs w:val="4"/>
                <w:color w:val="auto"/>
              </w:rPr>
            </w:pPr>
          </w:p>
        </w:tc>
        <w:tc>
          <w:tcPr>
            <w:tcW w:w="600" w:type="dxa"/>
            <w:vAlign w:val="bottom"/>
            <w:tcBorders>
              <w:bottom w:val="single" w:sz="8" w:color="BFA071"/>
            </w:tcBorders>
          </w:tcPr>
          <w:p>
            <w:pPr>
              <w:spacing w:after="0"/>
              <w:rPr>
                <w:sz w:val="4"/>
                <w:szCs w:val="4"/>
                <w:color w:val="auto"/>
              </w:rPr>
            </w:pPr>
          </w:p>
        </w:tc>
        <w:tc>
          <w:tcPr>
            <w:tcW w:w="580" w:type="dxa"/>
            <w:vAlign w:val="bottom"/>
            <w:tcBorders>
              <w:bottom w:val="single" w:sz="8" w:color="BFA071"/>
            </w:tcBorders>
          </w:tcPr>
          <w:p>
            <w:pPr>
              <w:spacing w:after="0"/>
              <w:rPr>
                <w:sz w:val="4"/>
                <w:szCs w:val="4"/>
                <w:color w:val="auto"/>
              </w:rPr>
            </w:pPr>
          </w:p>
        </w:tc>
        <w:tc>
          <w:tcPr>
            <w:tcW w:w="500" w:type="dxa"/>
            <w:vAlign w:val="bottom"/>
            <w:tcBorders>
              <w:bottom w:val="single" w:sz="8" w:color="BFA071"/>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940" w:type="dxa"/>
            <w:vAlign w:val="bottom"/>
          </w:tcPr>
          <w:p>
            <w:pPr>
              <w:ind w:left="40"/>
              <w:spacing w:after="0"/>
              <w:rPr>
                <w:sz w:val="20"/>
                <w:szCs w:val="20"/>
                <w:color w:val="auto"/>
              </w:rPr>
            </w:pPr>
            <w:r>
              <w:rPr>
                <w:rFonts w:ascii="Arial" w:cs="Arial" w:eastAsia="Arial" w:hAnsi="Arial"/>
                <w:sz w:val="13"/>
                <w:szCs w:val="13"/>
                <w:b w:val="1"/>
                <w:bCs w:val="1"/>
                <w:color w:val="001641"/>
              </w:rPr>
              <w:t>Gender</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1641"/>
              </w:rPr>
              <w:t xml:space="preserve">  </w:t>
            </w:r>
          </w:p>
        </w:tc>
        <w:tc>
          <w:tcPr>
            <w:tcW w:w="0" w:type="dxa"/>
            <w:vAlign w:val="bottom"/>
          </w:tcPr>
          <w:p>
            <w:pPr>
              <w:spacing w:after="0"/>
              <w:rPr>
                <w:sz w:val="1"/>
                <w:szCs w:val="1"/>
                <w:color w:val="auto"/>
              </w:rPr>
            </w:pPr>
          </w:p>
        </w:tc>
      </w:tr>
      <w:tr>
        <w:trPr>
          <w:trHeight w:val="48"/>
        </w:trPr>
        <w:tc>
          <w:tcPr>
            <w:tcW w:w="1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-1927860</wp:posOffset>
            </wp:positionV>
            <wp:extent cx="5829300" cy="21602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29300" cy="216027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001641"/>
        </w:rPr>
        <w:t>Nationality</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001641"/>
        </w:rPr>
        <w:t>Sexual Orientation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58293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4C4C4C"/>
        </w:rPr>
        <w:t>   1  Current or former CEO or President experience, public, private and non-profit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220980</wp:posOffset>
            </wp:positionV>
            <wp:extent cx="5314950" cy="2425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1495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58293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286385</wp:posOffset>
            </wp:positionV>
            <wp:extent cx="128905" cy="1111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 xml:space="preserve">  </w:t>
      </w:r>
    </w:p>
    <w:p>
      <w:pPr>
        <w:ind w:left="4700"/>
        <w:spacing w:after="0"/>
        <w:rPr>
          <w:sz w:val="20"/>
          <w:szCs w:val="20"/>
          <w:color w:val="auto"/>
        </w:rPr>
      </w:pPr>
      <w:r>
        <w:rPr>
          <w:rFonts w:ascii="Arial" w:cs="Arial" w:eastAsia="Arial" w:hAnsi="Arial"/>
          <w:sz w:val="22"/>
          <w:szCs w:val="22"/>
          <w:b w:val="1"/>
          <w:bCs w:val="1"/>
          <w:color w:val="BFA071"/>
        </w:rPr>
        <w:t>2026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2768600" cy="7500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68600" cy="7500620"/>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-78740</wp:posOffset>
            </wp:positionV>
            <wp:extent cx="7112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5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001641"/>
        </w:rPr>
        <w:t>FISCAL 2026 PERFORMANCE HIGHLIGHTS</w:t>
      </w:r>
    </w:p>
    <w:p>
      <w:pPr>
        <w:spacing w:after="0" w:line="230" w:lineRule="exact"/>
        <w:rPr>
          <w:sz w:val="20"/>
          <w:szCs w:val="20"/>
          <w:color w:val="auto"/>
        </w:rPr>
      </w:pPr>
    </w:p>
    <w:p>
      <w:pPr>
        <w:ind w:left="4700"/>
        <w:spacing w:after="0" w:line="295" w:lineRule="auto"/>
        <w:rPr>
          <w:sz w:val="20"/>
          <w:szCs w:val="20"/>
          <w:color w:val="auto"/>
        </w:rPr>
      </w:pPr>
      <w:r>
        <w:rPr>
          <w:rFonts w:ascii="Arial" w:cs="Arial" w:eastAsia="Arial" w:hAnsi="Arial"/>
          <w:sz w:val="16"/>
          <w:szCs w:val="16"/>
          <w:color w:val="auto"/>
        </w:rPr>
        <w:t xml:space="preserve">At Ralph Lauren Corporation, we are consistently working to bring to life our Purpose of “Inspiring the dream of a better life, through authenticity and timeless style” and creating long-term sustainable value for all our stakeholders (including our employees, consumers, stockholders, partners/suppliers and communities we live and operate in). We delivered progress on our multi-year, Next Great Chapter: </w:t>
      </w:r>
      <w:r>
        <w:rPr>
          <w:rFonts w:ascii="Arial" w:cs="Arial" w:eastAsia="Arial" w:hAnsi="Arial"/>
          <w:sz w:val="16"/>
          <w:szCs w:val="16"/>
          <w:i w:val="1"/>
          <w:iCs w:val="1"/>
          <w:color w:val="auto"/>
        </w:rPr>
        <w:t>Drive</w:t>
      </w:r>
      <w:r>
        <w:rPr>
          <w:rFonts w:ascii="Arial" w:cs="Arial" w:eastAsia="Arial" w:hAnsi="Arial"/>
          <w:sz w:val="16"/>
          <w:szCs w:val="16"/>
          <w:color w:val="auto"/>
        </w:rPr>
        <w:t xml:space="preserve"> Strategic Plan in its first year, which focuses on three key pillars: Elevate and Energize our Lifestyle Brand, Drive the Core and Expand for More, and Win in Key Cities with our Consumer Ecosystem. We did this while continuing to manage through a highly dynamic global operating environment by harnessing the power of our iconic brand as we elevated our positioning, expanded across geographies and demographics and cut through culture across fashion, celebrity, sports, gaming and music moments. At the same time, our teams continue to operate with discipline, agility and strength through multiple headwinds in the broader environment, including tariffs, inflationary pressures, and other consumer spending-related headwinds, global supply chain disruptions, and foreign currency volatility, among other factors.</w:t>
      </w:r>
    </w:p>
    <w:p>
      <w:pPr>
        <w:spacing w:after="0" w:line="124" w:lineRule="exact"/>
        <w:rPr>
          <w:sz w:val="20"/>
          <w:szCs w:val="20"/>
          <w:color w:val="auto"/>
        </w:rPr>
      </w:pPr>
    </w:p>
    <w:p>
      <w:pPr>
        <w:ind w:left="4700" w:right="20"/>
        <w:spacing w:after="0" w:line="298" w:lineRule="auto"/>
        <w:rPr>
          <w:sz w:val="20"/>
          <w:szCs w:val="20"/>
          <w:color w:val="auto"/>
        </w:rPr>
      </w:pPr>
      <w:r>
        <w:rPr>
          <w:rFonts w:ascii="Arial" w:cs="Arial" w:eastAsia="Arial" w:hAnsi="Arial"/>
          <w:sz w:val="16"/>
          <w:szCs w:val="16"/>
          <w:color w:val="auto"/>
        </w:rPr>
        <w:t>These efforts led to strong financial performance in Fiscal 2026, exceeding our expectations. We reported growth across our key financial results, including Total Company Revenue and Adjusted Operating Income growth compared to the prior year. We also delivered strong total shareholder return results and meaningfully outperformed both our PSU Comparator Group and the S&amp;P 500 Index in each of the one-year, three-year, and five-year periods ended Fiscal 2026. This was a result of our team’s exceptional execution and our sustainable and resilient strategy, with multiple diversified drivers for long-term growth and value creation.</w:t>
      </w:r>
    </w:p>
    <w:p>
      <w:pPr>
        <w:spacing w:after="0" w:line="174"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Results of our Strategic Plan included:</w:t>
      </w:r>
    </w:p>
    <w:p>
      <w:pPr>
        <w:spacing w:after="0" w:line="140"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Elevate and Energize Our Lifestyle Brand</w:t>
      </w:r>
    </w:p>
    <w:p>
      <w:pPr>
        <w:spacing w:after="0" w:line="167" w:lineRule="exact"/>
        <w:rPr>
          <w:sz w:val="20"/>
          <w:szCs w:val="20"/>
          <w:color w:val="auto"/>
        </w:rPr>
      </w:pPr>
    </w:p>
    <w:p>
      <w:pPr>
        <w:ind w:left="5040" w:hanging="174"/>
        <w:spacing w:after="0" w:line="304" w:lineRule="auto"/>
        <w:rPr>
          <w:sz w:val="20"/>
          <w:szCs w:val="20"/>
          <w:color w:val="auto"/>
        </w:rPr>
      </w:pPr>
      <w:r>
        <w:rPr>
          <w:rFonts w:ascii="Arial" w:cs="Arial" w:eastAsia="Arial" w:hAnsi="Arial"/>
          <w:sz w:val="16"/>
          <w:szCs w:val="16"/>
          <w:color w:val="auto"/>
        </w:rPr>
        <w:t>− Delivered sustainable growth in new customer acquisition and loyalty with 6.5 million new consumers in our direct-to-consumer channels and strengthened net promoter scores and brand consideration led by younger, higher value and less price-sensitive cohorts</w:t>
      </w:r>
    </w:p>
    <w:p>
      <w:pPr>
        <w:spacing w:after="0" w:line="117" w:lineRule="exact"/>
        <w:rPr>
          <w:sz w:val="20"/>
          <w:szCs w:val="20"/>
          <w:color w:val="auto"/>
        </w:rPr>
      </w:pPr>
    </w:p>
    <w:p>
      <w:pPr>
        <w:ind w:left="5040" w:right="60" w:hanging="174"/>
        <w:spacing w:after="0" w:line="299" w:lineRule="auto"/>
        <w:rPr>
          <w:sz w:val="20"/>
          <w:szCs w:val="20"/>
          <w:color w:val="auto"/>
        </w:rPr>
      </w:pPr>
      <w:r>
        <w:rPr>
          <w:rFonts w:ascii="Arial" w:cs="Arial" w:eastAsia="Arial" w:hAnsi="Arial"/>
          <w:sz w:val="16"/>
          <w:szCs w:val="16"/>
          <w:color w:val="auto"/>
        </w:rPr>
        <w:t xml:space="preserve">− Invested in powerful key brand moments to drive authentic connections with consumers around the world, notably: our Milano Cortina 2026 Winter Olympics campaign as official outfitter of Team USA; our dynamic annual sponsorships of the U.S. Open, Australian Open and Wimbledon Tennis Championships; our Spring 2026 and Fall 2026 Women's Collection fashion shows in New York; and our </w:t>
      </w:r>
      <w:r>
        <w:rPr>
          <w:rFonts w:ascii="Arial" w:cs="Arial" w:eastAsia="Arial" w:hAnsi="Arial"/>
          <w:sz w:val="16"/>
          <w:szCs w:val="16"/>
          <w:i w:val="1"/>
          <w:iCs w:val="1"/>
          <w:color w:val="auto"/>
        </w:rPr>
        <w:t>Very Ralph</w:t>
      </w:r>
      <w:r>
        <w:rPr>
          <w:rFonts w:ascii="Arial" w:cs="Arial" w:eastAsia="Arial" w:hAnsi="Arial"/>
          <w:sz w:val="16"/>
          <w:szCs w:val="16"/>
          <w:color w:val="auto"/>
        </w:rPr>
        <w:t xml:space="preserve"> documentary events in Hong Kong, Japan, Korea, and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58293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6</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7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17" w:name="page18"/>
    <w:bookmarkEnd w:id="1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73463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29300" cy="734631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6" w:right="5360"/>
        <w:spacing w:after="0" w:line="281" w:lineRule="auto"/>
        <w:rPr>
          <w:sz w:val="20"/>
          <w:szCs w:val="20"/>
          <w:color w:val="auto"/>
        </w:rPr>
      </w:pPr>
      <w:r>
        <w:rPr>
          <w:rFonts w:ascii="Arial" w:cs="Arial" w:eastAsia="Arial" w:hAnsi="Arial"/>
          <w:sz w:val="18"/>
          <w:szCs w:val="18"/>
          <w:b w:val="1"/>
          <w:bCs w:val="1"/>
          <w:color w:val="001641"/>
        </w:rPr>
        <w:t>FISCAL 2026 PERFORMANCE HIGHLIGHTS - CONTINUED</w:t>
      </w:r>
    </w:p>
    <w:p>
      <w:pPr>
        <w:spacing w:after="0" w:line="114" w:lineRule="exact"/>
        <w:rPr>
          <w:sz w:val="20"/>
          <w:szCs w:val="20"/>
          <w:color w:val="auto"/>
        </w:rPr>
      </w:pPr>
    </w:p>
    <w:p>
      <w:pPr>
        <w:ind w:left="166" w:hanging="166"/>
        <w:spacing w:after="0"/>
        <w:tabs>
          <w:tab w:leader="none" w:pos="166"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Drive the Core and Expand for More</w:t>
      </w:r>
    </w:p>
    <w:p>
      <w:pPr>
        <w:spacing w:after="0" w:line="180" w:lineRule="exact"/>
        <w:rPr>
          <w:rFonts w:ascii="Arial" w:cs="Arial" w:eastAsia="Arial" w:hAnsi="Arial"/>
          <w:sz w:val="16"/>
          <w:szCs w:val="16"/>
          <w:color w:val="auto"/>
        </w:rPr>
      </w:pPr>
    </w:p>
    <w:p>
      <w:pPr>
        <w:ind w:left="346" w:right="4720" w:hanging="166"/>
        <w:spacing w:after="0" w:line="291" w:lineRule="auto"/>
        <w:tabs>
          <w:tab w:leader="none" w:pos="346" w:val="left"/>
        </w:tabs>
        <w:numPr>
          <w:ilvl w:val="1"/>
          <w:numId w:val="9"/>
        </w:numPr>
        <w:rPr>
          <w:rFonts w:ascii="Arial" w:cs="Arial" w:eastAsia="Arial" w:hAnsi="Arial"/>
          <w:sz w:val="16"/>
          <w:szCs w:val="16"/>
          <w:color w:val="auto"/>
        </w:rPr>
      </w:pPr>
      <w:r>
        <w:rPr>
          <w:rFonts w:ascii="Arial" w:cs="Arial" w:eastAsia="Arial" w:hAnsi="Arial"/>
          <w:sz w:val="16"/>
          <w:szCs w:val="16"/>
          <w:color w:val="auto"/>
        </w:rPr>
        <w:t>Increased average unit retail by 15% across our direct-to-consumer network in Fiscal 2026, reflecting the durability of our multi-pronged elevation approach, our growing brand desirability, strong full-price selling trends, and lower promotions</w:t>
      </w:r>
    </w:p>
    <w:p>
      <w:pPr>
        <w:spacing w:after="0" w:line="126" w:lineRule="exact"/>
        <w:rPr>
          <w:rFonts w:ascii="Arial" w:cs="Arial" w:eastAsia="Arial" w:hAnsi="Arial"/>
          <w:sz w:val="16"/>
          <w:szCs w:val="16"/>
          <w:color w:val="auto"/>
        </w:rPr>
      </w:pPr>
    </w:p>
    <w:p>
      <w:pPr>
        <w:ind w:left="346" w:right="4760" w:hanging="166"/>
        <w:spacing w:after="0" w:line="289" w:lineRule="auto"/>
        <w:tabs>
          <w:tab w:leader="none" w:pos="346" w:val="left"/>
        </w:tabs>
        <w:numPr>
          <w:ilvl w:val="1"/>
          <w:numId w:val="9"/>
        </w:numPr>
        <w:rPr>
          <w:rFonts w:ascii="Arial" w:cs="Arial" w:eastAsia="Arial" w:hAnsi="Arial"/>
          <w:sz w:val="16"/>
          <w:szCs w:val="16"/>
          <w:color w:val="auto"/>
        </w:rPr>
      </w:pPr>
      <w:r>
        <w:rPr>
          <w:rFonts w:ascii="Arial" w:cs="Arial" w:eastAsia="Arial" w:hAnsi="Arial"/>
          <w:sz w:val="16"/>
          <w:szCs w:val="16"/>
          <w:color w:val="auto"/>
        </w:rPr>
        <w:t>Drove continued momentum in our Core business, which grew mid-teens to last year, along with our high-potential categories (Women’s Apparel, Outerwear and Handbags), which increased more than 20% to last year in constant currency. Growth in both Core and our high-potential categories outpaced total Company growth</w:t>
      </w:r>
    </w:p>
    <w:p>
      <w:pPr>
        <w:spacing w:after="0" w:line="128" w:lineRule="exact"/>
        <w:rPr>
          <w:rFonts w:ascii="Arial" w:cs="Arial" w:eastAsia="Arial" w:hAnsi="Arial"/>
          <w:sz w:val="16"/>
          <w:szCs w:val="16"/>
          <w:color w:val="auto"/>
        </w:rPr>
      </w:pPr>
    </w:p>
    <w:p>
      <w:pPr>
        <w:ind w:left="346" w:right="4860" w:hanging="166"/>
        <w:spacing w:after="0" w:line="286" w:lineRule="auto"/>
        <w:tabs>
          <w:tab w:leader="none" w:pos="346"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Product highlights included: </w:t>
      </w:r>
      <w:r>
        <w:rPr>
          <w:rFonts w:ascii="Arial" w:cs="Arial" w:eastAsia="Arial" w:hAnsi="Arial"/>
          <w:sz w:val="16"/>
          <w:szCs w:val="16"/>
          <w:i w:val="1"/>
          <w:iCs w:val="1"/>
          <w:color w:val="auto"/>
        </w:rPr>
        <w:t>Artist in Residence x TÓPA</w:t>
      </w:r>
      <w:r>
        <w:rPr>
          <w:rFonts w:ascii="Arial" w:cs="Arial" w:eastAsia="Arial" w:hAnsi="Arial"/>
          <w:sz w:val="16"/>
          <w:szCs w:val="16"/>
          <w:color w:val="auto"/>
        </w:rPr>
        <w:t xml:space="preserve"> collection; our </w:t>
      </w:r>
      <w:r>
        <w:rPr>
          <w:rFonts w:ascii="Arial" w:cs="Arial" w:eastAsia="Arial" w:hAnsi="Arial"/>
          <w:sz w:val="16"/>
          <w:szCs w:val="16"/>
          <w:i w:val="1"/>
          <w:iCs w:val="1"/>
          <w:color w:val="auto"/>
        </w:rPr>
        <w:t>Polo Ralph Lauren for Oak Bluffs</w:t>
      </w:r>
      <w:r>
        <w:rPr>
          <w:rFonts w:ascii="Arial" w:cs="Arial" w:eastAsia="Arial" w:hAnsi="Arial"/>
          <w:sz w:val="16"/>
          <w:szCs w:val="16"/>
          <w:color w:val="auto"/>
        </w:rPr>
        <w:t xml:space="preserve"> limited-edition collection in partnership with Morehouse and Spelman Colleges; our new Ralph's Club New York fragrance and campaign featuring Usher; the launch of our innovative new AI-powered styling tool, </w:t>
      </w:r>
      <w:r>
        <w:rPr>
          <w:rFonts w:ascii="Arial" w:cs="Arial" w:eastAsia="Arial" w:hAnsi="Arial"/>
          <w:sz w:val="16"/>
          <w:szCs w:val="16"/>
          <w:i w:val="1"/>
          <w:iCs w:val="1"/>
          <w:color w:val="auto"/>
        </w:rPr>
        <w:t>Ask Ralph</w:t>
      </w:r>
      <w:r>
        <w:rPr>
          <w:rFonts w:ascii="Arial" w:cs="Arial" w:eastAsia="Arial" w:hAnsi="Arial"/>
          <w:sz w:val="16"/>
          <w:szCs w:val="16"/>
          <w:color w:val="auto"/>
        </w:rPr>
        <w:t>; the launch of Polo Play, our newest foundational handbag collection; and our Ralph Lauren Pink Pony collection, supporting our longstanding commitment to cancer care</w:t>
      </w:r>
    </w:p>
    <w:p>
      <w:pPr>
        <w:spacing w:after="0" w:line="156" w:lineRule="exact"/>
        <w:rPr>
          <w:rFonts w:ascii="Arial" w:cs="Arial" w:eastAsia="Arial" w:hAnsi="Arial"/>
          <w:sz w:val="16"/>
          <w:szCs w:val="16"/>
          <w:color w:val="auto"/>
        </w:rPr>
      </w:pPr>
    </w:p>
    <w:p>
      <w:pPr>
        <w:ind w:left="166" w:hanging="166"/>
        <w:spacing w:after="0"/>
        <w:tabs>
          <w:tab w:leader="none" w:pos="166"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Win in Key Cities with Our Consumer Ecosystem</w:t>
      </w:r>
    </w:p>
    <w:p>
      <w:pPr>
        <w:spacing w:after="0" w:line="180" w:lineRule="exact"/>
        <w:rPr>
          <w:rFonts w:ascii="Arial" w:cs="Arial" w:eastAsia="Arial" w:hAnsi="Arial"/>
          <w:sz w:val="16"/>
          <w:szCs w:val="16"/>
          <w:color w:val="auto"/>
        </w:rPr>
      </w:pPr>
    </w:p>
    <w:p>
      <w:pPr>
        <w:ind w:left="346" w:right="4740" w:hanging="166"/>
        <w:spacing w:after="0" w:line="287" w:lineRule="auto"/>
        <w:tabs>
          <w:tab w:leader="none" w:pos="346" w:val="left"/>
        </w:tabs>
        <w:numPr>
          <w:ilvl w:val="1"/>
          <w:numId w:val="9"/>
        </w:numPr>
        <w:rPr>
          <w:rFonts w:ascii="Arial" w:cs="Arial" w:eastAsia="Arial" w:hAnsi="Arial"/>
          <w:sz w:val="16"/>
          <w:szCs w:val="16"/>
          <w:color w:val="auto"/>
        </w:rPr>
      </w:pPr>
      <w:r>
        <w:rPr>
          <w:rFonts w:ascii="Arial" w:cs="Arial" w:eastAsia="Arial" w:hAnsi="Arial"/>
          <w:sz w:val="16"/>
          <w:szCs w:val="16"/>
          <w:color w:val="auto"/>
        </w:rPr>
        <w:t>By region, revenue growth was led by Asia, up 23% on a reported basis and 22% in constant currency to last year, with China delivering approximately 40% growth in both reported and constant dollars. Europe grew 17% on a reported basis and 9% in constant currency to last year. North America momentum continued, up 9% on both a reported basis and in constant currency, with strength in our direct-to-consumer channels and wholesale business</w:t>
      </w:r>
    </w:p>
    <w:p>
      <w:pPr>
        <w:spacing w:after="0" w:line="129" w:lineRule="exact"/>
        <w:rPr>
          <w:rFonts w:ascii="Arial" w:cs="Arial" w:eastAsia="Arial" w:hAnsi="Arial"/>
          <w:sz w:val="16"/>
          <w:szCs w:val="16"/>
          <w:color w:val="auto"/>
        </w:rPr>
      </w:pPr>
    </w:p>
    <w:p>
      <w:pPr>
        <w:ind w:left="346" w:right="4740" w:hanging="166"/>
        <w:spacing w:after="0" w:line="289" w:lineRule="auto"/>
        <w:tabs>
          <w:tab w:leader="none" w:pos="346" w:val="left"/>
        </w:tabs>
        <w:numPr>
          <w:ilvl w:val="1"/>
          <w:numId w:val="9"/>
        </w:numPr>
        <w:rPr>
          <w:rFonts w:ascii="Arial" w:cs="Arial" w:eastAsia="Arial" w:hAnsi="Arial"/>
          <w:sz w:val="16"/>
          <w:szCs w:val="16"/>
          <w:color w:val="auto"/>
        </w:rPr>
      </w:pPr>
      <w:r>
        <w:rPr>
          <w:rFonts w:ascii="Arial" w:cs="Arial" w:eastAsia="Arial" w:hAnsi="Arial"/>
          <w:sz w:val="16"/>
          <w:szCs w:val="16"/>
          <w:color w:val="auto"/>
        </w:rPr>
        <w:t>Continued to expand and scale our key city ecosystems, including new stores at: Alberni Street in Vancouver, our second location in Canada; Shinsegae Centum City, marking the debut of our luxury brands in Korea; Broadgate Liverpool Street in London; Chatswood Chase in Sydney; and Chengdu IFS Mall in China</w:t>
      </w:r>
    </w:p>
    <w:p>
      <w:pPr>
        <w:spacing w:after="0" w:line="129" w:lineRule="exact"/>
        <w:rPr>
          <w:sz w:val="20"/>
          <w:szCs w:val="20"/>
          <w:color w:val="auto"/>
        </w:rPr>
      </w:pPr>
    </w:p>
    <w:p>
      <w:pPr>
        <w:ind w:left="6" w:right="4720"/>
        <w:spacing w:after="0" w:line="291" w:lineRule="auto"/>
        <w:rPr>
          <w:sz w:val="20"/>
          <w:szCs w:val="20"/>
          <w:color w:val="auto"/>
        </w:rPr>
      </w:pPr>
      <w:r>
        <w:rPr>
          <w:rFonts w:ascii="Arial" w:cs="Arial" w:eastAsia="Arial" w:hAnsi="Arial"/>
          <w:sz w:val="16"/>
          <w:szCs w:val="16"/>
          <w:color w:val="auto"/>
        </w:rPr>
        <w:t>In addition, our business is supported by our fortress foundation, which we define through our five key enablers, including: our engaged and empowered teams, industry-leading operations, superior technology, resilient partners, and powerful balance sheet.</w:t>
      </w:r>
    </w:p>
    <w:p>
      <w:pPr>
        <w:spacing w:after="0" w:line="221" w:lineRule="exact"/>
        <w:rPr>
          <w:sz w:val="20"/>
          <w:szCs w:val="20"/>
          <w:color w:val="auto"/>
        </w:rPr>
      </w:pPr>
    </w:p>
    <w:p>
      <w:pPr>
        <w:jc w:val="center"/>
        <w:ind w:right="-265"/>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58293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286385</wp:posOffset>
            </wp:positionV>
            <wp:extent cx="128905" cy="1117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8" w:name="page19"/>
    <w:bookmarkEnd w:id="1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left="6"/>
        <w:spacing w:after="0" w:line="259" w:lineRule="auto"/>
        <w:rPr>
          <w:sz w:val="20"/>
          <w:szCs w:val="20"/>
          <w:color w:val="auto"/>
        </w:rPr>
      </w:pPr>
      <w:r>
        <w:rPr>
          <w:rFonts w:ascii="Arial" w:cs="Arial" w:eastAsia="Arial" w:hAnsi="Arial"/>
          <w:sz w:val="16"/>
          <w:szCs w:val="16"/>
          <w:color w:val="auto"/>
        </w:rPr>
        <w:t>Following a 9% increase in Fiscal 2024 and a 9% increase in Fiscal 2025, we again increased our quarterly dividend by approximately 10% in Fiscal 2026 and in Fiscal 2027. We also returned more than $700 million to stockholders in Fiscal 2026 through dividends and share repurchase programs, with our share buybacks more than offsetting the dilutive effect of our share-based employee compensation plans.</w:t>
      </w:r>
    </w:p>
    <w:p>
      <w:pPr>
        <w:spacing w:after="0" w:line="83" w:lineRule="exact"/>
        <w:rPr>
          <w:sz w:val="20"/>
          <w:szCs w:val="20"/>
          <w:color w:val="auto"/>
        </w:rPr>
      </w:pPr>
    </w:p>
    <w:p>
      <w:pPr>
        <w:ind w:left="166" w:right="260" w:hanging="166"/>
        <w:spacing w:after="0" w:line="259" w:lineRule="auto"/>
        <w:tabs>
          <w:tab w:leader="none" w:pos="166"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the past several years, our Company has exerted significant efforts in our Employee Value Proposition positioning ourselves as a “best place to work” and a “company of choice” by supporting our culture of inclusion and employee well-being, which is supporting our recruitment and retention of top talent. As a result of our efforts, our Company’s Fiscal 2026 recognition achievements and distinctions include being named to:</w:t>
      </w:r>
    </w:p>
    <w:p>
      <w:pPr>
        <w:spacing w:after="0" w:line="123" w:lineRule="exact"/>
        <w:rPr>
          <w:rFonts w:ascii="Arial" w:cs="Arial" w:eastAsia="Arial" w:hAnsi="Arial"/>
          <w:sz w:val="16"/>
          <w:szCs w:val="16"/>
          <w:color w:val="auto"/>
        </w:rPr>
      </w:pPr>
    </w:p>
    <w:p>
      <w:pPr>
        <w:ind w:left="346" w:hanging="166"/>
        <w:spacing w:after="0"/>
        <w:tabs>
          <w:tab w:leader="none" w:pos="346" w:val="left"/>
        </w:tabs>
        <w:numPr>
          <w:ilvl w:val="1"/>
          <w:numId w:val="10"/>
        </w:numPr>
        <w:rPr>
          <w:rFonts w:ascii="Arial" w:cs="Arial" w:eastAsia="Arial" w:hAnsi="Arial"/>
          <w:sz w:val="16"/>
          <w:szCs w:val="16"/>
          <w:color w:val="auto"/>
        </w:rPr>
      </w:pPr>
      <w:r>
        <w:rPr>
          <w:rFonts w:ascii="Arial" w:cs="Arial" w:eastAsia="Arial" w:hAnsi="Arial"/>
          <w:sz w:val="16"/>
          <w:szCs w:val="16"/>
          <w:color w:val="auto"/>
        </w:rPr>
        <w:t>Fortune</w:t>
      </w:r>
    </w:p>
    <w:p>
      <w:pPr>
        <w:spacing w:after="0" w:line="167" w:lineRule="exact"/>
        <w:rPr>
          <w:rFonts w:ascii="Arial" w:cs="Arial" w:eastAsia="Arial" w:hAnsi="Arial"/>
          <w:sz w:val="16"/>
          <w:szCs w:val="16"/>
          <w:color w:val="auto"/>
        </w:rPr>
      </w:pPr>
    </w:p>
    <w:p>
      <w:pPr>
        <w:ind w:left="526" w:hanging="166"/>
        <w:spacing w:after="0"/>
        <w:tabs>
          <w:tab w:leader="none" w:pos="526" w:val="left"/>
        </w:tabs>
        <w:numPr>
          <w:ilvl w:val="2"/>
          <w:numId w:val="10"/>
        </w:numPr>
        <w:rPr>
          <w:rFonts w:ascii="Arial" w:cs="Arial" w:eastAsia="Arial" w:hAnsi="Arial"/>
          <w:sz w:val="16"/>
          <w:szCs w:val="16"/>
          <w:color w:val="auto"/>
        </w:rPr>
      </w:pPr>
      <w:r>
        <w:rPr>
          <w:rFonts w:ascii="Arial" w:cs="Arial" w:eastAsia="Arial" w:hAnsi="Arial"/>
          <w:sz w:val="16"/>
          <w:szCs w:val="16"/>
          <w:color w:val="auto"/>
        </w:rPr>
        <w:t>World’s Most Admired Companies 2026</w:t>
      </w:r>
    </w:p>
    <w:p>
      <w:pPr>
        <w:spacing w:after="0" w:line="167" w:lineRule="exact"/>
        <w:rPr>
          <w:rFonts w:ascii="Arial" w:cs="Arial" w:eastAsia="Arial" w:hAnsi="Arial"/>
          <w:sz w:val="16"/>
          <w:szCs w:val="16"/>
          <w:color w:val="auto"/>
        </w:rPr>
      </w:pPr>
    </w:p>
    <w:p>
      <w:pPr>
        <w:ind w:left="346" w:hanging="166"/>
        <w:spacing w:after="0"/>
        <w:tabs>
          <w:tab w:leader="none" w:pos="346" w:val="left"/>
        </w:tabs>
        <w:numPr>
          <w:ilvl w:val="1"/>
          <w:numId w:val="10"/>
        </w:numPr>
        <w:rPr>
          <w:rFonts w:ascii="Arial" w:cs="Arial" w:eastAsia="Arial" w:hAnsi="Arial"/>
          <w:sz w:val="16"/>
          <w:szCs w:val="16"/>
          <w:color w:val="auto"/>
        </w:rPr>
      </w:pPr>
      <w:r>
        <w:rPr>
          <w:rFonts w:ascii="Arial" w:cs="Arial" w:eastAsia="Arial" w:hAnsi="Arial"/>
          <w:sz w:val="16"/>
          <w:szCs w:val="16"/>
          <w:color w:val="auto"/>
        </w:rPr>
        <w:t>Forbes</w:t>
      </w:r>
    </w:p>
    <w:p>
      <w:pPr>
        <w:spacing w:after="0" w:line="126" w:lineRule="exact"/>
        <w:rPr>
          <w:rFonts w:ascii="Arial" w:cs="Arial" w:eastAsia="Arial" w:hAnsi="Arial"/>
          <w:sz w:val="16"/>
          <w:szCs w:val="16"/>
          <w:color w:val="auto"/>
        </w:rPr>
      </w:pPr>
    </w:p>
    <w:p>
      <w:pPr>
        <w:ind w:left="526" w:hanging="166"/>
        <w:spacing w:after="0"/>
        <w:tabs>
          <w:tab w:leader="none" w:pos="526" w:val="left"/>
        </w:tabs>
        <w:numPr>
          <w:ilvl w:val="2"/>
          <w:numId w:val="10"/>
        </w:numPr>
        <w:rPr>
          <w:rFonts w:ascii="Arial" w:cs="Arial" w:eastAsia="Arial" w:hAnsi="Arial"/>
          <w:sz w:val="16"/>
          <w:szCs w:val="16"/>
          <w:color w:val="auto"/>
        </w:rPr>
      </w:pPr>
      <w:r>
        <w:rPr>
          <w:rFonts w:ascii="Arial" w:cs="Arial" w:eastAsia="Arial" w:hAnsi="Arial"/>
          <w:sz w:val="16"/>
          <w:szCs w:val="16"/>
          <w:color w:val="auto"/>
        </w:rPr>
        <w:t>America’s Best Companies 2026</w:t>
      </w:r>
    </w:p>
    <w:p>
      <w:pPr>
        <w:spacing w:after="0" w:line="167" w:lineRule="exact"/>
        <w:rPr>
          <w:rFonts w:ascii="Arial" w:cs="Arial" w:eastAsia="Arial" w:hAnsi="Arial"/>
          <w:sz w:val="16"/>
          <w:szCs w:val="16"/>
          <w:color w:val="auto"/>
        </w:rPr>
      </w:pPr>
    </w:p>
    <w:p>
      <w:pPr>
        <w:ind w:left="346" w:hanging="166"/>
        <w:spacing w:after="0"/>
        <w:tabs>
          <w:tab w:leader="none" w:pos="346" w:val="left"/>
        </w:tabs>
        <w:numPr>
          <w:ilvl w:val="1"/>
          <w:numId w:val="10"/>
        </w:numPr>
        <w:rPr>
          <w:rFonts w:ascii="Arial" w:cs="Arial" w:eastAsia="Arial" w:hAnsi="Arial"/>
          <w:sz w:val="16"/>
          <w:szCs w:val="16"/>
          <w:color w:val="auto"/>
        </w:rPr>
      </w:pPr>
      <w:r>
        <w:rPr>
          <w:rFonts w:ascii="Arial" w:cs="Arial" w:eastAsia="Arial" w:hAnsi="Arial"/>
          <w:sz w:val="16"/>
          <w:szCs w:val="16"/>
          <w:color w:val="auto"/>
        </w:rPr>
        <w:t>Fast Company</w:t>
      </w:r>
    </w:p>
    <w:p>
      <w:pPr>
        <w:spacing w:after="0" w:line="167" w:lineRule="exact"/>
        <w:rPr>
          <w:rFonts w:ascii="Arial" w:cs="Arial" w:eastAsia="Arial" w:hAnsi="Arial"/>
          <w:sz w:val="16"/>
          <w:szCs w:val="16"/>
          <w:color w:val="auto"/>
        </w:rPr>
      </w:pPr>
    </w:p>
    <w:p>
      <w:pPr>
        <w:ind w:left="526" w:hanging="166"/>
        <w:spacing w:after="0"/>
        <w:tabs>
          <w:tab w:leader="none" w:pos="526" w:val="left"/>
        </w:tabs>
        <w:numPr>
          <w:ilvl w:val="2"/>
          <w:numId w:val="10"/>
        </w:numPr>
        <w:rPr>
          <w:rFonts w:ascii="Arial" w:cs="Arial" w:eastAsia="Arial" w:hAnsi="Arial"/>
          <w:sz w:val="16"/>
          <w:szCs w:val="16"/>
          <w:color w:val="auto"/>
        </w:rPr>
      </w:pPr>
      <w:r>
        <w:rPr>
          <w:rFonts w:ascii="Arial" w:cs="Arial" w:eastAsia="Arial" w:hAnsi="Arial"/>
          <w:sz w:val="16"/>
          <w:szCs w:val="16"/>
          <w:color w:val="auto"/>
        </w:rPr>
        <w:t>Most Innovative Companies of 2026</w:t>
      </w:r>
    </w:p>
    <w:p>
      <w:pPr>
        <w:spacing w:after="0" w:line="29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TOTAL SHAREHOLDER RETURN (“TSR”) PERFORMANCE</w:t>
      </w:r>
    </w:p>
    <w:p>
      <w:pPr>
        <w:spacing w:after="0" w:line="162" w:lineRule="exact"/>
        <w:rPr>
          <w:sz w:val="20"/>
          <w:szCs w:val="20"/>
          <w:color w:val="auto"/>
        </w:rPr>
      </w:pPr>
    </w:p>
    <w:p>
      <w:pPr>
        <w:ind w:left="6"/>
        <w:spacing w:after="0" w:line="256" w:lineRule="auto"/>
        <w:rPr>
          <w:sz w:val="20"/>
          <w:szCs w:val="20"/>
          <w:color w:val="auto"/>
        </w:rPr>
      </w:pPr>
      <w:r>
        <w:rPr>
          <w:rFonts w:ascii="Arial" w:cs="Arial" w:eastAsia="Arial" w:hAnsi="Arial"/>
          <w:sz w:val="16"/>
          <w:szCs w:val="16"/>
          <w:color w:val="auto"/>
        </w:rPr>
        <w:t xml:space="preserve">Our TSR for recent periods, relative to our Fiscal 2026 PSU Comparator Group detailed on page </w:t>
      </w:r>
      <w:r>
        <w:rPr>
          <w:rFonts w:ascii="Arial" w:cs="Arial" w:eastAsia="Arial" w:hAnsi="Arial"/>
          <w:sz w:val="16"/>
          <w:szCs w:val="16"/>
          <w:u w:val="single" w:color="auto"/>
          <w:color w:val="0000EE"/>
        </w:rPr>
        <w:t>80</w:t>
      </w:r>
      <w:r>
        <w:rPr>
          <w:rFonts w:ascii="Arial" w:cs="Arial" w:eastAsia="Arial" w:hAnsi="Arial"/>
          <w:sz w:val="16"/>
          <w:szCs w:val="16"/>
          <w:color w:val="auto"/>
        </w:rPr>
        <w:t xml:space="preserve"> and the S&amp;P 500, is set forth below. TSR is based on stock price appreciation, plus dividends reinvested, with starting and ending share prices based on average closing stock prices for the 20 trading days ending immediately prior to the beginning and end of the performance period. We had very strong TSR results in all three periods, with 1-year Fiscal 2026, 3-year Fiscal 2024-2026, and 5-year Fiscal 2022-2026 substantially outperforming the PSU Comparator Group and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200025</wp:posOffset>
            </wp:positionV>
            <wp:extent cx="4380230" cy="22891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80230" cy="228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58293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8</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19" w:name="page20"/>
    <w:bookmarkEnd w:id="1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COMPENSATION OBJECTIVES, PRINCIPLES, AND PRACTICES</w:t>
      </w:r>
    </w:p>
    <w:p>
      <w:pPr>
        <w:spacing w:after="0" w:line="153" w:lineRule="exact"/>
        <w:rPr>
          <w:sz w:val="20"/>
          <w:szCs w:val="20"/>
          <w:color w:val="auto"/>
        </w:rPr>
      </w:pPr>
    </w:p>
    <w:p>
      <w:pPr>
        <w:ind w:left="6" w:right="120"/>
        <w:spacing w:after="0" w:line="253" w:lineRule="auto"/>
        <w:rPr>
          <w:sz w:val="20"/>
          <w:szCs w:val="20"/>
          <w:color w:val="auto"/>
        </w:rPr>
      </w:pPr>
      <w:r>
        <w:rPr>
          <w:rFonts w:ascii="Arial" w:cs="Arial" w:eastAsia="Arial" w:hAnsi="Arial"/>
          <w:sz w:val="16"/>
          <w:szCs w:val="16"/>
          <w:color w:val="auto"/>
        </w:rPr>
        <w:t>The key components of our executive compensation program for our named executive officers (“NEOs”) consist of base salary, annual cash incentive, and long-term equity-based incentive opportunities. Our compensation plans are designed to link pay and performance, reward sustained business growth and results, and drive stockholder value. A majority of each NEO’s compensation is variable in the form of annual cash incentive and long-term equity-based awards. Aligned with our Strategic Plan and based on the feedback received from our stockholders in Fiscal 2026 and following review and discussion with management and our independent consultants, and the Talent Committee, we included key financial measures in both our short- and long-term incentive compensation plans in Fiscal 2026.</w:t>
      </w:r>
    </w:p>
    <w:p>
      <w:pPr>
        <w:spacing w:after="0" w:line="208" w:lineRule="exact"/>
        <w:rPr>
          <w:sz w:val="20"/>
          <w:szCs w:val="20"/>
          <w:color w:val="auto"/>
        </w:rPr>
      </w:pPr>
    </w:p>
    <w:p>
      <w:pPr>
        <w:ind w:left="6"/>
        <w:spacing w:after="0"/>
        <w:rPr>
          <w:sz w:val="20"/>
          <w:szCs w:val="20"/>
          <w:color w:val="auto"/>
        </w:rPr>
      </w:pPr>
      <w:r>
        <w:rPr>
          <w:rFonts w:ascii="Arial" w:cs="Arial" w:eastAsia="Arial" w:hAnsi="Arial"/>
          <w:sz w:val="16"/>
          <w:szCs w:val="16"/>
          <w:color w:val="auto"/>
        </w:rPr>
        <w:t>Key takeaways impacting executive compensation for Fiscal 2026 are:</w:t>
      </w:r>
    </w:p>
    <w:p>
      <w:pPr>
        <w:spacing w:after="0" w:line="167" w:lineRule="exact"/>
        <w:rPr>
          <w:sz w:val="20"/>
          <w:szCs w:val="20"/>
          <w:color w:val="auto"/>
        </w:rPr>
      </w:pPr>
    </w:p>
    <w:p>
      <w:pPr>
        <w:ind w:left="166" w:right="280" w:hanging="166"/>
        <w:spacing w:after="0" w:line="266" w:lineRule="auto"/>
        <w:tabs>
          <w:tab w:leader="none" w:pos="166" w:val="left"/>
        </w:tabs>
        <w:numPr>
          <w:ilvl w:val="0"/>
          <w:numId w:val="11"/>
        </w:numPr>
        <w:rPr>
          <w:rFonts w:ascii="Arial" w:cs="Arial" w:eastAsia="Arial" w:hAnsi="Arial"/>
          <w:sz w:val="16"/>
          <w:szCs w:val="16"/>
          <w:color w:val="auto"/>
        </w:rPr>
      </w:pPr>
      <w:r>
        <w:rPr>
          <w:rFonts w:ascii="Arial" w:cs="Arial" w:eastAsia="Arial" w:hAnsi="Arial"/>
          <w:sz w:val="16"/>
          <w:szCs w:val="16"/>
          <w:color w:val="auto"/>
        </w:rPr>
        <w:t>Overall, our key financial results for Fiscal 2026 were strong with Total Company Revenue and Adjusted Operating Profit Margin each significantly exceeding the target set. Each of these measures were weighted 40% in the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5833110" cy="9728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33110" cy="97282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1206" w:type="dxa"/>
        <w:tblCellMar>
          <w:top w:w="0" w:type="dxa"/>
          <w:left w:w="0" w:type="dxa"/>
          <w:bottom w:w="0" w:type="dxa"/>
          <w:right w:w="0" w:type="dxa"/>
        </w:tblCellMar>
      </w:tblPr>
      <w:tr>
        <w:trPr>
          <w:trHeight w:val="575"/>
        </w:trPr>
        <w:tc>
          <w:tcPr>
            <w:tcW w:w="3400" w:type="dxa"/>
            <w:vAlign w:val="bottom"/>
            <w:tcBorders>
              <w:right w:val="single" w:sz="8" w:color="BFA071"/>
            </w:tcBorders>
          </w:tcPr>
          <w:p>
            <w:pPr>
              <w:jc w:val="center"/>
              <w:ind w:right="1114"/>
              <w:spacing w:after="0"/>
              <w:rPr>
                <w:sz w:val="20"/>
                <w:szCs w:val="20"/>
                <w:color w:val="auto"/>
              </w:rPr>
            </w:pPr>
            <w:r>
              <w:rPr>
                <w:rFonts w:ascii="Times New Roman" w:cs="Times New Roman" w:eastAsia="Times New Roman" w:hAnsi="Times New Roman"/>
                <w:sz w:val="49"/>
                <w:szCs w:val="49"/>
                <w:color w:val="BFA071"/>
                <w:w w:val="98"/>
              </w:rPr>
              <w:t>$7,912.6M</w:t>
            </w:r>
          </w:p>
        </w:tc>
        <w:tc>
          <w:tcPr>
            <w:tcW w:w="3640" w:type="dxa"/>
            <w:vAlign w:val="bottom"/>
          </w:tcPr>
          <w:p>
            <w:pPr>
              <w:jc w:val="center"/>
              <w:ind w:left="534"/>
              <w:spacing w:after="0"/>
              <w:rPr>
                <w:sz w:val="20"/>
                <w:szCs w:val="20"/>
                <w:color w:val="auto"/>
              </w:rPr>
            </w:pPr>
            <w:r>
              <w:rPr>
                <w:rFonts w:ascii="Times New Roman" w:cs="Times New Roman" w:eastAsia="Times New Roman" w:hAnsi="Times New Roman"/>
                <w:sz w:val="49"/>
                <w:szCs w:val="49"/>
                <w:color w:val="BFA071"/>
                <w:w w:val="99"/>
              </w:rPr>
              <w:t>15</w:t>
            </w:r>
            <w:r>
              <w:rPr>
                <w:rFonts w:ascii="Arial" w:cs="Arial" w:eastAsia="Arial" w:hAnsi="Arial"/>
                <w:sz w:val="17"/>
                <w:szCs w:val="17"/>
                <w:color w:val="BFA071"/>
                <w:w w:val="99"/>
              </w:rPr>
              <w:t>​</w:t>
            </w:r>
            <w:r>
              <w:rPr>
                <w:rFonts w:ascii="Times New Roman" w:cs="Times New Roman" w:eastAsia="Times New Roman" w:hAnsi="Times New Roman"/>
                <w:sz w:val="49"/>
                <w:szCs w:val="49"/>
                <w:color w:val="BFA071"/>
                <w:w w:val="99"/>
              </w:rPr>
              <w:t>.5%</w:t>
            </w:r>
          </w:p>
        </w:tc>
      </w:tr>
      <w:tr>
        <w:trPr>
          <w:trHeight w:val="262"/>
        </w:trPr>
        <w:tc>
          <w:tcPr>
            <w:tcW w:w="3400" w:type="dxa"/>
            <w:vAlign w:val="bottom"/>
            <w:tcBorders>
              <w:right w:val="single" w:sz="8" w:color="BFA071"/>
            </w:tcBorders>
          </w:tcPr>
          <w:p>
            <w:pPr>
              <w:jc w:val="center"/>
              <w:ind w:right="994"/>
              <w:spacing w:after="0"/>
              <w:rPr>
                <w:sz w:val="20"/>
                <w:szCs w:val="20"/>
                <w:color w:val="auto"/>
              </w:rPr>
            </w:pPr>
            <w:r>
              <w:rPr>
                <w:rFonts w:ascii="Arial" w:cs="Arial" w:eastAsia="Arial" w:hAnsi="Arial"/>
                <w:sz w:val="18"/>
                <w:szCs w:val="18"/>
                <w:b w:val="1"/>
                <w:bCs w:val="1"/>
                <w:color w:val="001641"/>
                <w:w w:val="99"/>
              </w:rPr>
              <w:t>Total Company Revenue</w:t>
            </w:r>
          </w:p>
        </w:tc>
        <w:tc>
          <w:tcPr>
            <w:tcW w:w="3640" w:type="dxa"/>
            <w:vAlign w:val="bottom"/>
          </w:tcPr>
          <w:p>
            <w:pPr>
              <w:jc w:val="center"/>
              <w:ind w:left="654"/>
              <w:spacing w:after="0"/>
              <w:rPr>
                <w:sz w:val="20"/>
                <w:szCs w:val="20"/>
                <w:color w:val="auto"/>
              </w:rPr>
            </w:pPr>
            <w:r>
              <w:rPr>
                <w:rFonts w:ascii="Arial" w:cs="Arial" w:eastAsia="Arial" w:hAnsi="Arial"/>
                <w:sz w:val="18"/>
                <w:szCs w:val="18"/>
                <w:b w:val="1"/>
                <w:bCs w:val="1"/>
                <w:color w:val="001641"/>
                <w:w w:val="99"/>
              </w:rPr>
              <w:t>Adjusted Operating Profit Margin</w:t>
            </w:r>
          </w:p>
        </w:tc>
      </w:tr>
    </w:tbl>
    <w:p>
      <w:pPr>
        <w:spacing w:after="0" w:line="200" w:lineRule="exact"/>
        <w:rPr>
          <w:sz w:val="20"/>
          <w:szCs w:val="20"/>
          <w:color w:val="auto"/>
        </w:rPr>
      </w:pPr>
    </w:p>
    <w:p>
      <w:pPr>
        <w:spacing w:after="0" w:line="285" w:lineRule="exact"/>
        <w:rPr>
          <w:sz w:val="20"/>
          <w:szCs w:val="20"/>
          <w:color w:val="auto"/>
        </w:rPr>
      </w:pPr>
    </w:p>
    <w:p>
      <w:pPr>
        <w:ind w:left="346" w:right="100" w:hanging="166"/>
        <w:spacing w:after="0" w:line="286" w:lineRule="auto"/>
        <w:tabs>
          <w:tab w:leader="none" w:pos="346" w:val="left"/>
        </w:tabs>
        <w:numPr>
          <w:ilvl w:val="1"/>
          <w:numId w:val="12"/>
        </w:numPr>
        <w:rPr>
          <w:rFonts w:ascii="Arial" w:cs="Arial" w:eastAsia="Arial" w:hAnsi="Arial"/>
          <w:sz w:val="16"/>
          <w:szCs w:val="16"/>
          <w:color w:val="auto"/>
        </w:rPr>
      </w:pPr>
      <w:r>
        <w:rPr>
          <w:rFonts w:ascii="Arial" w:cs="Arial" w:eastAsia="Arial" w:hAnsi="Arial"/>
          <w:sz w:val="16"/>
          <w:szCs w:val="16"/>
          <w:color w:val="auto"/>
        </w:rPr>
        <w:t>Total Company Revenue was $7,912.6 million on a constant currency basis, or 109% of target, $833.6 million greater than Fiscal 2025 results of $7,079.0 million on a reported dollar basis.</w:t>
      </w:r>
    </w:p>
    <w:p>
      <w:pPr>
        <w:spacing w:after="0" w:line="101" w:lineRule="exact"/>
        <w:rPr>
          <w:rFonts w:ascii="Arial" w:cs="Arial" w:eastAsia="Arial" w:hAnsi="Arial"/>
          <w:sz w:val="16"/>
          <w:szCs w:val="16"/>
          <w:color w:val="auto"/>
        </w:rPr>
      </w:pPr>
    </w:p>
    <w:p>
      <w:pPr>
        <w:ind w:left="346" w:right="380" w:hanging="166"/>
        <w:spacing w:after="0" w:line="286" w:lineRule="auto"/>
        <w:tabs>
          <w:tab w:leader="none" w:pos="346" w:val="left"/>
        </w:tabs>
        <w:numPr>
          <w:ilvl w:val="1"/>
          <w:numId w:val="12"/>
        </w:numPr>
        <w:rPr>
          <w:rFonts w:ascii="Arial" w:cs="Arial" w:eastAsia="Arial" w:hAnsi="Arial"/>
          <w:sz w:val="16"/>
          <w:szCs w:val="16"/>
          <w:color w:val="auto"/>
        </w:rPr>
      </w:pPr>
      <w:r>
        <w:rPr>
          <w:rFonts w:ascii="Arial" w:cs="Arial" w:eastAsia="Arial" w:hAnsi="Arial"/>
          <w:sz w:val="16"/>
          <w:szCs w:val="16"/>
          <w:color w:val="auto"/>
        </w:rPr>
        <w:t>Adjusted Operating Profit Margin before strategic modifier was 15.5% on a constant currency basis, or 106% of target, greater than Fiscal 2025 results of 14.0% on a reported dollar basis.</w:t>
      </w:r>
    </w:p>
    <w:p>
      <w:pPr>
        <w:spacing w:after="0" w:line="61" w:lineRule="exact"/>
        <w:rPr>
          <w:rFonts w:ascii="Arial" w:cs="Arial" w:eastAsia="Arial" w:hAnsi="Arial"/>
          <w:sz w:val="16"/>
          <w:szCs w:val="16"/>
          <w:color w:val="auto"/>
        </w:rPr>
      </w:pPr>
    </w:p>
    <w:p>
      <w:pPr>
        <w:ind w:left="166" w:right="120" w:hanging="166"/>
        <w:spacing w:after="0" w:line="253" w:lineRule="auto"/>
        <w:tabs>
          <w:tab w:leader="none" w:pos="1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Fiscal 2026 short-term incentives, we included a strategic growth accelerators revenue metric, which consisted of revenue from our Women’s Apparel, Outerwear, and Handbags &amp; Small Leather Goods products based on the percentage growth over the prior year period (“Strategic Growth Accelerators Revenue”), which was weighted 10%, to spotlight our high-potential growth areas and a Total Company selling, general and administrative expense excluding marketing &amp; advertising expense as a percent of total revenue (“Adjusted SG&amp;A Expense”), which was weighted 10%, with the focus on operational excellence. Strategic Growth Accelerators Revenue results were 19% greater than Fiscal 2025 results and above target and the results of the Adjusted SG&amp;A Expense metric were above target.</w:t>
      </w:r>
    </w:p>
    <w:p>
      <w:pPr>
        <w:spacing w:after="0" w:line="100" w:lineRule="exact"/>
        <w:rPr>
          <w:rFonts w:ascii="Arial" w:cs="Arial" w:eastAsia="Arial" w:hAnsi="Arial"/>
          <w:sz w:val="16"/>
          <w:szCs w:val="16"/>
          <w:color w:val="auto"/>
        </w:rPr>
      </w:pPr>
    </w:p>
    <w:p>
      <w:pPr>
        <w:ind w:left="166" w:right="80" w:hanging="166"/>
        <w:spacing w:after="0" w:line="259" w:lineRule="auto"/>
        <w:tabs>
          <w:tab w:leader="none" w:pos="1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AI metrics in the form of a scorecard replaced citizenship and sustainability metrics as our strategic goal modifier in the short-term incentive plan with KPIs tied to critical business priorities that focus our executives on AI literacy and enablement. We exceeded the strategic goal modifier targets and as a result the Talent Committee determined that a 10% upward adjustment would be made to the bonus payout under the short-term incentive plan.</w:t>
      </w:r>
    </w:p>
    <w:p>
      <w:pPr>
        <w:spacing w:after="0" w:line="83" w:lineRule="exact"/>
        <w:rPr>
          <w:rFonts w:ascii="Arial" w:cs="Arial" w:eastAsia="Arial" w:hAnsi="Arial"/>
          <w:sz w:val="16"/>
          <w:szCs w:val="16"/>
          <w:color w:val="auto"/>
        </w:rPr>
      </w:pPr>
    </w:p>
    <w:p>
      <w:pPr>
        <w:ind w:left="166" w:right="120" w:hanging="166"/>
        <w:spacing w:after="0" w:line="259" w:lineRule="auto"/>
        <w:tabs>
          <w:tab w:leader="none" w:pos="1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Fiscal 2026, our financial results were significantly above target. Formulaic results produced a payout of 197% (216.7% including modifier), which was capped at 200% for applicable NEOs. These results combined with above target results of the Strategic Growth Accelerators Revenue and the above target results of Adjusted SG&amp;A Expense resulted in maximum payouts of 200% of target for our NEOs in our short-term incentive plan.</w:t>
      </w:r>
    </w:p>
    <w:p>
      <w:pPr>
        <w:spacing w:after="0" w:line="83" w:lineRule="exact"/>
        <w:rPr>
          <w:rFonts w:ascii="Arial" w:cs="Arial" w:eastAsia="Arial" w:hAnsi="Arial"/>
          <w:sz w:val="16"/>
          <w:szCs w:val="16"/>
          <w:color w:val="auto"/>
        </w:rPr>
      </w:pPr>
    </w:p>
    <w:p>
      <w:pPr>
        <w:ind w:left="166" w:right="100" w:hanging="166"/>
        <w:spacing w:after="0" w:line="266" w:lineRule="auto"/>
        <w:tabs>
          <w:tab w:leader="none" w:pos="1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significantly outperformed the companies in the PSU Comparator Group with regard to three-year relative Total Shareholder Return (“TSR”) resulting in above target payouts for our Performance Share Units (“PSUs”) based on three-year TSR for Fiscal 2024-2026.</w:t>
      </w:r>
    </w:p>
    <w:p>
      <w:pPr>
        <w:spacing w:after="0" w:line="90" w:lineRule="exact"/>
        <w:rPr>
          <w:rFonts w:ascii="Arial" w:cs="Arial" w:eastAsia="Arial" w:hAnsi="Arial"/>
          <w:sz w:val="16"/>
          <w:szCs w:val="16"/>
          <w:color w:val="auto"/>
        </w:rPr>
      </w:pPr>
    </w:p>
    <w:p>
      <w:pPr>
        <w:ind w:left="166" w:right="80" w:hanging="166"/>
        <w:spacing w:after="0" w:line="286" w:lineRule="auto"/>
        <w:tabs>
          <w:tab w:leader="none" w:pos="1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results for PSUs based on cumulative three-year Adjusted Return on Invested Capital (“Adjusted ROIC”) for Fiscal 2024-2026 were significantly above target, resulting in payouts of 200% of target for these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245110</wp:posOffset>
            </wp:positionV>
            <wp:extent cx="128905" cy="1111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7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20" w:name="page21"/>
    <w:bookmarkEnd w:id="2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2177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2930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  </w:t>
      </w:r>
    </w:p>
    <w:p>
      <w:pPr>
        <w:spacing w:after="0" w:line="342"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GOVERNANCE HIGHLIGHTS</w:t>
      </w:r>
    </w:p>
    <w:p>
      <w:pPr>
        <w:spacing w:after="0" w:line="139" w:lineRule="exact"/>
        <w:rPr>
          <w:sz w:val="20"/>
          <w:szCs w:val="20"/>
          <w:color w:val="auto"/>
        </w:rPr>
      </w:pPr>
    </w:p>
    <w:p>
      <w:pPr>
        <w:ind w:left="6" w:right="20"/>
        <w:spacing w:after="0" w:line="253" w:lineRule="auto"/>
        <w:rPr>
          <w:sz w:val="20"/>
          <w:szCs w:val="20"/>
          <w:color w:val="auto"/>
        </w:rPr>
      </w:pPr>
      <w:r>
        <w:rPr>
          <w:rFonts w:ascii="Arial" w:cs="Arial" w:eastAsia="Arial" w:hAnsi="Arial"/>
          <w:sz w:val="16"/>
          <w:szCs w:val="16"/>
          <w:color w:val="auto"/>
        </w:rPr>
        <w:t>We have in place a comprehensive corporate governance framework which incorporates and, in certain areas, exceeds the corporate governance requirements of the Sarbanes-Oxley Act of 2002, the U.S. Securities and Exchange Commission (“SEC”), the New York Stock Exchange (“NYSE”), and the Dodd-Frank Wall Street Reform and Consumer Protection Act (“Dodd-Frank Act”). We do not rely on exemptions from certain of the NYSE’s corporate governance requirements available to us as a controlled company. In keeping with good corporate governance practices, we maintain a majority of independent directors, and each of our Board Committees are comprised solely of independent directors as required by the NYSE for non-controlled companies.</w:t>
      </w:r>
    </w:p>
    <w:p>
      <w:pPr>
        <w:spacing w:after="0" w:line="127" w:lineRule="exact"/>
        <w:rPr>
          <w:sz w:val="20"/>
          <w:szCs w:val="20"/>
          <w:color w:val="auto"/>
        </w:rPr>
      </w:pPr>
    </w:p>
    <w:p>
      <w:pPr>
        <w:ind w:left="166" w:hanging="166"/>
        <w:spacing w:after="0"/>
        <w:tabs>
          <w:tab w:leader="none" w:pos="16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Lead Independent Director – </w:t>
      </w:r>
      <w:r>
        <w:rPr>
          <w:rFonts w:ascii="Arial" w:cs="Arial" w:eastAsia="Arial" w:hAnsi="Arial"/>
          <w:sz w:val="16"/>
          <w:szCs w:val="16"/>
          <w:color w:val="000000"/>
        </w:rPr>
        <w:t>Robust responsibilities regularly evaluated for alignment with best practices</w:t>
      </w:r>
    </w:p>
    <w:p>
      <w:pPr>
        <w:spacing w:after="0" w:line="140" w:lineRule="exact"/>
        <w:rPr>
          <w:rFonts w:ascii="Arial" w:cs="Arial" w:eastAsia="Arial" w:hAnsi="Arial"/>
          <w:sz w:val="16"/>
          <w:szCs w:val="16"/>
          <w:b w:val="1"/>
          <w:bCs w:val="1"/>
          <w:color w:val="auto"/>
        </w:rPr>
      </w:pPr>
    </w:p>
    <w:p>
      <w:pPr>
        <w:ind w:left="166" w:right="260" w:hanging="166"/>
        <w:spacing w:after="0" w:line="286" w:lineRule="auto"/>
        <w:tabs>
          <w:tab w:leader="none" w:pos="16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Independence – </w:t>
      </w:r>
      <w:r>
        <w:rPr>
          <w:rFonts w:ascii="Arial" w:cs="Arial" w:eastAsia="Arial" w:hAnsi="Arial"/>
          <w:sz w:val="16"/>
          <w:szCs w:val="16"/>
          <w:color w:val="000000"/>
        </w:rPr>
        <w:t>75% independent Board, as defined in the listing rules of the NYSE, and which exceeds the NYSE listing</w:t>
      </w:r>
      <w:r>
        <w:rPr>
          <w:rFonts w:ascii="Arial" w:cs="Arial" w:eastAsia="Arial" w:hAnsi="Arial"/>
          <w:sz w:val="16"/>
          <w:szCs w:val="16"/>
          <w:b w:val="1"/>
          <w:bCs w:val="1"/>
          <w:color w:val="001641"/>
        </w:rPr>
        <w:t xml:space="preserve"> </w:t>
      </w:r>
      <w:r>
        <w:rPr>
          <w:rFonts w:ascii="Arial" w:cs="Arial" w:eastAsia="Arial" w:hAnsi="Arial"/>
          <w:sz w:val="16"/>
          <w:szCs w:val="16"/>
          <w:color w:val="000000"/>
        </w:rPr>
        <w:t>rules requirement of majority independent directors; fully independent Board Committees</w:t>
      </w:r>
    </w:p>
    <w:p>
      <w:pPr>
        <w:spacing w:after="0" w:line="61" w:lineRule="exact"/>
        <w:rPr>
          <w:rFonts w:ascii="Arial" w:cs="Arial" w:eastAsia="Arial" w:hAnsi="Arial"/>
          <w:sz w:val="16"/>
          <w:szCs w:val="16"/>
          <w:b w:val="1"/>
          <w:bCs w:val="1"/>
          <w:color w:val="auto"/>
        </w:rPr>
      </w:pPr>
    </w:p>
    <w:p>
      <w:pPr>
        <w:ind w:left="166" w:hanging="166"/>
        <w:spacing w:after="0"/>
        <w:tabs>
          <w:tab w:leader="none" w:pos="16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Board Leadership – </w:t>
      </w:r>
      <w:r>
        <w:rPr>
          <w:rFonts w:ascii="Arial" w:cs="Arial" w:eastAsia="Arial" w:hAnsi="Arial"/>
          <w:sz w:val="16"/>
          <w:szCs w:val="16"/>
          <w:color w:val="000000"/>
        </w:rPr>
        <w:t>Separate Chairman and CEO roles</w:t>
      </w:r>
    </w:p>
    <w:p>
      <w:pPr>
        <w:spacing w:after="0" w:line="126" w:lineRule="exact"/>
        <w:rPr>
          <w:rFonts w:ascii="Arial" w:cs="Arial" w:eastAsia="Arial" w:hAnsi="Arial"/>
          <w:sz w:val="16"/>
          <w:szCs w:val="16"/>
          <w:b w:val="1"/>
          <w:bCs w:val="1"/>
          <w:color w:val="auto"/>
        </w:rPr>
      </w:pPr>
    </w:p>
    <w:p>
      <w:pPr>
        <w:ind w:left="166" w:hanging="166"/>
        <w:spacing w:after="0"/>
        <w:tabs>
          <w:tab w:leader="none" w:pos="16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Annual Elections – </w:t>
      </w:r>
      <w:r>
        <w:rPr>
          <w:rFonts w:ascii="Arial" w:cs="Arial" w:eastAsia="Arial" w:hAnsi="Arial"/>
          <w:sz w:val="16"/>
          <w:szCs w:val="16"/>
          <w:color w:val="000000"/>
        </w:rPr>
        <w:t>All directors are elected annually</w:t>
      </w:r>
    </w:p>
    <w:p>
      <w:pPr>
        <w:spacing w:after="0" w:line="140" w:lineRule="exact"/>
        <w:rPr>
          <w:rFonts w:ascii="Arial" w:cs="Arial" w:eastAsia="Arial" w:hAnsi="Arial"/>
          <w:sz w:val="16"/>
          <w:szCs w:val="16"/>
          <w:b w:val="1"/>
          <w:bCs w:val="1"/>
          <w:color w:val="auto"/>
        </w:rPr>
      </w:pPr>
    </w:p>
    <w:p>
      <w:pPr>
        <w:ind w:left="166" w:hanging="166"/>
        <w:spacing w:after="0"/>
        <w:tabs>
          <w:tab w:leader="none" w:pos="16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Stock Ownership – </w:t>
      </w:r>
      <w:r>
        <w:rPr>
          <w:rFonts w:ascii="Arial" w:cs="Arial" w:eastAsia="Arial" w:hAnsi="Arial"/>
          <w:sz w:val="16"/>
          <w:szCs w:val="16"/>
          <w:color w:val="000000"/>
        </w:rPr>
        <w:t>Director and executive stock ownership/holding requirements</w:t>
      </w:r>
    </w:p>
    <w:p>
      <w:pPr>
        <w:spacing w:after="0" w:line="126" w:lineRule="exact"/>
        <w:rPr>
          <w:rFonts w:ascii="Arial" w:cs="Arial" w:eastAsia="Arial" w:hAnsi="Arial"/>
          <w:sz w:val="16"/>
          <w:szCs w:val="16"/>
          <w:b w:val="1"/>
          <w:bCs w:val="1"/>
          <w:color w:val="auto"/>
        </w:rPr>
      </w:pPr>
    </w:p>
    <w:p>
      <w:pPr>
        <w:jc w:val="both"/>
        <w:ind w:left="166" w:right="40" w:hanging="166"/>
        <w:spacing w:after="0" w:line="266" w:lineRule="auto"/>
        <w:tabs>
          <w:tab w:leader="none" w:pos="16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Stockholder Engagement – </w:t>
      </w:r>
      <w:r>
        <w:rPr>
          <w:rFonts w:ascii="Arial" w:cs="Arial" w:eastAsia="Arial" w:hAnsi="Arial"/>
          <w:sz w:val="16"/>
          <w:szCs w:val="16"/>
          <w:color w:val="000000"/>
        </w:rPr>
        <w:t>Longstanding commitment to stockholder outreach, conducted on an ongoing basis and at least</w:t>
      </w:r>
      <w:r>
        <w:rPr>
          <w:rFonts w:ascii="Arial" w:cs="Arial" w:eastAsia="Arial" w:hAnsi="Arial"/>
          <w:sz w:val="16"/>
          <w:szCs w:val="16"/>
          <w:b w:val="1"/>
          <w:bCs w:val="1"/>
          <w:color w:val="001641"/>
        </w:rPr>
        <w:t xml:space="preserve"> </w:t>
      </w:r>
      <w:r>
        <w:rPr>
          <w:rFonts w:ascii="Arial" w:cs="Arial" w:eastAsia="Arial" w:hAnsi="Arial"/>
          <w:sz w:val="16"/>
          <w:szCs w:val="16"/>
          <w:color w:val="000000"/>
        </w:rPr>
        <w:t>once annually, with the presence of the Lead Independent Director upon stockholder request, which directly informs corporate policies and practices</w:t>
      </w:r>
    </w:p>
    <w:p>
      <w:pPr>
        <w:spacing w:after="0" w:line="76" w:lineRule="exact"/>
        <w:rPr>
          <w:rFonts w:ascii="Arial" w:cs="Arial" w:eastAsia="Arial" w:hAnsi="Arial"/>
          <w:sz w:val="16"/>
          <w:szCs w:val="16"/>
          <w:b w:val="1"/>
          <w:bCs w:val="1"/>
          <w:color w:val="auto"/>
        </w:rPr>
      </w:pPr>
    </w:p>
    <w:p>
      <w:pPr>
        <w:jc w:val="both"/>
        <w:ind w:left="166" w:right="40" w:hanging="166"/>
        <w:spacing w:after="0" w:line="266" w:lineRule="auto"/>
        <w:tabs>
          <w:tab w:leader="none" w:pos="16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Accountability to Stockholders – </w:t>
      </w:r>
      <w:r>
        <w:rPr>
          <w:rFonts w:ascii="Arial" w:cs="Arial" w:eastAsia="Arial" w:hAnsi="Arial"/>
          <w:sz w:val="16"/>
          <w:szCs w:val="16"/>
          <w:color w:val="000000"/>
        </w:rPr>
        <w:t>Various annual measures in support of stockholder feedback, including: annual election of</w:t>
      </w:r>
      <w:r>
        <w:rPr>
          <w:rFonts w:ascii="Arial" w:cs="Arial" w:eastAsia="Arial" w:hAnsi="Arial"/>
          <w:sz w:val="16"/>
          <w:szCs w:val="16"/>
          <w:b w:val="1"/>
          <w:bCs w:val="1"/>
          <w:color w:val="001641"/>
        </w:rPr>
        <w:t xml:space="preserve"> </w:t>
      </w:r>
      <w:r>
        <w:rPr>
          <w:rFonts w:ascii="Arial" w:cs="Arial" w:eastAsia="Arial" w:hAnsi="Arial"/>
          <w:sz w:val="16"/>
          <w:szCs w:val="16"/>
          <w:color w:val="000000"/>
        </w:rPr>
        <w:t>directors with Class A stockholders solely electing the three Class A directors, annual stockholder advisory vote on executive compensation, and the ability of stockholders to remove directors with or without cause</w:t>
      </w:r>
    </w:p>
    <w:p>
      <w:pPr>
        <w:spacing w:after="0" w:line="90" w:lineRule="exact"/>
        <w:rPr>
          <w:rFonts w:ascii="Arial" w:cs="Arial" w:eastAsia="Arial" w:hAnsi="Arial"/>
          <w:sz w:val="16"/>
          <w:szCs w:val="16"/>
          <w:b w:val="1"/>
          <w:bCs w:val="1"/>
          <w:color w:val="auto"/>
        </w:rPr>
      </w:pPr>
    </w:p>
    <w:p>
      <w:pPr>
        <w:ind w:left="166" w:hanging="166"/>
        <w:spacing w:after="0" w:line="254" w:lineRule="auto"/>
        <w:tabs>
          <w:tab w:leader="none" w:pos="16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Board Evolution and Succession Planning – </w:t>
      </w:r>
      <w:r>
        <w:rPr>
          <w:rFonts w:ascii="Arial" w:cs="Arial" w:eastAsia="Arial" w:hAnsi="Arial"/>
          <w:sz w:val="16"/>
          <w:szCs w:val="16"/>
          <w:color w:val="000000"/>
        </w:rPr>
        <w:t>Continued commitment to proactive and ongoing Board evolution, including</w:t>
      </w:r>
      <w:r>
        <w:rPr>
          <w:rFonts w:ascii="Arial" w:cs="Arial" w:eastAsia="Arial" w:hAnsi="Arial"/>
          <w:sz w:val="16"/>
          <w:szCs w:val="16"/>
          <w:b w:val="1"/>
          <w:bCs w:val="1"/>
          <w:color w:val="001641"/>
        </w:rPr>
        <w:t xml:space="preserve"> </w:t>
      </w:r>
      <w:r>
        <w:rPr>
          <w:rFonts w:ascii="Arial" w:cs="Arial" w:eastAsia="Arial" w:hAnsi="Arial"/>
          <w:sz w:val="16"/>
          <w:szCs w:val="16"/>
          <w:color w:val="000000"/>
        </w:rPr>
        <w:t>rotation of Committee Chairs at least every five years and ongoing assessment of each Board member’s skills and experience for alignment with strategic priorities and risks and to ensure appropriate mix of skills, expertise, and backgrounds on the Board. This year, our Board evolution process has resulted in one new director, Cesar Conde, joining the Board with relevant and extensive experience in media, entertainment, content production and distribution, global digital transformation and business leadership</w:t>
      </w:r>
    </w:p>
    <w:p>
      <w:pPr>
        <w:spacing w:after="0" w:line="87" w:lineRule="exact"/>
        <w:rPr>
          <w:rFonts w:ascii="Arial" w:cs="Arial" w:eastAsia="Arial" w:hAnsi="Arial"/>
          <w:sz w:val="16"/>
          <w:szCs w:val="16"/>
          <w:b w:val="1"/>
          <w:bCs w:val="1"/>
          <w:color w:val="auto"/>
        </w:rPr>
      </w:pPr>
    </w:p>
    <w:p>
      <w:pPr>
        <w:ind w:left="166" w:right="60" w:hanging="166"/>
        <w:spacing w:after="0" w:line="286" w:lineRule="auto"/>
        <w:tabs>
          <w:tab w:leader="none" w:pos="16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Annual Review of Dual-Class Structure – </w:t>
      </w:r>
      <w:r>
        <w:rPr>
          <w:rFonts w:ascii="Arial" w:cs="Arial" w:eastAsia="Arial" w:hAnsi="Arial"/>
          <w:sz w:val="16"/>
          <w:szCs w:val="16"/>
          <w:color w:val="000000"/>
        </w:rPr>
        <w:t>The Board’s independent Nominating Committee annually reviews our dual-class</w:t>
      </w:r>
      <w:r>
        <w:rPr>
          <w:rFonts w:ascii="Arial" w:cs="Arial" w:eastAsia="Arial" w:hAnsi="Arial"/>
          <w:sz w:val="16"/>
          <w:szCs w:val="16"/>
          <w:b w:val="1"/>
          <w:bCs w:val="1"/>
          <w:color w:val="001641"/>
        </w:rPr>
        <w:t xml:space="preserve"> </w:t>
      </w:r>
      <w:r>
        <w:rPr>
          <w:rFonts w:ascii="Arial" w:cs="Arial" w:eastAsia="Arial" w:hAnsi="Arial"/>
          <w:sz w:val="16"/>
          <w:szCs w:val="16"/>
          <w:color w:val="000000"/>
        </w:rPr>
        <w:t>structure to align with stockholder interests and feedback</w:t>
      </w:r>
    </w:p>
    <w:p>
      <w:pPr>
        <w:spacing w:after="0" w:line="61" w:lineRule="exact"/>
        <w:rPr>
          <w:rFonts w:ascii="Arial" w:cs="Arial" w:eastAsia="Arial" w:hAnsi="Arial"/>
          <w:sz w:val="16"/>
          <w:szCs w:val="16"/>
          <w:b w:val="1"/>
          <w:bCs w:val="1"/>
          <w:color w:val="auto"/>
        </w:rPr>
      </w:pPr>
    </w:p>
    <w:p>
      <w:pPr>
        <w:ind w:left="166" w:right="400" w:hanging="166"/>
        <w:spacing w:after="0" w:line="266" w:lineRule="auto"/>
        <w:tabs>
          <w:tab w:leader="none" w:pos="16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Citizenship &amp; Sustainability – </w:t>
      </w:r>
      <w:r>
        <w:rPr>
          <w:rFonts w:ascii="Arial" w:cs="Arial" w:eastAsia="Arial" w:hAnsi="Arial"/>
          <w:sz w:val="16"/>
          <w:szCs w:val="16"/>
          <w:color w:val="000000"/>
        </w:rPr>
        <w:t>Oversight of citizenship and sustainability matters by the Nominating Committee with</w:t>
      </w:r>
      <w:r>
        <w:rPr>
          <w:rFonts w:ascii="Arial" w:cs="Arial" w:eastAsia="Arial" w:hAnsi="Arial"/>
          <w:sz w:val="16"/>
          <w:szCs w:val="16"/>
          <w:b w:val="1"/>
          <w:bCs w:val="1"/>
          <w:color w:val="001641"/>
        </w:rPr>
        <w:t xml:space="preserve"> </w:t>
      </w:r>
      <w:r>
        <w:rPr>
          <w:rFonts w:ascii="Arial" w:cs="Arial" w:eastAsia="Arial" w:hAnsi="Arial"/>
          <w:sz w:val="16"/>
          <w:szCs w:val="16"/>
          <w:color w:val="000000"/>
        </w:rPr>
        <w:t>quarterly reviews, and annual Global Citizenship &amp; Sustainability Report covering Fiscal 2026 expected to be released in September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8293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81"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10</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21" w:name="page22"/>
    <w:bookmarkEnd w:id="21"/>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left="166" w:right="180" w:hanging="166"/>
        <w:spacing w:after="0" w:line="286" w:lineRule="auto"/>
        <w:tabs>
          <w:tab w:leader="none" w:pos="166"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Talent &amp; Culture – </w:t>
      </w:r>
      <w:r>
        <w:rPr>
          <w:rFonts w:ascii="Arial" w:cs="Arial" w:eastAsia="Arial" w:hAnsi="Arial"/>
          <w:sz w:val="16"/>
          <w:szCs w:val="16"/>
          <w:color w:val="000000"/>
        </w:rPr>
        <w:t>Oversight of our human capital talent development, Belonging and Equity (“BE”) strategy, and corporate</w:t>
      </w:r>
      <w:r>
        <w:rPr>
          <w:rFonts w:ascii="Arial" w:cs="Arial" w:eastAsia="Arial" w:hAnsi="Arial"/>
          <w:sz w:val="16"/>
          <w:szCs w:val="16"/>
          <w:b w:val="1"/>
          <w:bCs w:val="1"/>
          <w:color w:val="001641"/>
        </w:rPr>
        <w:t xml:space="preserve"> </w:t>
      </w:r>
      <w:r>
        <w:rPr>
          <w:rFonts w:ascii="Arial" w:cs="Arial" w:eastAsia="Arial" w:hAnsi="Arial"/>
          <w:sz w:val="16"/>
          <w:szCs w:val="16"/>
          <w:color w:val="000000"/>
        </w:rPr>
        <w:t>culture initiatives by the Talent Committee including regular talent reviews and executive succession planning</w:t>
      </w:r>
    </w:p>
    <w:p>
      <w:pPr>
        <w:spacing w:after="0" w:line="61" w:lineRule="exact"/>
        <w:rPr>
          <w:rFonts w:ascii="Arial" w:cs="Arial" w:eastAsia="Arial" w:hAnsi="Arial"/>
          <w:sz w:val="16"/>
          <w:szCs w:val="16"/>
          <w:b w:val="1"/>
          <w:bCs w:val="1"/>
          <w:color w:val="auto"/>
        </w:rPr>
      </w:pPr>
    </w:p>
    <w:p>
      <w:pPr>
        <w:ind w:left="166" w:right="280" w:hanging="166"/>
        <w:spacing w:after="0" w:line="254" w:lineRule="auto"/>
        <w:tabs>
          <w:tab w:leader="none" w:pos="166"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Strategy Engagement – </w:t>
      </w:r>
      <w:r>
        <w:rPr>
          <w:rFonts w:ascii="Arial" w:cs="Arial" w:eastAsia="Arial" w:hAnsi="Arial"/>
          <w:sz w:val="16"/>
          <w:szCs w:val="16"/>
          <w:color w:val="000000"/>
        </w:rPr>
        <w:t>Prioritized independent director access to management with deep focus on strategy and</w:t>
      </w:r>
      <w:r>
        <w:rPr>
          <w:rFonts w:ascii="Arial" w:cs="Arial" w:eastAsia="Arial" w:hAnsi="Arial"/>
          <w:sz w:val="16"/>
          <w:szCs w:val="16"/>
          <w:b w:val="1"/>
          <w:bCs w:val="1"/>
          <w:color w:val="001641"/>
        </w:rPr>
        <w:t xml:space="preserve"> </w:t>
      </w:r>
      <w:r>
        <w:rPr>
          <w:rFonts w:ascii="Arial" w:cs="Arial" w:eastAsia="Arial" w:hAnsi="Arial"/>
          <w:sz w:val="16"/>
          <w:szCs w:val="16"/>
          <w:color w:val="000000"/>
        </w:rPr>
        <w:t>engagement with additional special strategic meetings, including (i) special meetings of the Finance Committee to oversee strategic priorities and growth drivers including our Strategic Plan, the fiscal year plan and long range plan; (ii) a dedicated Board effectiveness review held in executive session led by the Lead Independent Director; (iii) a third-party independent consultant Board effectiveness review every three years; (iv) quarterly review and analysis of enterprise risk management; and (v) joint meetings of the Finance and Audit Committees to oversee our Next Generation Transformation project.</w:t>
      </w:r>
    </w:p>
    <w:p>
      <w:pPr>
        <w:spacing w:after="0" w:line="87" w:lineRule="exact"/>
        <w:rPr>
          <w:rFonts w:ascii="Arial" w:cs="Arial" w:eastAsia="Arial" w:hAnsi="Arial"/>
          <w:sz w:val="16"/>
          <w:szCs w:val="16"/>
          <w:b w:val="1"/>
          <w:bCs w:val="1"/>
          <w:color w:val="auto"/>
        </w:rPr>
      </w:pPr>
    </w:p>
    <w:p>
      <w:pPr>
        <w:ind w:left="166" w:right="160" w:hanging="166"/>
        <w:spacing w:after="0" w:line="286" w:lineRule="auto"/>
        <w:tabs>
          <w:tab w:leader="none" w:pos="166"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Education – </w:t>
      </w:r>
      <w:r>
        <w:rPr>
          <w:rFonts w:ascii="Arial" w:cs="Arial" w:eastAsia="Arial" w:hAnsi="Arial"/>
          <w:sz w:val="16"/>
          <w:szCs w:val="16"/>
          <w:color w:val="000000"/>
        </w:rPr>
        <w:t>A Board education program with external workshops and trainings, and access to an online Director Education</w:t>
      </w:r>
      <w:r>
        <w:rPr>
          <w:rFonts w:ascii="Arial" w:cs="Arial" w:eastAsia="Arial" w:hAnsi="Arial"/>
          <w:sz w:val="16"/>
          <w:szCs w:val="16"/>
          <w:b w:val="1"/>
          <w:bCs w:val="1"/>
          <w:color w:val="001641"/>
        </w:rPr>
        <w:t xml:space="preserve"> </w:t>
      </w:r>
      <w:r>
        <w:rPr>
          <w:rFonts w:ascii="Arial" w:cs="Arial" w:eastAsia="Arial" w:hAnsi="Arial"/>
          <w:sz w:val="16"/>
          <w:szCs w:val="16"/>
          <w:color w:val="000000"/>
        </w:rPr>
        <w:t>Portal for internal Ralph Lauren classes on the Company and our business</w:t>
      </w:r>
    </w:p>
    <w:p>
      <w:pPr>
        <w:spacing w:after="0" w:line="74" w:lineRule="exact"/>
        <w:rPr>
          <w:rFonts w:ascii="Arial" w:cs="Arial" w:eastAsia="Arial" w:hAnsi="Arial"/>
          <w:sz w:val="16"/>
          <w:szCs w:val="16"/>
          <w:b w:val="1"/>
          <w:bCs w:val="1"/>
          <w:color w:val="auto"/>
        </w:rPr>
      </w:pPr>
    </w:p>
    <w:p>
      <w:pPr>
        <w:ind w:left="166" w:right="140" w:hanging="166"/>
        <w:spacing w:after="0" w:line="286" w:lineRule="auto"/>
        <w:tabs>
          <w:tab w:leader="none" w:pos="166"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Anti-Hedging and Anti-Pledging Policy – </w:t>
      </w:r>
      <w:r>
        <w:rPr>
          <w:rFonts w:ascii="Arial" w:cs="Arial" w:eastAsia="Arial" w:hAnsi="Arial"/>
          <w:sz w:val="16"/>
          <w:szCs w:val="16"/>
          <w:color w:val="000000"/>
        </w:rPr>
        <w:t>Policy prohibiting all directors, officers and employees from pledging, hedging or</w:t>
      </w:r>
      <w:r>
        <w:rPr>
          <w:rFonts w:ascii="Arial" w:cs="Arial" w:eastAsia="Arial" w:hAnsi="Arial"/>
          <w:sz w:val="16"/>
          <w:szCs w:val="16"/>
          <w:b w:val="1"/>
          <w:bCs w:val="1"/>
          <w:color w:val="001641"/>
        </w:rPr>
        <w:t xml:space="preserve"> </w:t>
      </w:r>
      <w:r>
        <w:rPr>
          <w:rFonts w:ascii="Arial" w:cs="Arial" w:eastAsia="Arial" w:hAnsi="Arial"/>
          <w:sz w:val="16"/>
          <w:szCs w:val="16"/>
          <w:color w:val="000000"/>
        </w:rPr>
        <w:t>short selling Company stock</w:t>
      </w:r>
    </w:p>
    <w:p>
      <w:pPr>
        <w:spacing w:after="0" w:line="61" w:lineRule="exact"/>
        <w:rPr>
          <w:rFonts w:ascii="Arial" w:cs="Arial" w:eastAsia="Arial" w:hAnsi="Arial"/>
          <w:sz w:val="16"/>
          <w:szCs w:val="16"/>
          <w:b w:val="1"/>
          <w:bCs w:val="1"/>
          <w:color w:val="auto"/>
        </w:rPr>
      </w:pPr>
    </w:p>
    <w:p>
      <w:pPr>
        <w:ind w:left="166" w:right="160" w:hanging="166"/>
        <w:spacing w:after="0" w:line="253" w:lineRule="auto"/>
        <w:tabs>
          <w:tab w:leader="none" w:pos="166"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Special Strategic Meetings &amp; Ecosystem Immersion Tours – </w:t>
      </w:r>
      <w:r>
        <w:rPr>
          <w:rFonts w:ascii="Arial" w:cs="Arial" w:eastAsia="Arial" w:hAnsi="Arial"/>
          <w:sz w:val="16"/>
          <w:szCs w:val="16"/>
          <w:color w:val="000000"/>
        </w:rPr>
        <w:t>To ensure that the strength of our global business endures</w:t>
      </w:r>
      <w:r>
        <w:rPr>
          <w:rFonts w:ascii="Arial" w:cs="Arial" w:eastAsia="Arial" w:hAnsi="Arial"/>
          <w:sz w:val="16"/>
          <w:szCs w:val="16"/>
          <w:b w:val="1"/>
          <w:bCs w:val="1"/>
          <w:color w:val="001641"/>
        </w:rPr>
        <w:t xml:space="preserve"> </w:t>
      </w:r>
      <w:r>
        <w:rPr>
          <w:rFonts w:ascii="Arial" w:cs="Arial" w:eastAsia="Arial" w:hAnsi="Arial"/>
          <w:sz w:val="16"/>
          <w:szCs w:val="16"/>
          <w:color w:val="000000"/>
        </w:rPr>
        <w:t>over the long-term, the Board and Committees convene additional special strategic meetings throughout the fiscal year to provide management with oversight, input, and guidance regarding various matters. These meetings include discussions on emerging risks, our fiscal year and long range plans, progress of our corporate strategy including the implementation of new strategic growth drivers as part of our Strategic Plan, and ecosystem immersion tours with on-location review of our regional key city ecosystems to engage directly with our strategy, our teams, and our consumer experience, most recently in North America and Europe</w:t>
      </w:r>
    </w:p>
    <w:p>
      <w:pPr>
        <w:spacing w:after="0" w:line="302"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STOCKHOLDER ENGAGEMENT</w:t>
      </w:r>
    </w:p>
    <w:p>
      <w:pPr>
        <w:spacing w:after="0" w:line="153" w:lineRule="exact"/>
        <w:rPr>
          <w:sz w:val="20"/>
          <w:szCs w:val="20"/>
          <w:color w:val="auto"/>
        </w:rPr>
      </w:pPr>
    </w:p>
    <w:p>
      <w:pPr>
        <w:ind w:left="6" w:right="160"/>
        <w:spacing w:after="0" w:line="254" w:lineRule="auto"/>
        <w:rPr>
          <w:sz w:val="20"/>
          <w:szCs w:val="20"/>
          <w:color w:val="auto"/>
        </w:rPr>
      </w:pPr>
      <w:r>
        <w:rPr>
          <w:rFonts w:ascii="Arial" w:cs="Arial" w:eastAsia="Arial" w:hAnsi="Arial"/>
          <w:sz w:val="16"/>
          <w:szCs w:val="16"/>
          <w:color w:val="auto"/>
        </w:rPr>
        <w:t>In Fiscal 2026, we continued our ongoing stockholder outreach efforts as we believe the input of our stockholders is an important driver in establishing our corporate governance, compensation, and citizenship and sustainability practices. In Fiscal 2026, the Company contacted over 70% of our top 25 Class A stockholders, and held meetings with all stockholders that accepted our invitation representing approximately 17% of our Class A Common Stock outstanding. Our Lead Independent Director participated in certain of these meetings last year. Additionally, we conduct business focused engagement calls throughout the year on the Company’s Strategic Plan and financial performance with existing and prospective stockholders.</w:t>
      </w:r>
    </w:p>
    <w:p>
      <w:pPr>
        <w:spacing w:after="0" w:line="128" w:lineRule="exact"/>
        <w:rPr>
          <w:sz w:val="20"/>
          <w:szCs w:val="20"/>
          <w:color w:val="auto"/>
        </w:rPr>
      </w:pPr>
    </w:p>
    <w:p>
      <w:pPr>
        <w:ind w:left="6" w:right="40"/>
        <w:spacing w:after="0" w:line="248" w:lineRule="auto"/>
        <w:rPr>
          <w:sz w:val="20"/>
          <w:szCs w:val="20"/>
          <w:color w:val="auto"/>
        </w:rPr>
      </w:pPr>
      <w:r>
        <w:rPr>
          <w:rFonts w:ascii="Arial" w:cs="Arial" w:eastAsia="Arial" w:hAnsi="Arial"/>
          <w:sz w:val="16"/>
          <w:szCs w:val="16"/>
          <w:color w:val="auto"/>
        </w:rPr>
        <w:t>We have a dual-class capital structure, which we believe continues to be in the best interests of the Company and its stockholders. In particular, as in past years, in Fiscal 2026, the Board's independent Nominating Committee conducted its annual review of our dual-class structure in response to our 2025 Annual Meeting of Stockholders vote results and investor feedback received during our annual stockholder engagement process. As in past years, our Nominating Committee also discussed their review of our dual-class structure with Mr. R. Lauren, as Chairman of the Board, and relayed stockholder views on this structure and Mr. R. Lauren's and the Company's business performance under this structure. Following its review, the Nominating Committee recommended that the Company maintain its existing capital structure in consideration of the relevant benefits and costs of unwinding this structure and re-nominated our directors for re-election at our 2026 Annual Meeting of Stockholders based on a review of each of their capabilities and valuable contributions to the Board. In providing its recommendation, the Nominating Committee applied a structured evaluation framework encompassing performance, governance, stockholder feedback, and economic factors related to the Company's dual-class structure, including the Company's long-term track record of success under such structure, which has been in place since the Company's initial public offering. In addition, the Nominating Committee considered the full voting record for the 2025 Annual Meeting of Stockholders, which reflected significant majority support for our Class A director nominees. The Nominating Committee also discussed Mr. R. Lauren's ongoing stewardship and loyalty to the Company and the stability he provides, especially in times of macroeconomic volatility, and a review of the substantial and prohibitive costs to the Company of unwinding the dual-class structure based on the Nominating Committee's review and analysis of similar precedent transactions. During our Fiscal 2026 engagements, many of our largest institutional stockholders expressed an understanding and recognition of the benefits of our dual-class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58293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128905" cy="1111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22" w:name="page23"/>
    <w:bookmarkEnd w:id="2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85"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GLOBAL CITIZENSHIP &amp; SUSTAINABILITY</w:t>
      </w:r>
    </w:p>
    <w:p>
      <w:pPr>
        <w:spacing w:after="0" w:line="153" w:lineRule="exact"/>
        <w:rPr>
          <w:sz w:val="20"/>
          <w:szCs w:val="20"/>
          <w:color w:val="auto"/>
        </w:rPr>
      </w:pPr>
    </w:p>
    <w:p>
      <w:pPr>
        <w:ind w:left="6" w:right="140"/>
        <w:spacing w:after="0" w:line="256" w:lineRule="auto"/>
        <w:rPr>
          <w:sz w:val="20"/>
          <w:szCs w:val="20"/>
          <w:color w:val="auto"/>
        </w:rPr>
      </w:pPr>
      <w:r>
        <w:rPr>
          <w:rFonts w:ascii="Arial" w:cs="Arial" w:eastAsia="Arial" w:hAnsi="Arial"/>
          <w:sz w:val="16"/>
          <w:szCs w:val="16"/>
          <w:color w:val="auto"/>
        </w:rPr>
        <w:t>Our Global Citizenship &amp; Sustainability work focuses on enhancing the resilience of the teams, communities, partners and natural resources that are essential to our business. Timeless by Design is our intentional approach to driving positive impact across our value chain. Building on the meaningful progress made over the past several years, the next phase of our strategy, Timeless by Design 2030, advances our efforts with a focus on four pillars: Partner for Impact, Protect Natural Resources, Engage &amp; Enable Teams and Care for Communities.</w:t>
      </w:r>
    </w:p>
    <w:p>
      <w:pPr>
        <w:spacing w:after="0" w:line="85" w:lineRule="exact"/>
        <w:rPr>
          <w:sz w:val="20"/>
          <w:szCs w:val="20"/>
          <w:color w:val="auto"/>
        </w:rPr>
      </w:pPr>
    </w:p>
    <w:p>
      <w:pPr>
        <w:ind w:left="166" w:right="40" w:hanging="166"/>
        <w:spacing w:after="0" w:line="256" w:lineRule="auto"/>
        <w:tabs>
          <w:tab w:leader="none" w:pos="166"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Partner for Impact </w:t>
      </w:r>
      <w:r>
        <w:rPr>
          <w:rFonts w:ascii="Arial" w:cs="Arial" w:eastAsia="Arial" w:hAnsi="Arial"/>
          <w:sz w:val="16"/>
          <w:szCs w:val="16"/>
          <w:color w:val="auto"/>
        </w:rPr>
        <w:t>– Our supply chain efforts focus on strengthening supplier relationships, increasing transparency and</w:t>
      </w:r>
      <w:r>
        <w:rPr>
          <w:rFonts w:ascii="Arial" w:cs="Arial" w:eastAsia="Arial" w:hAnsi="Arial"/>
          <w:sz w:val="16"/>
          <w:szCs w:val="16"/>
          <w:b w:val="1"/>
          <w:bCs w:val="1"/>
          <w:color w:val="auto"/>
        </w:rPr>
        <w:t xml:space="preserve"> </w:t>
      </w:r>
      <w:r>
        <w:rPr>
          <w:rFonts w:ascii="Arial" w:cs="Arial" w:eastAsia="Arial" w:hAnsi="Arial"/>
          <w:sz w:val="16"/>
          <w:szCs w:val="16"/>
          <w:color w:val="auto"/>
        </w:rPr>
        <w:t>traceability, and advancing empowerment and life-skills programs for the people who make our products. We collaborate with industry partners and other stakeholders to address shared challenges, including supply chain decarbonization and responsible sourcing. We have established targets to reduce greenhouse gas emissions across our operations and supply chain and to improve water-use efficiency, particularly in water-stressed regions.</w:t>
      </w:r>
    </w:p>
    <w:p>
      <w:pPr>
        <w:spacing w:after="0" w:line="98" w:lineRule="exact"/>
        <w:rPr>
          <w:rFonts w:ascii="Arial" w:cs="Arial" w:eastAsia="Arial" w:hAnsi="Arial"/>
          <w:sz w:val="16"/>
          <w:szCs w:val="16"/>
          <w:color w:val="auto"/>
        </w:rPr>
      </w:pPr>
    </w:p>
    <w:p>
      <w:pPr>
        <w:ind w:left="166" w:right="120" w:hanging="166"/>
        <w:spacing w:after="0" w:line="254" w:lineRule="auto"/>
        <w:tabs>
          <w:tab w:leader="none" w:pos="166"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Protect Natural Resources </w:t>
      </w:r>
      <w:r>
        <w:rPr>
          <w:rFonts w:ascii="Arial" w:cs="Arial" w:eastAsia="Arial" w:hAnsi="Arial"/>
          <w:sz w:val="16"/>
          <w:szCs w:val="16"/>
          <w:color w:val="auto"/>
        </w:rPr>
        <w:t>– Our business depends on long-term access to natural resources, including raw materials and</w:t>
      </w:r>
      <w:r>
        <w:rPr>
          <w:rFonts w:ascii="Arial" w:cs="Arial" w:eastAsia="Arial" w:hAnsi="Arial"/>
          <w:sz w:val="16"/>
          <w:szCs w:val="16"/>
          <w:b w:val="1"/>
          <w:bCs w:val="1"/>
          <w:color w:val="auto"/>
        </w:rPr>
        <w:t xml:space="preserve"> </w:t>
      </w:r>
      <w:r>
        <w:rPr>
          <w:rFonts w:ascii="Arial" w:cs="Arial" w:eastAsia="Arial" w:hAnsi="Arial"/>
          <w:sz w:val="16"/>
          <w:szCs w:val="16"/>
          <w:color w:val="auto"/>
        </w:rPr>
        <w:t>water. We are committed to advancing efforts to enhance the resilience of natural resources and reduce our environmental impact and sourcing risk across our value chain. Our approach integrates work related to soil health, waste management, circularity, chemical management and biodiversity. We work to address climate- and nature-related impacts of natural materials through preferred sourcing and partner engagement focused on water quality, soil health and biodiversity aligned with our climate, water stewardship and chemical management goals.</w:t>
      </w:r>
    </w:p>
    <w:p>
      <w:pPr>
        <w:spacing w:after="0" w:line="87" w:lineRule="exact"/>
        <w:rPr>
          <w:rFonts w:ascii="Arial" w:cs="Arial" w:eastAsia="Arial" w:hAnsi="Arial"/>
          <w:sz w:val="16"/>
          <w:szCs w:val="16"/>
          <w:color w:val="auto"/>
        </w:rPr>
      </w:pPr>
    </w:p>
    <w:p>
      <w:pPr>
        <w:ind w:left="166" w:right="40" w:hanging="166"/>
        <w:spacing w:after="0" w:line="253" w:lineRule="auto"/>
        <w:tabs>
          <w:tab w:leader="none" w:pos="166"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Engage &amp; Enable Teams </w:t>
      </w:r>
      <w:r>
        <w:rPr>
          <w:rFonts w:ascii="Arial" w:cs="Arial" w:eastAsia="Arial" w:hAnsi="Arial"/>
          <w:sz w:val="16"/>
          <w:szCs w:val="16"/>
          <w:color w:val="auto"/>
        </w:rPr>
        <w:t>– Our people are central to our success. We work to create an environment where everyone feels</w:t>
      </w:r>
      <w:r>
        <w:rPr>
          <w:rFonts w:ascii="Arial" w:cs="Arial" w:eastAsia="Arial" w:hAnsi="Arial"/>
          <w:sz w:val="16"/>
          <w:szCs w:val="16"/>
          <w:b w:val="1"/>
          <w:bCs w:val="1"/>
          <w:color w:val="auto"/>
        </w:rPr>
        <w:t xml:space="preserve"> </w:t>
      </w:r>
      <w:r>
        <w:rPr>
          <w:rFonts w:ascii="Arial" w:cs="Arial" w:eastAsia="Arial" w:hAnsi="Arial"/>
          <w:sz w:val="16"/>
          <w:szCs w:val="16"/>
          <w:color w:val="auto"/>
        </w:rPr>
        <w:t>valued and teams can harness their passion and creativity to inspire our customers to dream in a way that only Ralph Lauren can. We do this through opportunities for growth and development, supporting their well-being and by fostering a culture of belonging — creating an employee experience that attracts and retains the industry’s best talent. Our approach to belonging and equity prioritizes open dialogue by amplifying all perspectives through year-round heritage events and structured programming. We also provide comprehensive benefits and wellness offerings that support employees’ physical, emotional, social and financial well-being, helping our teams thrive and contribute to the long-term success of the Company.</w:t>
      </w:r>
    </w:p>
    <w:p>
      <w:pPr>
        <w:spacing w:after="0" w:line="86" w:lineRule="exact"/>
        <w:rPr>
          <w:rFonts w:ascii="Arial" w:cs="Arial" w:eastAsia="Arial" w:hAnsi="Arial"/>
          <w:sz w:val="16"/>
          <w:szCs w:val="16"/>
          <w:color w:val="auto"/>
        </w:rPr>
      </w:pPr>
    </w:p>
    <w:p>
      <w:pPr>
        <w:ind w:left="166" w:right="20" w:hanging="166"/>
        <w:spacing w:after="0" w:line="256" w:lineRule="auto"/>
        <w:tabs>
          <w:tab w:leader="none" w:pos="166"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Care for Communities </w:t>
      </w:r>
      <w:r>
        <w:rPr>
          <w:rFonts w:ascii="Arial" w:cs="Arial" w:eastAsia="Arial" w:hAnsi="Arial"/>
          <w:sz w:val="16"/>
          <w:szCs w:val="16"/>
          <w:color w:val="auto"/>
        </w:rPr>
        <w:t>– We work to uplift the communities we serve globally through philanthropic giving,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volunteering and strategic partnerships, including contributions made directly by the Company and through The Ralph Lauren Corporate Foundation, as well as employee-led volunteer initiatives. A central focus of our community engagement is Pink Pony, our long-standing initiative in the fight against cancer, alongside our Community Outreach &amp; Impact and Ralph Lauren Gives Back programs, which drive our efforts to care for the communities we serve.</w:t>
      </w:r>
    </w:p>
    <w:p>
      <w:pPr>
        <w:spacing w:after="0" w:line="126" w:lineRule="exact"/>
        <w:rPr>
          <w:sz w:val="20"/>
          <w:szCs w:val="20"/>
          <w:color w:val="auto"/>
        </w:rPr>
      </w:pPr>
    </w:p>
    <w:p>
      <w:pPr>
        <w:ind w:left="6"/>
        <w:spacing w:after="0" w:line="253" w:lineRule="auto"/>
        <w:rPr>
          <w:sz w:val="20"/>
          <w:szCs w:val="20"/>
          <w:color w:val="auto"/>
        </w:rPr>
      </w:pPr>
      <w:r>
        <w:rPr>
          <w:rFonts w:ascii="Arial" w:cs="Arial" w:eastAsia="Arial" w:hAnsi="Arial"/>
          <w:sz w:val="16"/>
          <w:szCs w:val="16"/>
          <w:color w:val="auto"/>
        </w:rPr>
        <w:t xml:space="preserve">Please see page </w:t>
      </w:r>
      <w:r>
        <w:rPr>
          <w:rFonts w:ascii="Arial" w:cs="Arial" w:eastAsia="Arial" w:hAnsi="Arial"/>
          <w:sz w:val="16"/>
          <w:szCs w:val="16"/>
          <w:u w:val="single" w:color="auto"/>
          <w:color w:val="0000EE"/>
        </w:rPr>
        <w:t>46</w:t>
      </w:r>
      <w:r>
        <w:rPr>
          <w:rFonts w:ascii="Arial" w:cs="Arial" w:eastAsia="Arial" w:hAnsi="Arial"/>
          <w:sz w:val="16"/>
          <w:szCs w:val="16"/>
          <w:color w:val="auto"/>
        </w:rPr>
        <w:t xml:space="preserve"> for more information. Our most recently published Global Citizenship &amp; Sustainability Report covering Fiscal 2025 may be found on our corporate website at https://corporate.ralphlauren.com/citizenship-and-sustainability. Our Global Citizenship &amp; Sustainability Report covering Fiscal 2026 is expected to be released in September 2026. We regularly conduct materiality assessments to help identify and prioritize the citizenship and sustainability issues, risks and opportunities that matter most to our business and stakeholders. Our most recent assessment was conducted in Fiscal 2025. The information contained in or linked to or from our Global Citizenship &amp; Sustainability Report and on our corporate website is not incorporated by reference into this Proxy Statement and should not be considered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58293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91"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12</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6"/>
          </w:cols>
          <w:pgMar w:left="1354" w:top="114" w:right="1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58293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color w:val="001641"/>
        </w:rPr>
        <w:t>RALPH LAUREN CORPORATION</w:t>
      </w:r>
    </w:p>
    <w:p>
      <w:pPr>
        <w:spacing w:after="0" w:line="128" w:lineRule="exact"/>
        <w:rPr>
          <w:sz w:val="20"/>
          <w:szCs w:val="20"/>
          <w:color w:val="auto"/>
        </w:rPr>
      </w:pPr>
    </w:p>
    <w:p>
      <w:pPr>
        <w:ind w:right="2320"/>
        <w:spacing w:after="0" w:line="287" w:lineRule="auto"/>
        <w:rPr>
          <w:sz w:val="20"/>
          <w:szCs w:val="20"/>
          <w:color w:val="auto"/>
        </w:rPr>
      </w:pPr>
      <w:r>
        <w:rPr>
          <w:rFonts w:ascii="Times New Roman" w:cs="Times New Roman" w:eastAsia="Times New Roman" w:hAnsi="Times New Roman"/>
          <w:sz w:val="53"/>
          <w:szCs w:val="53"/>
          <w:color w:val="001641"/>
        </w:rPr>
        <w:t>Proxy Statement for the Annual Meeting of Stockholders</w:t>
      </w:r>
    </w:p>
    <w:p>
      <w:pPr>
        <w:spacing w:after="0" w:line="3" w:lineRule="exact"/>
        <w:rPr>
          <w:sz w:val="20"/>
          <w:szCs w:val="20"/>
          <w:color w:val="auto"/>
        </w:rPr>
      </w:pPr>
    </w:p>
    <w:p>
      <w:pPr>
        <w:ind w:right="1320"/>
        <w:spacing w:after="0" w:line="272" w:lineRule="auto"/>
        <w:rPr>
          <w:sz w:val="20"/>
          <w:szCs w:val="20"/>
          <w:color w:val="auto"/>
        </w:rPr>
      </w:pPr>
      <w:r>
        <w:rPr>
          <w:rFonts w:ascii="Times New Roman" w:cs="Times New Roman" w:eastAsia="Times New Roman" w:hAnsi="Times New Roman"/>
          <w:sz w:val="27"/>
          <w:szCs w:val="27"/>
          <w:color w:val="BFA071"/>
        </w:rPr>
        <w:t>General Information Regarding the Annual Meeting of Stockholders and Proxy Materials</w:t>
      </w:r>
    </w:p>
    <w:p>
      <w:pPr>
        <w:spacing w:after="0" w:line="21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 xml:space="preserve">This Proxy Statement is furnished to the stockholders of Ralph Lauren Corporation, a Delaware corporation, in connection with the solicitation by its Board of Directors of proxies for its 2026 Annual Meeting to be held exclusively online via live webcast at </w:t>
      </w:r>
      <w:r>
        <w:rPr>
          <w:rFonts w:ascii="Arial" w:cs="Arial" w:eastAsia="Arial" w:hAnsi="Arial"/>
          <w:sz w:val="16"/>
          <w:szCs w:val="16"/>
          <w:i w:val="1"/>
          <w:iCs w:val="1"/>
          <w:color w:val="auto"/>
        </w:rPr>
        <w:t xml:space="preserve">www.virtualshareholdermeeting.com/RL2026 </w:t>
      </w:r>
      <w:r>
        <w:rPr>
          <w:rFonts w:ascii="Arial" w:cs="Arial" w:eastAsia="Arial" w:hAnsi="Arial"/>
          <w:sz w:val="16"/>
          <w:szCs w:val="16"/>
          <w:color w:val="auto"/>
        </w:rPr>
        <w:t>on Thursday, July 30, 2026, at 9:00 a.m. Eastern Time or at any adjournments or</w:t>
      </w:r>
      <w:r>
        <w:rPr>
          <w:rFonts w:ascii="Arial" w:cs="Arial" w:eastAsia="Arial" w:hAnsi="Arial"/>
          <w:sz w:val="16"/>
          <w:szCs w:val="16"/>
          <w:i w:val="1"/>
          <w:iCs w:val="1"/>
          <w:color w:val="auto"/>
        </w:rPr>
        <w:t xml:space="preserve"> </w:t>
      </w:r>
      <w:r>
        <w:rPr>
          <w:rFonts w:ascii="Arial" w:cs="Arial" w:eastAsia="Arial" w:hAnsi="Arial"/>
          <w:sz w:val="16"/>
          <w:szCs w:val="16"/>
          <w:color w:val="auto"/>
        </w:rPr>
        <w:t>postponements thereof. A proxy delivered pursuant to this solicitation may be revoked by the person executing the proxy at any time before it is voted by giving written notice to our Secretary, by delivering a later dated proxy, or by voting online during the 2026 Annual Meeting. The address of our principal executive offices is 650 Madison Avenue, New York, New York 10022.</w:t>
      </w:r>
    </w:p>
    <w:p>
      <w:pPr>
        <w:spacing w:after="0" w:line="12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 xml:space="preserve">This Proxy Statement, the Annual Report on Form 10-K for the fiscal year ended March 28, 2026, and the Notice of Annual Meeting will be made available to our stockholders on our website, </w:t>
      </w:r>
      <w:r>
        <w:rPr>
          <w:rFonts w:ascii="Arial" w:cs="Arial" w:eastAsia="Arial" w:hAnsi="Arial"/>
          <w:sz w:val="16"/>
          <w:szCs w:val="16"/>
          <w:i w:val="1"/>
          <w:iCs w:val="1"/>
          <w:color w:val="auto"/>
        </w:rPr>
        <w:t>http://investor.ralphlauren.com</w:t>
      </w:r>
      <w:r>
        <w:rPr>
          <w:rFonts w:ascii="Arial" w:cs="Arial" w:eastAsia="Arial" w:hAnsi="Arial"/>
          <w:sz w:val="16"/>
          <w:szCs w:val="16"/>
          <w:color w:val="auto"/>
        </w:rPr>
        <w:t>, on or about June 18, 2026, and a full printed set of the proxy materials will be made available 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58293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254635</wp:posOffset>
            </wp:positionV>
            <wp:extent cx="128905" cy="1117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38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126365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102870</wp:posOffset>
            </wp:positionV>
            <wp:extent cx="7003415" cy="81521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03415" cy="815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58293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54"/>
          <w:szCs w:val="54"/>
          <w:color w:val="001641"/>
        </w:rPr>
        <w:t>Proposal 1:</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53"/>
          <w:szCs w:val="53"/>
          <w:color w:val="001641"/>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338455</wp:posOffset>
            </wp:positionV>
            <wp:extent cx="12344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20"/>
        <w:spacing w:after="0" w:line="266" w:lineRule="auto"/>
        <w:rPr>
          <w:sz w:val="20"/>
          <w:szCs w:val="20"/>
          <w:color w:val="auto"/>
        </w:rPr>
      </w:pPr>
      <w:r>
        <w:rPr>
          <w:rFonts w:ascii="Times New Roman" w:cs="Times New Roman" w:eastAsia="Times New Roman" w:hAnsi="Times New Roman"/>
          <w:sz w:val="27"/>
          <w:szCs w:val="27"/>
          <w:color w:val="BFA071"/>
        </w:rPr>
        <w:t>Our Board is presently divided into two classes, with all directors being elected annually.</w:t>
      </w:r>
    </w:p>
    <w:p>
      <w:pPr>
        <w:ind w:right="60"/>
        <w:spacing w:after="0" w:line="259" w:lineRule="auto"/>
        <w:rPr>
          <w:sz w:val="20"/>
          <w:szCs w:val="20"/>
          <w:color w:val="auto"/>
        </w:rPr>
      </w:pPr>
      <w:r>
        <w:rPr>
          <w:rFonts w:ascii="Arial" w:cs="Arial" w:eastAsia="Arial" w:hAnsi="Arial"/>
          <w:sz w:val="16"/>
          <w:szCs w:val="16"/>
          <w:color w:val="auto"/>
        </w:rPr>
        <w:t>Pursuant to our Amended and Restated Certificate of Incorporation, three Class A Directors will be elected by the holders of Class A Common Stock and nine Class B Directors will be elected by the holders of Class B Common Stock, each to serve until the 2027 Annual Meeting of Stockholders and until his or her successor is elected and qualified.</w:t>
      </w:r>
    </w:p>
    <w:p>
      <w:pPr>
        <w:spacing w:after="0" w:line="1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recent years, the Board has undergone significant evolution, resulting in broadened diversity of backgrounds, skills and experiences, in a lower average tenure, and younger average age. Over that period, a number of directors joined the Board with key relevant experiences and attributes, such as individuals with experience in digital, technology and artificial intelligence, entertainment, international sales and operations, corporate citizenship, sustainability, regulatory governance, government affairs, and finance. This year, our Board evolution process has resulted in one new director, Cesar Conde, joining the Board with relevant and extensive experience in media, entertainment, content production and distribution, global digital transformation and business leadership. Mr. Conde’s experiences and background greatly complement the depth of knowledge and experience on our Board. Our independent directors have previously appointed Angela Ahrendts to serve as the Company’s new Lead Independent Director following the 2025 Annual Meeting as detailed below. Angela Ahrendts, Linda Findley, and Darren Walker have been nominated for election as Class A Directors. Ralph Lauren, Patrice Louvet, David Lauren, Frank A. Bennack, Jr., Cesar Conde, Debra Cupp, Michael A. George, Valerie Jarrett, and Wei Zhang have been nominated for election as Class B Directors.</w:t>
      </w:r>
    </w:p>
    <w:p>
      <w:pPr>
        <w:spacing w:after="0" w:line="2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In Fiscal 2017, we appointed our first formal Lead Independent Director to provide strong, independent leadership for the Board and serve as a liaison between our Board and management. The Board most recently expanded the Lead Independent Director role and responsibilities in Fiscal 2023 to include, among other things, leading the annual performance evaluation of the Board, leading the annual performance review of the CEO, reviewing with the Board succession planning for the CEO and other key management positions, shareholder outreach, and playing an increased role in crisis management oversight. This role is consistent with good governance practices for lead independent directors and positively impacts the Board’s operations, oversight and decision-making. We have recently refreshed the role of the Lead Independent Director with the appointment of Angela Ahrendts, the Chair of our Finance Committee, to the role since the 2025 Annual Meeting of Stockholders. Ms. Ahrendts brings extensive experience and proven leadership to the role as a director for eight years on our Board and current Chair of our Finance Committee. Ms. Ahrendts regularly joins each Committee meeting in her role as Lead Independent Director. For more information on the directors, please see “Director Nominees” on page </w:t>
      </w:r>
      <w:r>
        <w:rPr>
          <w:rFonts w:ascii="Arial" w:cs="Arial" w:eastAsia="Arial" w:hAnsi="Arial"/>
          <w:sz w:val="16"/>
          <w:szCs w:val="16"/>
          <w:u w:val="single" w:color="auto"/>
          <w:color w:val="0000EE"/>
        </w:rPr>
        <w:t>4</w:t>
      </w:r>
      <w:r>
        <w:rPr>
          <w:rFonts w:ascii="Arial" w:cs="Arial" w:eastAsia="Arial" w:hAnsi="Arial"/>
          <w:sz w:val="16"/>
          <w:szCs w:val="16"/>
          <w:color w:val="auto"/>
        </w:rPr>
        <w:t xml:space="preserve">, “Board of Directors Effectiveness” on page </w:t>
      </w:r>
      <w:r>
        <w:rPr>
          <w:rFonts w:ascii="Arial" w:cs="Arial" w:eastAsia="Arial" w:hAnsi="Arial"/>
          <w:sz w:val="16"/>
          <w:szCs w:val="16"/>
          <w:u w:val="single" w:color="auto"/>
          <w:color w:val="0000EE"/>
        </w:rPr>
        <w:t>36</w:t>
      </w:r>
      <w:r>
        <w:rPr>
          <w:rFonts w:ascii="Arial" w:cs="Arial" w:eastAsia="Arial" w:hAnsi="Arial"/>
          <w:sz w:val="16"/>
          <w:szCs w:val="16"/>
          <w:color w:val="000000"/>
        </w:rPr>
        <w:t>, and “Director Nomination Procedures” on page</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43</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58293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264160</wp:posOffset>
            </wp:positionV>
            <wp:extent cx="128905" cy="1111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00164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-404495</wp:posOffset>
            </wp:positionV>
            <wp:extent cx="308610" cy="308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1641"/>
        </w:rPr>
        <w:t>VOTING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001641"/>
        </w:rPr>
        <w:t>RECOMMENDATION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01641"/>
        </w:rPr>
        <w:t>Our Board recommends 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01641"/>
        </w:rPr>
        <w:t xml:space="preserve">vote </w:t>
      </w:r>
      <w:r>
        <w:rPr>
          <w:rFonts w:ascii="Arial" w:cs="Arial" w:eastAsia="Arial" w:hAnsi="Arial"/>
          <w:sz w:val="14"/>
          <w:szCs w:val="14"/>
          <w:b w:val="1"/>
          <w:bCs w:val="1"/>
          <w:color w:val="001641"/>
        </w:rPr>
        <w:t>“FOR”</w:t>
      </w:r>
      <w:r>
        <w:rPr>
          <w:rFonts w:ascii="Arial" w:cs="Arial" w:eastAsia="Arial" w:hAnsi="Arial"/>
          <w:sz w:val="14"/>
          <w:szCs w:val="14"/>
          <w:color w:val="001641"/>
        </w:rPr>
        <w:t xml:space="preserve"> each nominee as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01641"/>
        </w:rPr>
        <w:t>a director to hold office until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01641"/>
        </w:rPr>
        <w:t>the 2027 Annual Meeting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01641"/>
        </w:rPr>
        <w:t>Stockholders and until his 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01641"/>
        </w:rPr>
        <w:t>her successor is elected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01641"/>
        </w:rPr>
        <w:t>qualified.</w:t>
      </w:r>
    </w:p>
    <w:p>
      <w:pPr>
        <w:spacing w:after="0" w:line="5166" w:lineRule="exact"/>
        <w:rPr>
          <w:sz w:val="20"/>
          <w:szCs w:val="20"/>
          <w:color w:val="auto"/>
        </w:rPr>
      </w:pPr>
    </w:p>
    <w:p>
      <w:pPr>
        <w:sectPr>
          <w:pgSz w:w="11900" w:h="16838" w:orient="portrait"/>
          <w:cols w:equalWidth="0" w:num="2">
            <w:col w:w="6880" w:space="360"/>
            <w:col w:w="1940"/>
          </w:cols>
          <w:pgMar w:left="1360" w:top="114" w:right="1359" w:bottom="1440" w:gutter="0" w:footer="0" w:header="0"/>
          <w:type w:val="continuous"/>
        </w:sectPr>
      </w:pPr>
    </w:p>
    <w:p>
      <w:pPr>
        <w:spacing w:after="0" w:line="220" w:lineRule="exact"/>
        <w:rPr>
          <w:sz w:val="20"/>
          <w:szCs w:val="20"/>
          <w:color w:val="auto"/>
        </w:rPr>
      </w:pPr>
    </w:p>
    <w:p>
      <w:pPr>
        <w:ind w:left="6540"/>
        <w:spacing w:after="0"/>
        <w:tabs>
          <w:tab w:leader="none" w:pos="900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know of no reason why any nominee would be unable or unwilling to serve. If any nominee becomes unable or unwilling to serve for any reason, our Board, based on the recommendation of the Nominating Committee, may either reduce the number of directors or designate a substitute nominee. If a substitute nominee is designated, the persons named in the enclosed proxy will vote all proxies that would otherwise be voted for the named nominee or nominees for the election of such substitute nominee 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9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16</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CLASS A DIRECTOR 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1311275" cy="131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38"/>
          <w:szCs w:val="38"/>
          <w:color w:val="001641"/>
        </w:rPr>
        <w:t>Angela Ahrendts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40005</wp:posOffset>
            </wp:positionV>
            <wp:extent cx="3429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21"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1641"/>
        </w:rPr>
        <w:t>AGE: 66</w:t>
      </w:r>
    </w:p>
    <w:p>
      <w:pPr>
        <w:spacing w:after="0" w:line="208" w:lineRule="exact"/>
        <w:rPr>
          <w:sz w:val="20"/>
          <w:szCs w:val="20"/>
          <w:color w:val="auto"/>
        </w:rPr>
      </w:pPr>
    </w:p>
    <w:p>
      <w:pPr>
        <w:ind w:left="2380" w:right="260"/>
        <w:spacing w:after="0" w:line="236" w:lineRule="auto"/>
        <w:rPr>
          <w:sz w:val="20"/>
          <w:szCs w:val="20"/>
          <w:color w:val="auto"/>
        </w:rPr>
      </w:pPr>
      <w:r>
        <w:rPr>
          <w:rFonts w:ascii="Arial" w:cs="Arial" w:eastAsia="Arial" w:hAnsi="Arial"/>
          <w:sz w:val="14"/>
          <w:szCs w:val="14"/>
          <w:color w:val="001641"/>
        </w:rPr>
        <w:t>Ms. Ahrendts has been a director of the Company since August 2018 and has served as the Lead Independent Director of the Board since her election at the 2025 Annual Meeting. She most recently served as the Senior Vice President, Retail of Apple Inc. (“Apple”) from May 2014 through April 2019. Prior to Apple, Ms. Ahrendts joined Burberry Group plc in January 2006 where she served as a director and Chief Executive Officer beginning in July 2006. She also previously served as Executive Vice</w:t>
      </w:r>
    </w:p>
    <w:p>
      <w:pPr>
        <w:spacing w:after="0" w:line="1" w:lineRule="exact"/>
        <w:rPr>
          <w:sz w:val="20"/>
          <w:szCs w:val="20"/>
          <w:color w:val="auto"/>
        </w:rPr>
      </w:pPr>
    </w:p>
    <w:p>
      <w:pPr>
        <w:ind w:left="2380" w:right="160" w:hanging="2379"/>
        <w:spacing w:after="0" w:line="217" w:lineRule="auto"/>
        <w:tabs>
          <w:tab w:leader="none" w:pos="2360" w:val="left"/>
        </w:tabs>
        <w:rPr>
          <w:sz w:val="20"/>
          <w:szCs w:val="20"/>
          <w:color w:val="auto"/>
        </w:rPr>
      </w:pPr>
      <w:r>
        <w:rPr>
          <w:rFonts w:ascii="Arial" w:cs="Arial" w:eastAsia="Arial" w:hAnsi="Arial"/>
          <w:sz w:val="29"/>
          <w:szCs w:val="29"/>
          <w:color w:val="001641"/>
          <w:vertAlign w:val="superscript"/>
        </w:rPr>
        <w:t xml:space="preserve">  </w:t>
      </w:r>
      <w:r>
        <w:rPr>
          <w:sz w:val="20"/>
          <w:szCs w:val="20"/>
          <w:color w:val="auto"/>
        </w:rPr>
        <w:tab/>
      </w:r>
      <w:r>
        <w:rPr>
          <w:rFonts w:ascii="Arial" w:cs="Arial" w:eastAsia="Arial" w:hAnsi="Arial"/>
          <w:sz w:val="14"/>
          <w:szCs w:val="14"/>
          <w:color w:val="001641"/>
        </w:rPr>
        <w:t>President at Liz Claiborne, Inc., as President of Donna Karan International, Inc., and as a member of the United Kingdom’s Prime Minister’s Business Advisory Council. Ms. Ahrendts currently serves on the board of directors of Airbnb, Inc. and WPP plc (where she is the Lead Director), each a public company, and is Senior Operating Adviser at SKKY Partners. She is also on the non-profit Boards of charity: water, The HOW Institute for Society; and a member of Paul Polman’s Imagine CEO Circle. In January 2021, she became Chair of the Board, Save the Children International. Angela is also a member of the Global Leadership Council of the Oxford University Saïd Business School and the BritishAmerican Business Advisory Board. Ms. Ahrendts holds a Bachelor of Arts from Ball State University.</w:t>
      </w:r>
    </w:p>
    <w:p>
      <w:pPr>
        <w:spacing w:after="0" w:line="308"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1641"/>
        </w:rPr>
        <w:t>EXPERIENCE, QUALIFICATIONS, ATTRIBUTES AND SKILLS</w:t>
      </w:r>
    </w:p>
    <w:p>
      <w:pPr>
        <w:spacing w:after="0" w:line="181" w:lineRule="exact"/>
        <w:rPr>
          <w:sz w:val="20"/>
          <w:szCs w:val="20"/>
          <w:color w:val="auto"/>
        </w:rPr>
      </w:pPr>
    </w:p>
    <w:p>
      <w:pPr>
        <w:ind w:left="2380" w:right="160"/>
        <w:spacing w:after="0" w:line="246" w:lineRule="auto"/>
        <w:rPr>
          <w:sz w:val="20"/>
          <w:szCs w:val="20"/>
          <w:color w:val="auto"/>
        </w:rPr>
      </w:pPr>
      <w:r>
        <w:rPr>
          <w:rFonts w:ascii="Arial" w:cs="Arial" w:eastAsia="Arial" w:hAnsi="Arial"/>
          <w:sz w:val="14"/>
          <w:szCs w:val="14"/>
          <w:color w:val="auto"/>
        </w:rPr>
        <w:t>Ms. Ahrendts brings to our Board substantial business and leadership experience. Her most recent position as Apple’s Senior Vice President, Retail and Online Stores, and her prior positions at multiple major fashion and apparel companies, such as Burberry, a luxury fashion company, Liz Claiborne, and Donna Karan, give her extensive experience with strategy, real estate and development, operations of physical stores, online stores and contact centers, as well as profound insights into the opportunities and challenges facing our industry. Her extensive background in guiding the retail strategy of renowned international brands, as well as her proven leadership track record in driving successful brand and business transformations, enable her to provide our Board with critical perspective and insight on business, operational, and strategic issues facing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58293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128905" cy="1111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126365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199390</wp:posOffset>
            </wp:positionV>
            <wp:extent cx="1311275" cy="13030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11275" cy="1303020"/>
                    </a:xfrm>
                    <a:prstGeom prst="rect">
                      <a:avLst/>
                    </a:prstGeom>
                    <a:noFill/>
                  </pic:spPr>
                </pic:pic>
              </a:graphicData>
            </a:graphic>
          </wp:anchor>
        </w:drawing>
      </w:r>
    </w:p>
    <w:p>
      <w:pPr>
        <w:spacing w:after="0" w:line="37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38"/>
          <w:szCs w:val="38"/>
          <w:color w:val="001641"/>
        </w:rPr>
        <w:t>Linda Findley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40005</wp:posOffset>
            </wp:positionV>
            <wp:extent cx="3429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321"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1641"/>
        </w:rPr>
        <w:t>AGE: 53</w:t>
      </w:r>
    </w:p>
    <w:p>
      <w:pPr>
        <w:spacing w:after="0" w:line="208" w:lineRule="exact"/>
        <w:rPr>
          <w:sz w:val="20"/>
          <w:szCs w:val="20"/>
          <w:color w:val="auto"/>
        </w:rPr>
      </w:pPr>
    </w:p>
    <w:p>
      <w:pPr>
        <w:ind w:left="2380" w:right="180"/>
        <w:spacing w:after="0" w:line="236" w:lineRule="auto"/>
        <w:rPr>
          <w:sz w:val="20"/>
          <w:szCs w:val="20"/>
          <w:color w:val="auto"/>
        </w:rPr>
      </w:pPr>
      <w:r>
        <w:rPr>
          <w:rFonts w:ascii="Arial" w:cs="Arial" w:eastAsia="Arial" w:hAnsi="Arial"/>
          <w:sz w:val="14"/>
          <w:szCs w:val="14"/>
          <w:color w:val="001641"/>
        </w:rPr>
        <w:t>Ms. Findley has been a director of the Company since August 2018. Ms. Findley has served as the President &amp; Chief Executive Officer of Sleep Number Corporation since April 2025. She previously served as President, Chief Executive Officer of Blue Apron Holdings, Inc. (“Blue Apron”) from April 2019 until May 2024. Prior to that, she served as COO of Etsy, Inc. (“Etsy”), where she oversaw product, design, marketing, and customer engagement and acquisition. Prior to Etsy, Ms. Findley was COO of</w:t>
      </w:r>
    </w:p>
    <w:p>
      <w:pPr>
        <w:spacing w:after="0" w:line="1" w:lineRule="exact"/>
        <w:rPr>
          <w:sz w:val="20"/>
          <w:szCs w:val="20"/>
          <w:color w:val="auto"/>
        </w:rPr>
      </w:pPr>
    </w:p>
    <w:p>
      <w:pPr>
        <w:ind w:left="2380" w:right="100" w:hanging="2379"/>
        <w:spacing w:after="0" w:line="210" w:lineRule="auto"/>
        <w:tabs>
          <w:tab w:leader="none" w:pos="2360" w:val="left"/>
        </w:tabs>
        <w:rPr>
          <w:sz w:val="20"/>
          <w:szCs w:val="20"/>
          <w:color w:val="auto"/>
        </w:rPr>
      </w:pPr>
      <w:r>
        <w:rPr>
          <w:rFonts w:ascii="Arial" w:cs="Arial" w:eastAsia="Arial" w:hAnsi="Arial"/>
          <w:sz w:val="29"/>
          <w:szCs w:val="29"/>
          <w:color w:val="001641"/>
          <w:vertAlign w:val="superscript"/>
        </w:rPr>
        <w:t> </w:t>
      </w:r>
      <w:r>
        <w:rPr>
          <w:sz w:val="20"/>
          <w:szCs w:val="20"/>
          <w:color w:val="auto"/>
        </w:rPr>
        <w:tab/>
      </w:r>
      <w:r>
        <w:rPr>
          <w:rFonts w:ascii="Arial" w:cs="Arial" w:eastAsia="Arial" w:hAnsi="Arial"/>
          <w:sz w:val="14"/>
          <w:szCs w:val="14"/>
          <w:color w:val="001641"/>
        </w:rPr>
        <w:t>Evernote, where she oversaw worldwide operations and led cross-functional teams in offices across 10 countries. Previously, she was based out of Hong Kong and led global marketing, business development, and customer service for Alibaba. com. She has also held leadership positions in communications firms including Fleishman-Hillard, Text 100, and Schwartz Communications. Ms. Findley holds a Master’s degree in Journalism from UNC-Chapel Hill and an undergraduate degree in Corporate Communications from Elon University.</w:t>
      </w:r>
    </w:p>
    <w:p>
      <w:pPr>
        <w:spacing w:after="0" w:line="17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1641"/>
        </w:rPr>
        <w:t>EXPERIENCE, QUALIFICATIONS, ATTRIBUTES AND SKILLS</w:t>
      </w:r>
    </w:p>
    <w:p>
      <w:pPr>
        <w:spacing w:after="0" w:line="181" w:lineRule="exact"/>
        <w:rPr>
          <w:sz w:val="20"/>
          <w:szCs w:val="20"/>
          <w:color w:val="auto"/>
        </w:rPr>
      </w:pPr>
    </w:p>
    <w:p>
      <w:pPr>
        <w:ind w:left="2380" w:right="100"/>
        <w:spacing w:after="0" w:line="245" w:lineRule="auto"/>
        <w:rPr>
          <w:sz w:val="20"/>
          <w:szCs w:val="20"/>
          <w:color w:val="auto"/>
        </w:rPr>
      </w:pPr>
      <w:r>
        <w:rPr>
          <w:rFonts w:ascii="Arial" w:cs="Arial" w:eastAsia="Arial" w:hAnsi="Arial"/>
          <w:sz w:val="14"/>
          <w:szCs w:val="14"/>
          <w:color w:val="auto"/>
        </w:rPr>
        <w:t>Ms. Findley brings to our Board more than 25 years of experience in operations, international marketing, business development, public relations, and customer service. As President and CEO of Sleep Number Corporation, she is responsible for the operations management, organizational transformation, marketing strategy and global expansion of the business. As prior President and CEO of Blue Apron, she was responsible for the corporate strategy and operations of the business. As COO of Etsy, she oversaw all revenue generating and go to market activities including product management, marketing, design, international expansion, and branding/communications. As COO of Evernote, she oversaw worldwide operations that drove revenue and global growth and led cross-functional teams in offices across 10 countries. With a strong emphasis on global growth, Ms. Findley’s work at Etsy included growth across North America, Asia, Europe, Africa, Latin America, and Russia. She drives strategies and programs that balance global efficiency with local teams. These programs drove both user-growth and monetization strategies, as well as scalable customer experience management to maintain brand and positive user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1311275" cy="131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38"/>
          <w:szCs w:val="38"/>
          <w:color w:val="001641"/>
        </w:rPr>
        <w:t>Darren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31750</wp:posOffset>
            </wp:positionV>
            <wp:extent cx="3429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21"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1641"/>
        </w:rPr>
        <w:t>AGE: 66</w:t>
      </w:r>
    </w:p>
    <w:p>
      <w:pPr>
        <w:spacing w:after="0" w:line="208" w:lineRule="exact"/>
        <w:rPr>
          <w:sz w:val="20"/>
          <w:szCs w:val="20"/>
          <w:color w:val="auto"/>
        </w:rPr>
      </w:pPr>
    </w:p>
    <w:p>
      <w:pPr>
        <w:ind w:left="2380" w:right="80"/>
        <w:spacing w:after="0" w:line="236" w:lineRule="auto"/>
        <w:rPr>
          <w:sz w:val="20"/>
          <w:szCs w:val="20"/>
          <w:color w:val="auto"/>
        </w:rPr>
      </w:pPr>
      <w:r>
        <w:rPr>
          <w:rFonts w:ascii="Arial" w:cs="Arial" w:eastAsia="Arial" w:hAnsi="Arial"/>
          <w:sz w:val="14"/>
          <w:szCs w:val="14"/>
          <w:color w:val="001641"/>
        </w:rPr>
        <w:t>Mr. Walker has been a director of the Company since July 2020. Mr. Walker serves as President and CEO of Anonymous Content, a media and entertainment company. From 2013 to 2025, he served as president of the Ford Foundation (“Ford”), one of the world’s largest foundations with an endowment of $16 billion. He is a member of the board of directors of Bloomberg, a private company, National Gallery of Art, Art Bridges and the Obama Foundation. Within the past five years, Mr. Walker served on the board</w:t>
      </w:r>
    </w:p>
    <w:p>
      <w:pPr>
        <w:spacing w:after="0" w:line="1" w:lineRule="exact"/>
        <w:rPr>
          <w:sz w:val="20"/>
          <w:szCs w:val="20"/>
          <w:color w:val="auto"/>
        </w:rPr>
      </w:pPr>
    </w:p>
    <w:p>
      <w:pPr>
        <w:ind w:left="2380" w:right="240" w:hanging="2379"/>
        <w:spacing w:after="0" w:line="205" w:lineRule="auto"/>
        <w:tabs>
          <w:tab w:leader="none" w:pos="2360" w:val="left"/>
        </w:tabs>
        <w:rPr>
          <w:sz w:val="20"/>
          <w:szCs w:val="20"/>
          <w:color w:val="auto"/>
        </w:rPr>
      </w:pPr>
      <w:r>
        <w:rPr>
          <w:rFonts w:ascii="Arial" w:cs="Arial" w:eastAsia="Arial" w:hAnsi="Arial"/>
          <w:sz w:val="29"/>
          <w:szCs w:val="29"/>
          <w:color w:val="001641"/>
          <w:vertAlign w:val="superscript"/>
        </w:rPr>
        <w:t> </w:t>
      </w:r>
      <w:r>
        <w:rPr>
          <w:sz w:val="20"/>
          <w:szCs w:val="20"/>
          <w:color w:val="auto"/>
        </w:rPr>
        <w:tab/>
      </w:r>
      <w:r>
        <w:rPr>
          <w:rFonts w:ascii="Arial" w:cs="Arial" w:eastAsia="Arial" w:hAnsi="Arial"/>
          <w:sz w:val="14"/>
          <w:szCs w:val="14"/>
          <w:color w:val="001641"/>
        </w:rPr>
        <w:t>of directors of PepsiCo, a public company. Previously, Mr. Walker was vice president at the Rockefeller Foundation, overseeing global and domestic programs, and COO of the Abyssinian Development Corporation, Harlem’s largest community development organization. Earlier, he had a decade-long career in finance at UBS and with the law firm Cleary Gottlieb Steen &amp; Hamilton. Mr. Walker holds a Bachelor of Arts, a Bachelor of Science, and a Juris Doctor from the University of Texas at Austin.</w:t>
      </w:r>
    </w:p>
    <w:p>
      <w:pPr>
        <w:spacing w:after="0" w:line="19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1641"/>
        </w:rPr>
        <w:t>EXPERIENCE, QUALIFICATIONS, ATTRIBUTES AND SKILLS</w:t>
      </w:r>
    </w:p>
    <w:p>
      <w:pPr>
        <w:spacing w:after="0" w:line="181" w:lineRule="exact"/>
        <w:rPr>
          <w:sz w:val="20"/>
          <w:szCs w:val="20"/>
          <w:color w:val="auto"/>
        </w:rPr>
      </w:pPr>
    </w:p>
    <w:p>
      <w:pPr>
        <w:ind w:left="2380" w:right="160"/>
        <w:spacing w:after="0" w:line="250" w:lineRule="auto"/>
        <w:rPr>
          <w:sz w:val="20"/>
          <w:szCs w:val="20"/>
          <w:color w:val="auto"/>
        </w:rPr>
      </w:pPr>
      <w:r>
        <w:rPr>
          <w:rFonts w:ascii="Arial" w:cs="Arial" w:eastAsia="Arial" w:hAnsi="Arial"/>
          <w:sz w:val="14"/>
          <w:szCs w:val="14"/>
          <w:color w:val="auto"/>
        </w:rPr>
        <w:t>Mr. Walker brings to our Board insight into the role of business in society gained through his role as President of Ford and leadership in many nonprofit and philanthropic organizations. Through his experience with an international network of diverse social and community initiatives, he provides the Board with a unique perspective on human capital management and talent development and insights on sustainability and public policy matters that are particularly valuable as the Company continues to focus on its sustainability and people and culture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155575</wp:posOffset>
            </wp:positionV>
            <wp:extent cx="58293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18</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29" w:name="page30"/>
    <w:bookmarkEnd w:id="29"/>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3"/>
          <w:szCs w:val="13"/>
          <w:b w:val="1"/>
          <w:bCs w:val="1"/>
          <w:color w:val="001641"/>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53340</wp:posOffset>
            </wp:positionV>
            <wp:extent cx="58293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BFA071"/>
        </w:rPr>
        <w:t>CLASS B DIRECTOR 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252095</wp:posOffset>
            </wp:positionV>
            <wp:extent cx="1303020" cy="13030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03020" cy="130302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920" w:type="dxa"/>
        <w:tblCellMar>
          <w:top w:w="0" w:type="dxa"/>
          <w:left w:w="0" w:type="dxa"/>
          <w:bottom w:w="0" w:type="dxa"/>
          <w:right w:w="0" w:type="dxa"/>
        </w:tblCellMar>
      </w:tblPr>
      <w:tr>
        <w:trPr>
          <w:trHeight w:val="497"/>
        </w:trPr>
        <w:tc>
          <w:tcPr>
            <w:tcW w:w="2360" w:type="dxa"/>
            <w:vAlign w:val="bottom"/>
          </w:tcPr>
          <w:p>
            <w:pPr>
              <w:spacing w:after="0"/>
              <w:rPr>
                <w:sz w:val="24"/>
                <w:szCs w:val="24"/>
                <w:color w:val="auto"/>
              </w:rPr>
            </w:pPr>
          </w:p>
        </w:tc>
        <w:tc>
          <w:tcPr>
            <w:tcW w:w="6700" w:type="dxa"/>
            <w:vAlign w:val="bottom"/>
            <w:gridSpan w:val="2"/>
          </w:tcPr>
          <w:p>
            <w:pPr>
              <w:ind w:left="20"/>
              <w:spacing w:after="0"/>
              <w:rPr>
                <w:sz w:val="20"/>
                <w:szCs w:val="20"/>
                <w:color w:val="auto"/>
              </w:rPr>
            </w:pPr>
            <w:r>
              <w:rPr>
                <w:rFonts w:ascii="Times New Roman" w:cs="Times New Roman" w:eastAsia="Times New Roman" w:hAnsi="Times New Roman"/>
                <w:sz w:val="38"/>
                <w:szCs w:val="38"/>
                <w:color w:val="001641"/>
              </w:rPr>
              <w:t>Ralph Lauren</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40" w:type="dxa"/>
            <w:vAlign w:val="bottom"/>
            <w:shd w:val="clear" w:color="auto" w:fill="BFA071"/>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2360" w:type="dxa"/>
            <w:vAlign w:val="bottom"/>
          </w:tcPr>
          <w:p>
            <w:pPr>
              <w:spacing w:after="0"/>
              <w:rPr>
                <w:sz w:val="24"/>
                <w:szCs w:val="24"/>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001641"/>
              </w:rPr>
              <w:t>AGE: 86</w:t>
            </w:r>
          </w:p>
        </w:tc>
        <w:tc>
          <w:tcPr>
            <w:tcW w:w="0" w:type="dxa"/>
            <w:vAlign w:val="bottom"/>
          </w:tcPr>
          <w:p>
            <w:pPr>
              <w:spacing w:after="0"/>
              <w:rPr>
                <w:sz w:val="1"/>
                <w:szCs w:val="1"/>
                <w:color w:val="auto"/>
              </w:rPr>
            </w:pPr>
          </w:p>
        </w:tc>
      </w:tr>
      <w:tr>
        <w:trPr>
          <w:trHeight w:val="330"/>
        </w:trPr>
        <w:tc>
          <w:tcPr>
            <w:tcW w:w="2360" w:type="dxa"/>
            <w:vAlign w:val="bottom"/>
          </w:tcPr>
          <w:p>
            <w:pPr>
              <w:spacing w:after="0"/>
              <w:rPr>
                <w:sz w:val="24"/>
                <w:szCs w:val="24"/>
                <w:color w:val="auto"/>
              </w:rPr>
            </w:pPr>
          </w:p>
        </w:tc>
        <w:tc>
          <w:tcPr>
            <w:tcW w:w="6700" w:type="dxa"/>
            <w:vAlign w:val="bottom"/>
            <w:gridSpan w:val="2"/>
          </w:tcPr>
          <w:p>
            <w:pPr>
              <w:ind w:left="20"/>
              <w:spacing w:after="0"/>
              <w:rPr>
                <w:sz w:val="20"/>
                <w:szCs w:val="20"/>
                <w:color w:val="auto"/>
              </w:rPr>
            </w:pPr>
            <w:r>
              <w:rPr>
                <w:rFonts w:ascii="Arial" w:cs="Arial" w:eastAsia="Arial" w:hAnsi="Arial"/>
                <w:sz w:val="14"/>
                <w:szCs w:val="14"/>
                <w:color w:val="001641"/>
              </w:rPr>
              <w:t>Mr. R. Lauren founded our business in 1967 and, for over five decades, has cultivated the iconography of</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6700" w:type="dxa"/>
            <w:vAlign w:val="bottom"/>
            <w:gridSpan w:val="2"/>
          </w:tcPr>
          <w:p>
            <w:pPr>
              <w:ind w:left="20"/>
              <w:spacing w:after="0"/>
              <w:rPr>
                <w:sz w:val="20"/>
                <w:szCs w:val="20"/>
                <w:color w:val="auto"/>
              </w:rPr>
            </w:pPr>
            <w:r>
              <w:rPr>
                <w:rFonts w:ascii="Arial" w:cs="Arial" w:eastAsia="Arial" w:hAnsi="Arial"/>
                <w:sz w:val="14"/>
                <w:szCs w:val="14"/>
                <w:color w:val="001641"/>
              </w:rPr>
              <w:t>America into a global lifestyle brand. He is currently our Executive Chairman and Chief Creative Officer</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6700" w:type="dxa"/>
            <w:vAlign w:val="bottom"/>
            <w:gridSpan w:val="2"/>
          </w:tcPr>
          <w:p>
            <w:pPr>
              <w:ind w:left="20"/>
              <w:spacing w:after="0"/>
              <w:rPr>
                <w:sz w:val="20"/>
                <w:szCs w:val="20"/>
                <w:color w:val="auto"/>
              </w:rPr>
            </w:pPr>
            <w:r>
              <w:rPr>
                <w:rFonts w:ascii="Arial" w:cs="Arial" w:eastAsia="Arial" w:hAnsi="Arial"/>
                <w:sz w:val="14"/>
                <w:szCs w:val="14"/>
                <w:color w:val="001641"/>
              </w:rPr>
              <w:t>and has been a director of the Company since prior to our initial public offering in 1997. He had</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6700" w:type="dxa"/>
            <w:vAlign w:val="bottom"/>
            <w:gridSpan w:val="2"/>
          </w:tcPr>
          <w:p>
            <w:pPr>
              <w:ind w:left="20"/>
              <w:spacing w:after="0"/>
              <w:rPr>
                <w:sz w:val="20"/>
                <w:szCs w:val="20"/>
                <w:color w:val="auto"/>
              </w:rPr>
            </w:pPr>
            <w:r>
              <w:rPr>
                <w:rFonts w:ascii="Arial" w:cs="Arial" w:eastAsia="Arial" w:hAnsi="Arial"/>
                <w:sz w:val="14"/>
                <w:szCs w:val="14"/>
                <w:color w:val="001641"/>
              </w:rPr>
              <w:t>previously been our Chairman and Chief Executive Officer since prior to our initial public offering in 1997</w:t>
            </w:r>
          </w:p>
        </w:tc>
        <w:tc>
          <w:tcPr>
            <w:tcW w:w="0" w:type="dxa"/>
            <w:vAlign w:val="bottom"/>
          </w:tcPr>
          <w:p>
            <w:pPr>
              <w:spacing w:after="0"/>
              <w:rPr>
                <w:sz w:val="1"/>
                <w:szCs w:val="1"/>
                <w:color w:val="auto"/>
              </w:rPr>
            </w:pPr>
          </w:p>
        </w:tc>
      </w:tr>
      <w:tr>
        <w:trPr>
          <w:trHeight w:val="162"/>
        </w:trPr>
        <w:tc>
          <w:tcPr>
            <w:tcW w:w="2360" w:type="dxa"/>
            <w:vAlign w:val="bottom"/>
            <w:vMerge w:val="restart"/>
          </w:tcPr>
          <w:p>
            <w:pPr>
              <w:spacing w:after="0"/>
              <w:rPr>
                <w:sz w:val="20"/>
                <w:szCs w:val="20"/>
                <w:color w:val="auto"/>
              </w:rPr>
            </w:pPr>
            <w:r>
              <w:rPr>
                <w:rFonts w:ascii="Arial" w:cs="Arial" w:eastAsia="Arial" w:hAnsi="Arial"/>
                <w:sz w:val="14"/>
                <w:szCs w:val="14"/>
                <w:color w:val="001641"/>
              </w:rPr>
              <w:t> </w:t>
            </w:r>
          </w:p>
        </w:tc>
        <w:tc>
          <w:tcPr>
            <w:tcW w:w="6700" w:type="dxa"/>
            <w:vAlign w:val="bottom"/>
            <w:gridSpan w:val="2"/>
          </w:tcPr>
          <w:p>
            <w:pPr>
              <w:ind w:left="20"/>
              <w:spacing w:after="0"/>
              <w:rPr>
                <w:sz w:val="20"/>
                <w:szCs w:val="20"/>
                <w:color w:val="auto"/>
              </w:rPr>
            </w:pPr>
            <w:r>
              <w:rPr>
                <w:rFonts w:ascii="Arial" w:cs="Arial" w:eastAsia="Arial" w:hAnsi="Arial"/>
                <w:sz w:val="14"/>
                <w:szCs w:val="14"/>
                <w:color w:val="001641"/>
              </w:rPr>
              <w:t>until November 2015. In addition, he was previously a member of our Advisory Board or the Board of</w:t>
            </w:r>
          </w:p>
        </w:tc>
        <w:tc>
          <w:tcPr>
            <w:tcW w:w="0" w:type="dxa"/>
            <w:vAlign w:val="bottom"/>
          </w:tcPr>
          <w:p>
            <w:pPr>
              <w:spacing w:after="0"/>
              <w:rPr>
                <w:sz w:val="1"/>
                <w:szCs w:val="1"/>
                <w:color w:val="auto"/>
              </w:rPr>
            </w:pPr>
          </w:p>
        </w:tc>
      </w:tr>
      <w:tr>
        <w:trPr>
          <w:trHeight w:val="123"/>
        </w:trPr>
        <w:tc>
          <w:tcPr>
            <w:tcW w:w="2360" w:type="dxa"/>
            <w:vAlign w:val="bottom"/>
            <w:vMerge w:val="continue"/>
          </w:tcPr>
          <w:p>
            <w:pPr>
              <w:spacing w:after="0"/>
              <w:rPr>
                <w:sz w:val="10"/>
                <w:szCs w:val="10"/>
                <w:color w:val="auto"/>
              </w:rPr>
            </w:pPr>
          </w:p>
        </w:tc>
        <w:tc>
          <w:tcPr>
            <w:tcW w:w="6700" w:type="dxa"/>
            <w:vAlign w:val="bottom"/>
            <w:gridSpan w:val="2"/>
            <w:vMerge w:val="restart"/>
          </w:tcPr>
          <w:p>
            <w:pPr>
              <w:ind w:left="20"/>
              <w:spacing w:after="0"/>
              <w:rPr>
                <w:sz w:val="20"/>
                <w:szCs w:val="20"/>
                <w:color w:val="auto"/>
              </w:rPr>
            </w:pPr>
            <w:r>
              <w:rPr>
                <w:rFonts w:ascii="Arial" w:cs="Arial" w:eastAsia="Arial" w:hAnsi="Arial"/>
                <w:sz w:val="14"/>
                <w:szCs w:val="14"/>
                <w:color w:val="001641"/>
              </w:rPr>
              <w:t>Directors of our predecessors since their organization.</w:t>
            </w:r>
          </w:p>
        </w:tc>
        <w:tc>
          <w:tcPr>
            <w:tcW w:w="0" w:type="dxa"/>
            <w:vAlign w:val="bottom"/>
          </w:tcPr>
          <w:p>
            <w:pPr>
              <w:spacing w:after="0"/>
              <w:rPr>
                <w:sz w:val="1"/>
                <w:szCs w:val="1"/>
                <w:color w:val="auto"/>
              </w:rPr>
            </w:pPr>
          </w:p>
        </w:tc>
      </w:tr>
      <w:tr>
        <w:trPr>
          <w:trHeight w:val="68"/>
        </w:trPr>
        <w:tc>
          <w:tcPr>
            <w:tcW w:w="2360" w:type="dxa"/>
            <w:vAlign w:val="bottom"/>
          </w:tcPr>
          <w:p>
            <w:pPr>
              <w:spacing w:after="0"/>
              <w:rPr>
                <w:sz w:val="5"/>
                <w:szCs w:val="5"/>
                <w:color w:val="auto"/>
              </w:rPr>
            </w:pPr>
          </w:p>
        </w:tc>
        <w:tc>
          <w:tcPr>
            <w:tcW w:w="6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8"/>
        </w:trPr>
        <w:tc>
          <w:tcPr>
            <w:tcW w:w="2360" w:type="dxa"/>
            <w:vAlign w:val="bottom"/>
          </w:tcPr>
          <w:p>
            <w:pPr>
              <w:spacing w:after="0"/>
              <w:rPr>
                <w:sz w:val="24"/>
                <w:szCs w:val="24"/>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001641"/>
              </w:rPr>
              <w:t>EXPERIENCE, QUALIFICATIONS, ATTRIBUTES AND SKILLS</w:t>
            </w:r>
          </w:p>
        </w:tc>
        <w:tc>
          <w:tcPr>
            <w:tcW w:w="0" w:type="dxa"/>
            <w:vAlign w:val="bottom"/>
          </w:tcPr>
          <w:p>
            <w:pPr>
              <w:spacing w:after="0"/>
              <w:rPr>
                <w:sz w:val="1"/>
                <w:szCs w:val="1"/>
                <w:color w:val="auto"/>
              </w:rPr>
            </w:pPr>
          </w:p>
        </w:tc>
      </w:tr>
      <w:tr>
        <w:trPr>
          <w:trHeight w:val="303"/>
        </w:trPr>
        <w:tc>
          <w:tcPr>
            <w:tcW w:w="2360" w:type="dxa"/>
            <w:vAlign w:val="bottom"/>
          </w:tcPr>
          <w:p>
            <w:pPr>
              <w:spacing w:after="0"/>
              <w:rPr>
                <w:sz w:val="24"/>
                <w:szCs w:val="24"/>
                <w:color w:val="auto"/>
              </w:rPr>
            </w:pPr>
          </w:p>
        </w:tc>
        <w:tc>
          <w:tcPr>
            <w:tcW w:w="6700" w:type="dxa"/>
            <w:vAlign w:val="bottom"/>
            <w:gridSpan w:val="2"/>
          </w:tcPr>
          <w:p>
            <w:pPr>
              <w:ind w:left="20"/>
              <w:spacing w:after="0"/>
              <w:rPr>
                <w:sz w:val="20"/>
                <w:szCs w:val="20"/>
                <w:color w:val="auto"/>
              </w:rPr>
            </w:pPr>
            <w:r>
              <w:rPr>
                <w:rFonts w:ascii="Arial" w:cs="Arial" w:eastAsia="Arial" w:hAnsi="Arial"/>
                <w:sz w:val="14"/>
                <w:szCs w:val="14"/>
                <w:color w:val="auto"/>
              </w:rPr>
              <w:t>Mr. R. Lauren is an internationally recognized fashion designer. His unique role as our Founder and Chief</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6700" w:type="dxa"/>
            <w:vAlign w:val="bottom"/>
            <w:gridSpan w:val="2"/>
          </w:tcPr>
          <w:p>
            <w:pPr>
              <w:ind w:left="20"/>
              <w:spacing w:after="0"/>
              <w:rPr>
                <w:sz w:val="20"/>
                <w:szCs w:val="20"/>
                <w:color w:val="auto"/>
              </w:rPr>
            </w:pPr>
            <w:r>
              <w:rPr>
                <w:rFonts w:ascii="Arial" w:cs="Arial" w:eastAsia="Arial" w:hAnsi="Arial"/>
                <w:sz w:val="14"/>
                <w:szCs w:val="14"/>
                <w:color w:val="auto"/>
              </w:rPr>
              <w:t>Creative Officer, as well as his experience as our previous Chief Executive Officer, provides our Board</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6700" w:type="dxa"/>
            <w:vAlign w:val="bottom"/>
            <w:gridSpan w:val="2"/>
          </w:tcPr>
          <w:p>
            <w:pPr>
              <w:ind w:left="20"/>
              <w:spacing w:after="0"/>
              <w:rPr>
                <w:sz w:val="20"/>
                <w:szCs w:val="20"/>
                <w:color w:val="auto"/>
              </w:rPr>
            </w:pPr>
            <w:r>
              <w:rPr>
                <w:rFonts w:ascii="Arial" w:cs="Arial" w:eastAsia="Arial" w:hAnsi="Arial"/>
                <w:sz w:val="14"/>
                <w:szCs w:val="14"/>
                <w:color w:val="auto"/>
              </w:rPr>
              <w:t>with valuable leadership, including in the areas of design, brand management, and marketing. Mr. R.</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6700" w:type="dxa"/>
            <w:vAlign w:val="bottom"/>
            <w:gridSpan w:val="2"/>
          </w:tcPr>
          <w:p>
            <w:pPr>
              <w:ind w:left="20"/>
              <w:spacing w:after="0"/>
              <w:rPr>
                <w:sz w:val="20"/>
                <w:szCs w:val="20"/>
                <w:color w:val="auto"/>
              </w:rPr>
            </w:pPr>
            <w:r>
              <w:rPr>
                <w:rFonts w:ascii="Arial" w:cs="Arial" w:eastAsia="Arial" w:hAnsi="Arial"/>
                <w:sz w:val="14"/>
                <w:szCs w:val="14"/>
                <w:color w:val="auto"/>
              </w:rPr>
              <w:t>Lauren’s contributions to us since the founding of our business have been instrumental in defining our</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6700" w:type="dxa"/>
            <w:vAlign w:val="bottom"/>
            <w:gridSpan w:val="2"/>
          </w:tcPr>
          <w:p>
            <w:pPr>
              <w:ind w:left="20"/>
              <w:spacing w:after="0"/>
              <w:rPr>
                <w:sz w:val="20"/>
                <w:szCs w:val="20"/>
                <w:color w:val="auto"/>
              </w:rPr>
            </w:pPr>
            <w:r>
              <w:rPr>
                <w:rFonts w:ascii="Arial" w:cs="Arial" w:eastAsia="Arial" w:hAnsi="Arial"/>
                <w:sz w:val="14"/>
                <w:szCs w:val="14"/>
                <w:color w:val="auto"/>
              </w:rPr>
              <w:t>image and direction. As one of the world’s most innovative design leaders and a fashion icon, his career</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6700" w:type="dxa"/>
            <w:vAlign w:val="bottom"/>
            <w:gridSpan w:val="2"/>
          </w:tcPr>
          <w:p>
            <w:pPr>
              <w:ind w:left="20"/>
              <w:spacing w:after="0"/>
              <w:rPr>
                <w:sz w:val="20"/>
                <w:szCs w:val="20"/>
                <w:color w:val="auto"/>
              </w:rPr>
            </w:pPr>
            <w:r>
              <w:rPr>
                <w:rFonts w:ascii="Arial" w:cs="Arial" w:eastAsia="Arial" w:hAnsi="Arial"/>
                <w:sz w:val="14"/>
                <w:szCs w:val="14"/>
                <w:color w:val="auto"/>
              </w:rPr>
              <w:t>has spanned over five decades that have resulted in numerous unique tributes for his role within the</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6700" w:type="dxa"/>
            <w:vAlign w:val="bottom"/>
            <w:gridSpan w:val="2"/>
          </w:tcPr>
          <w:p>
            <w:pPr>
              <w:ind w:left="20"/>
              <w:spacing w:after="0"/>
              <w:rPr>
                <w:sz w:val="20"/>
                <w:szCs w:val="20"/>
                <w:color w:val="auto"/>
              </w:rPr>
            </w:pPr>
            <w:r>
              <w:rPr>
                <w:rFonts w:ascii="Arial" w:cs="Arial" w:eastAsia="Arial" w:hAnsi="Arial"/>
                <w:sz w:val="14"/>
                <w:szCs w:val="14"/>
                <w:color w:val="auto"/>
              </w:rPr>
              <w:t>fashion industry. He is uniquely qualified to bring strategic insight, experience, and in-depth knowledge of</w:t>
            </w: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6700" w:type="dxa"/>
            <w:vAlign w:val="bottom"/>
            <w:gridSpan w:val="2"/>
          </w:tcPr>
          <w:p>
            <w:pPr>
              <w:ind w:left="20"/>
              <w:spacing w:after="0"/>
              <w:rPr>
                <w:sz w:val="20"/>
                <w:szCs w:val="20"/>
                <w:color w:val="auto"/>
              </w:rPr>
            </w:pPr>
            <w:r>
              <w:rPr>
                <w:rFonts w:ascii="Arial" w:cs="Arial" w:eastAsia="Arial" w:hAnsi="Arial"/>
                <w:sz w:val="14"/>
                <w:szCs w:val="14"/>
                <w:color w:val="auto"/>
              </w:rPr>
              <w:t>our business and the fashion industry to the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262255</wp:posOffset>
            </wp:positionV>
            <wp:extent cx="1311275" cy="131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38"/>
          <w:szCs w:val="38"/>
          <w:color w:val="001641"/>
        </w:rPr>
        <w:t>Patrice Louvet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40005</wp:posOffset>
            </wp:positionV>
            <wp:extent cx="3429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2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001641"/>
        </w:rPr>
        <w:t>AGE: 61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900" w:type="dxa"/>
            <w:vAlign w:val="bottom"/>
            <w:gridSpan w:val="2"/>
          </w:tcPr>
          <w:p>
            <w:pPr>
              <w:ind w:left="1180"/>
              <w:spacing w:after="0"/>
              <w:rPr>
                <w:sz w:val="20"/>
                <w:szCs w:val="20"/>
                <w:color w:val="auto"/>
              </w:rPr>
            </w:pPr>
            <w:r>
              <w:rPr>
                <w:rFonts w:ascii="Arial" w:cs="Arial" w:eastAsia="Arial" w:hAnsi="Arial"/>
                <w:sz w:val="14"/>
                <w:szCs w:val="14"/>
                <w:color w:val="001641"/>
              </w:rPr>
              <w:t>Mr. Louvet has served as our President and Chief Executive Officer, and a director of the Company since</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900" w:type="dxa"/>
            <w:vAlign w:val="bottom"/>
            <w:gridSpan w:val="2"/>
          </w:tcPr>
          <w:p>
            <w:pPr>
              <w:ind w:left="1180"/>
              <w:spacing w:after="0"/>
              <w:rPr>
                <w:sz w:val="20"/>
                <w:szCs w:val="20"/>
                <w:color w:val="auto"/>
              </w:rPr>
            </w:pPr>
            <w:r>
              <w:rPr>
                <w:rFonts w:ascii="Arial" w:cs="Arial" w:eastAsia="Arial" w:hAnsi="Arial"/>
                <w:sz w:val="14"/>
                <w:szCs w:val="14"/>
                <w:color w:val="001641"/>
              </w:rPr>
              <w:t>July 2017. Prior to joining the Company, he served as the Group President, Global Beauty, of Procter &amp;</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900" w:type="dxa"/>
            <w:vAlign w:val="bottom"/>
            <w:gridSpan w:val="2"/>
          </w:tcPr>
          <w:p>
            <w:pPr>
              <w:ind w:left="1180"/>
              <w:spacing w:after="0"/>
              <w:rPr>
                <w:sz w:val="20"/>
                <w:szCs w:val="20"/>
                <w:color w:val="auto"/>
              </w:rPr>
            </w:pPr>
            <w:r>
              <w:rPr>
                <w:rFonts w:ascii="Arial" w:cs="Arial" w:eastAsia="Arial" w:hAnsi="Arial"/>
                <w:sz w:val="14"/>
                <w:szCs w:val="14"/>
                <w:color w:val="001641"/>
              </w:rPr>
              <w:t>Gamble Co. (“P&amp;G”) since February 2015. Prior to that role, Mr. Louvet held successively senior</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900" w:type="dxa"/>
            <w:vAlign w:val="bottom"/>
            <w:gridSpan w:val="2"/>
          </w:tcPr>
          <w:p>
            <w:pPr>
              <w:ind w:left="1180"/>
              <w:spacing w:after="0"/>
              <w:rPr>
                <w:sz w:val="20"/>
                <w:szCs w:val="20"/>
                <w:color w:val="auto"/>
              </w:rPr>
            </w:pPr>
            <w:r>
              <w:rPr>
                <w:rFonts w:ascii="Arial" w:cs="Arial" w:eastAsia="Arial" w:hAnsi="Arial"/>
                <w:sz w:val="14"/>
                <w:szCs w:val="14"/>
                <w:color w:val="001641"/>
              </w:rPr>
              <w:t>leadership positions at P&amp;G, including the roles of Group President, Global Grooming (Gillette), and</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001641"/>
              </w:rPr>
              <w:t> </w:t>
            </w:r>
          </w:p>
        </w:tc>
        <w:tc>
          <w:tcPr>
            <w:tcW w:w="8900" w:type="dxa"/>
            <w:vAlign w:val="bottom"/>
            <w:gridSpan w:val="2"/>
          </w:tcPr>
          <w:p>
            <w:pPr>
              <w:ind w:left="1180"/>
              <w:spacing w:after="0"/>
              <w:rPr>
                <w:sz w:val="20"/>
                <w:szCs w:val="20"/>
                <w:color w:val="auto"/>
              </w:rPr>
            </w:pPr>
            <w:r>
              <w:rPr>
                <w:rFonts w:ascii="Arial" w:cs="Arial" w:eastAsia="Arial" w:hAnsi="Arial"/>
                <w:sz w:val="14"/>
                <w:szCs w:val="14"/>
                <w:color w:val="001641"/>
              </w:rPr>
              <w:t>President of P&amp;G’s Global Prestige Business. Before he joined P&amp;G, he served as a Naval Officer,</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8900" w:type="dxa"/>
            <w:vAlign w:val="bottom"/>
            <w:gridSpan w:val="2"/>
          </w:tcPr>
          <w:p>
            <w:pPr>
              <w:ind w:left="1180"/>
              <w:spacing w:after="0"/>
              <w:rPr>
                <w:sz w:val="20"/>
                <w:szCs w:val="20"/>
                <w:color w:val="auto"/>
              </w:rPr>
            </w:pPr>
            <w:r>
              <w:rPr>
                <w:rFonts w:ascii="Arial" w:cs="Arial" w:eastAsia="Arial" w:hAnsi="Arial"/>
                <w:sz w:val="14"/>
                <w:szCs w:val="14"/>
                <w:color w:val="001641"/>
              </w:rPr>
              <w:t>Admiral Aide de Camp in the French Navy from 1987 to 1989. Mr. Louvet graduated from École</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900" w:type="dxa"/>
            <w:vAlign w:val="bottom"/>
            <w:gridSpan w:val="2"/>
          </w:tcPr>
          <w:p>
            <w:pPr>
              <w:ind w:left="1180"/>
              <w:spacing w:after="0"/>
              <w:rPr>
                <w:sz w:val="20"/>
                <w:szCs w:val="20"/>
                <w:color w:val="auto"/>
              </w:rPr>
            </w:pPr>
            <w:r>
              <w:rPr>
                <w:rFonts w:ascii="Arial" w:cs="Arial" w:eastAsia="Arial" w:hAnsi="Arial"/>
                <w:sz w:val="14"/>
                <w:szCs w:val="14"/>
                <w:color w:val="001641"/>
              </w:rPr>
              <w:t>Supérieure de Commerce de Paris and received his M.B.A. from the University of Illinois. Mr. Louvet also</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900" w:type="dxa"/>
            <w:vAlign w:val="bottom"/>
            <w:gridSpan w:val="2"/>
          </w:tcPr>
          <w:p>
            <w:pPr>
              <w:ind w:left="1180"/>
              <w:spacing w:after="0"/>
              <w:rPr>
                <w:sz w:val="20"/>
                <w:szCs w:val="20"/>
                <w:color w:val="auto"/>
              </w:rPr>
            </w:pPr>
            <w:r>
              <w:rPr>
                <w:rFonts w:ascii="Arial" w:cs="Arial" w:eastAsia="Arial" w:hAnsi="Arial"/>
                <w:sz w:val="14"/>
                <w:szCs w:val="14"/>
                <w:color w:val="001641"/>
              </w:rPr>
              <w:t>serves on the board of trustees of the Hospital of Special Surgery and has served on the board of</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900" w:type="dxa"/>
            <w:vAlign w:val="bottom"/>
            <w:gridSpan w:val="2"/>
          </w:tcPr>
          <w:p>
            <w:pPr>
              <w:ind w:left="1180"/>
              <w:spacing w:after="0"/>
              <w:rPr>
                <w:sz w:val="20"/>
                <w:szCs w:val="20"/>
                <w:color w:val="auto"/>
              </w:rPr>
            </w:pPr>
            <w:r>
              <w:rPr>
                <w:rFonts w:ascii="Arial" w:cs="Arial" w:eastAsia="Arial" w:hAnsi="Arial"/>
                <w:sz w:val="14"/>
                <w:szCs w:val="14"/>
                <w:color w:val="001641"/>
              </w:rPr>
              <w:t>directors of Danone, a public company, since April 2022. He is also on the CEO Advisory Council of the</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900" w:type="dxa"/>
            <w:vAlign w:val="bottom"/>
            <w:gridSpan w:val="2"/>
          </w:tcPr>
          <w:p>
            <w:pPr>
              <w:ind w:left="1180"/>
              <w:spacing w:after="0"/>
              <w:rPr>
                <w:sz w:val="20"/>
                <w:szCs w:val="20"/>
                <w:color w:val="auto"/>
              </w:rPr>
            </w:pPr>
            <w:r>
              <w:rPr>
                <w:rFonts w:ascii="Arial" w:cs="Arial" w:eastAsia="Arial" w:hAnsi="Arial"/>
                <w:sz w:val="14"/>
                <w:szCs w:val="14"/>
                <w:color w:val="001641"/>
              </w:rPr>
              <w:t>Fashion Pact, a coalition committed to advancing environmental sustainability in the fashion and textile</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900" w:type="dxa"/>
            <w:vAlign w:val="bottom"/>
            <w:gridSpan w:val="2"/>
          </w:tcPr>
          <w:p>
            <w:pPr>
              <w:ind w:left="1180"/>
              <w:spacing w:after="0"/>
              <w:rPr>
                <w:sz w:val="20"/>
                <w:szCs w:val="20"/>
                <w:color w:val="auto"/>
              </w:rPr>
            </w:pPr>
            <w:r>
              <w:rPr>
                <w:rFonts w:ascii="Arial" w:cs="Arial" w:eastAsia="Arial" w:hAnsi="Arial"/>
                <w:sz w:val="14"/>
                <w:szCs w:val="14"/>
                <w:color w:val="001641"/>
              </w:rPr>
              <w:t>industries.</w:t>
            </w:r>
          </w:p>
        </w:tc>
        <w:tc>
          <w:tcPr>
            <w:tcW w:w="0" w:type="dxa"/>
            <w:vAlign w:val="bottom"/>
          </w:tcPr>
          <w:p>
            <w:pPr>
              <w:spacing w:after="0"/>
              <w:rPr>
                <w:sz w:val="1"/>
                <w:szCs w:val="1"/>
                <w:color w:val="auto"/>
              </w:rPr>
            </w:pPr>
          </w:p>
        </w:tc>
      </w:tr>
      <w:tr>
        <w:trPr>
          <w:trHeight w:val="398"/>
        </w:trPr>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900" w:type="dxa"/>
            <w:vAlign w:val="bottom"/>
            <w:gridSpan w:val="2"/>
          </w:tcPr>
          <w:p>
            <w:pPr>
              <w:ind w:left="1180"/>
              <w:spacing w:after="0"/>
              <w:rPr>
                <w:sz w:val="20"/>
                <w:szCs w:val="20"/>
                <w:color w:val="auto"/>
              </w:rPr>
            </w:pPr>
            <w:r>
              <w:rPr>
                <w:rFonts w:ascii="Arial" w:cs="Arial" w:eastAsia="Arial" w:hAnsi="Arial"/>
                <w:sz w:val="18"/>
                <w:szCs w:val="18"/>
                <w:b w:val="1"/>
                <w:bCs w:val="1"/>
                <w:color w:val="001641"/>
              </w:rPr>
              <w:t>EXPERIENCE, QUALIFICATIONS, ATTRIBUTES AND SKILLS</w:t>
            </w:r>
          </w:p>
        </w:tc>
        <w:tc>
          <w:tcPr>
            <w:tcW w:w="0" w:type="dxa"/>
            <w:vAlign w:val="bottom"/>
          </w:tcPr>
          <w:p>
            <w:pPr>
              <w:spacing w:after="0"/>
              <w:rPr>
                <w:sz w:val="1"/>
                <w:szCs w:val="1"/>
                <w:color w:val="auto"/>
              </w:rPr>
            </w:pPr>
          </w:p>
        </w:tc>
      </w:tr>
      <w:tr>
        <w:trPr>
          <w:trHeight w:val="303"/>
        </w:trPr>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900" w:type="dxa"/>
            <w:vAlign w:val="bottom"/>
            <w:gridSpan w:val="2"/>
          </w:tcPr>
          <w:p>
            <w:pPr>
              <w:ind w:left="1180"/>
              <w:spacing w:after="0"/>
              <w:rPr>
                <w:sz w:val="20"/>
                <w:szCs w:val="20"/>
                <w:color w:val="auto"/>
              </w:rPr>
            </w:pPr>
            <w:r>
              <w:rPr>
                <w:rFonts w:ascii="Arial" w:cs="Arial" w:eastAsia="Arial" w:hAnsi="Arial"/>
                <w:sz w:val="14"/>
                <w:szCs w:val="14"/>
                <w:color w:val="auto"/>
              </w:rPr>
              <w:t>Mr. Louvet brings significant leadership and business experience to the Board. His over 25 years in the</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900" w:type="dxa"/>
            <w:vAlign w:val="bottom"/>
            <w:gridSpan w:val="2"/>
          </w:tcPr>
          <w:p>
            <w:pPr>
              <w:ind w:left="1180"/>
              <w:spacing w:after="0"/>
              <w:rPr>
                <w:sz w:val="20"/>
                <w:szCs w:val="20"/>
                <w:color w:val="auto"/>
              </w:rPr>
            </w:pPr>
            <w:r>
              <w:rPr>
                <w:rFonts w:ascii="Arial" w:cs="Arial" w:eastAsia="Arial" w:hAnsi="Arial"/>
                <w:sz w:val="14"/>
                <w:szCs w:val="14"/>
                <w:color w:val="auto"/>
              </w:rPr>
              <w:t>consumer products industry, with oversight of multiple major global business units, have provided him</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900" w:type="dxa"/>
            <w:vAlign w:val="bottom"/>
            <w:gridSpan w:val="2"/>
          </w:tcPr>
          <w:p>
            <w:pPr>
              <w:ind w:left="1180"/>
              <w:spacing w:after="0"/>
              <w:rPr>
                <w:sz w:val="20"/>
                <w:szCs w:val="20"/>
                <w:color w:val="auto"/>
              </w:rPr>
            </w:pPr>
            <w:r>
              <w:rPr>
                <w:rFonts w:ascii="Arial" w:cs="Arial" w:eastAsia="Arial" w:hAnsi="Arial"/>
                <w:sz w:val="14"/>
                <w:szCs w:val="14"/>
                <w:color w:val="auto"/>
              </w:rPr>
              <w:t>with a deep understanding of building and growing brands. His position as the Company’s President and</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900" w:type="dxa"/>
            <w:vAlign w:val="bottom"/>
            <w:gridSpan w:val="2"/>
          </w:tcPr>
          <w:p>
            <w:pPr>
              <w:ind w:left="1180"/>
              <w:spacing w:after="0"/>
              <w:rPr>
                <w:sz w:val="20"/>
                <w:szCs w:val="20"/>
                <w:color w:val="auto"/>
              </w:rPr>
            </w:pPr>
            <w:r>
              <w:rPr>
                <w:rFonts w:ascii="Arial" w:cs="Arial" w:eastAsia="Arial" w:hAnsi="Arial"/>
                <w:sz w:val="14"/>
                <w:szCs w:val="14"/>
                <w:color w:val="auto"/>
              </w:rPr>
              <w:t>Chief Executive Officer provides our Board with valuable perspective into the issues and opportunities</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900" w:type="dxa"/>
            <w:vAlign w:val="bottom"/>
            <w:gridSpan w:val="2"/>
          </w:tcPr>
          <w:p>
            <w:pPr>
              <w:ind w:left="1180"/>
              <w:spacing w:after="0"/>
              <w:rPr>
                <w:sz w:val="20"/>
                <w:szCs w:val="20"/>
                <w:color w:val="auto"/>
              </w:rPr>
            </w:pPr>
            <w:r>
              <w:rPr>
                <w:rFonts w:ascii="Arial" w:cs="Arial" w:eastAsia="Arial" w:hAnsi="Arial"/>
                <w:sz w:val="14"/>
                <w:szCs w:val="14"/>
                <w:color w:val="auto"/>
              </w:rPr>
              <w:t>facing the Company. Mr. Louvet’s extensive background in managing internationally renowned prestige</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900" w:type="dxa"/>
            <w:vAlign w:val="bottom"/>
            <w:gridSpan w:val="2"/>
          </w:tcPr>
          <w:p>
            <w:pPr>
              <w:ind w:left="1180"/>
              <w:spacing w:after="0"/>
              <w:rPr>
                <w:sz w:val="20"/>
                <w:szCs w:val="20"/>
                <w:color w:val="auto"/>
              </w:rPr>
            </w:pPr>
            <w:r>
              <w:rPr>
                <w:rFonts w:ascii="Arial" w:cs="Arial" w:eastAsia="Arial" w:hAnsi="Arial"/>
                <w:sz w:val="14"/>
                <w:szCs w:val="14"/>
                <w:color w:val="auto"/>
              </w:rPr>
              <w:t>brands, along with his substantial experience in driving business transformation and innovation, provides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900" w:type="dxa"/>
            <w:vAlign w:val="bottom"/>
            <w:gridSpan w:val="2"/>
          </w:tcPr>
          <w:p>
            <w:pPr>
              <w:ind w:left="1180"/>
              <w:spacing w:after="0"/>
              <w:rPr>
                <w:sz w:val="20"/>
                <w:szCs w:val="20"/>
                <w:color w:val="auto"/>
              </w:rPr>
            </w:pPr>
            <w:r>
              <w:rPr>
                <w:rFonts w:ascii="Arial" w:cs="Arial" w:eastAsia="Arial" w:hAnsi="Arial"/>
                <w:sz w:val="14"/>
                <w:szCs w:val="14"/>
                <w:color w:val="auto"/>
              </w:rPr>
              <w:t>our Board with critical strategic insights into our global business.</w:t>
            </w:r>
          </w:p>
        </w:tc>
        <w:tc>
          <w:tcPr>
            <w:tcW w:w="0" w:type="dxa"/>
            <w:vAlign w:val="bottom"/>
          </w:tcPr>
          <w:p>
            <w:pPr>
              <w:spacing w:after="0"/>
              <w:rPr>
                <w:sz w:val="1"/>
                <w:szCs w:val="1"/>
                <w:color w:val="auto"/>
              </w:rPr>
            </w:pPr>
          </w:p>
        </w:tc>
      </w:tr>
      <w:tr>
        <w:trPr>
          <w:trHeight w:val="251"/>
        </w:trPr>
        <w:tc>
          <w:tcPr>
            <w:tcW w:w="920" w:type="dxa"/>
            <w:vAlign w:val="bottom"/>
          </w:tcPr>
          <w:p>
            <w:pPr>
              <w:spacing w:after="0"/>
              <w:rPr>
                <w:sz w:val="21"/>
                <w:szCs w:val="21"/>
                <w:color w:val="auto"/>
              </w:rPr>
            </w:pPr>
          </w:p>
        </w:tc>
        <w:tc>
          <w:tcPr>
            <w:tcW w:w="1200" w:type="dxa"/>
            <w:vAlign w:val="bottom"/>
            <w:tcBorders>
              <w:bottom w:val="single" w:sz="8" w:color="808080"/>
            </w:tcBorders>
          </w:tcPr>
          <w:p>
            <w:pPr>
              <w:spacing w:after="0"/>
              <w:rPr>
                <w:sz w:val="21"/>
                <w:szCs w:val="21"/>
                <w:color w:val="auto"/>
              </w:rPr>
            </w:pPr>
          </w:p>
        </w:tc>
        <w:tc>
          <w:tcPr>
            <w:tcW w:w="7980" w:type="dxa"/>
            <w:vAlign w:val="bottom"/>
            <w:tcBorders>
              <w:bottom w:val="single" w:sz="8" w:color="808080"/>
            </w:tcBorders>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900" w:type="dxa"/>
            <w:vAlign w:val="bottom"/>
            <w:gridSpan w:val="2"/>
          </w:tcPr>
          <w:p>
            <w:pPr>
              <w:ind w:left="5340"/>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19</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79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-248285</wp:posOffset>
            </wp:positionV>
            <wp:extent cx="128905" cy="1111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302260</wp:posOffset>
            </wp:positionV>
            <wp:extent cx="1311275" cy="131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38"/>
          <w:szCs w:val="38"/>
          <w:color w:val="001641"/>
        </w:rPr>
        <w:t>David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40005</wp:posOffset>
            </wp:positionV>
            <wp:extent cx="3429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3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1641"/>
        </w:rPr>
        <w:t>AGE: 54</w:t>
      </w:r>
    </w:p>
    <w:p>
      <w:pPr>
        <w:spacing w:after="0" w:line="208" w:lineRule="exact"/>
        <w:rPr>
          <w:sz w:val="20"/>
          <w:szCs w:val="20"/>
          <w:color w:val="auto"/>
        </w:rPr>
      </w:pPr>
    </w:p>
    <w:p>
      <w:pPr>
        <w:ind w:left="2380" w:right="200"/>
        <w:spacing w:after="0" w:line="236" w:lineRule="auto"/>
        <w:rPr>
          <w:sz w:val="20"/>
          <w:szCs w:val="20"/>
          <w:color w:val="auto"/>
        </w:rPr>
      </w:pPr>
      <w:r>
        <w:rPr>
          <w:rFonts w:ascii="Arial" w:cs="Arial" w:eastAsia="Arial" w:hAnsi="Arial"/>
          <w:sz w:val="14"/>
          <w:szCs w:val="14"/>
          <w:color w:val="001641"/>
        </w:rPr>
        <w:t>Mr. D. Lauren has served as our Chief Branding and Innovation Officer and Vice Chairman of the Board since April 2022. He served as our Chief Innovation Officer, Strategic Advisor to the CEO, and Vice Chairman of the Board from October 2016 to March 2022. Prior to that, he served in numerous leadership roles at the Company with responsibility for advertising, marketing, communications and philanthropy. He has been a director of the Company since August 2013. Mr. D. Lauren oversees the</w:t>
      </w:r>
    </w:p>
    <w:p>
      <w:pPr>
        <w:spacing w:after="0" w:line="1" w:lineRule="exact"/>
        <w:rPr>
          <w:sz w:val="20"/>
          <w:szCs w:val="20"/>
          <w:color w:val="auto"/>
        </w:rPr>
      </w:pPr>
    </w:p>
    <w:p>
      <w:pPr>
        <w:ind w:left="2380" w:right="200" w:hanging="2379"/>
        <w:spacing w:after="0" w:line="214" w:lineRule="auto"/>
        <w:tabs>
          <w:tab w:leader="none" w:pos="2360" w:val="left"/>
        </w:tabs>
        <w:rPr>
          <w:sz w:val="20"/>
          <w:szCs w:val="20"/>
          <w:color w:val="auto"/>
        </w:rPr>
      </w:pPr>
      <w:r>
        <w:rPr>
          <w:rFonts w:ascii="Arial" w:cs="Arial" w:eastAsia="Arial" w:hAnsi="Arial"/>
          <w:sz w:val="29"/>
          <w:szCs w:val="29"/>
          <w:color w:val="001641"/>
          <w:vertAlign w:val="superscript"/>
        </w:rPr>
        <w:t> </w:t>
      </w:r>
      <w:r>
        <w:rPr>
          <w:sz w:val="20"/>
          <w:szCs w:val="20"/>
          <w:color w:val="auto"/>
        </w:rPr>
        <w:tab/>
      </w:r>
      <w:r>
        <w:rPr>
          <w:rFonts w:ascii="Arial" w:cs="Arial" w:eastAsia="Arial" w:hAnsi="Arial"/>
          <w:sz w:val="14"/>
          <w:szCs w:val="14"/>
          <w:color w:val="001641"/>
        </w:rPr>
        <w:t>Company’s global branding and innovation strategy, processes, and capabilities to drive its brand strength and financial performance across all channels. He has been instrumental in growing the Company’s global digital commerce business and pioneering our technology initiatives. Mr. D. Lauren is also the President of The Ralph Lauren Corporate Foundation and serves on the Board of Trustees of New York-Presbyterian Hospital. Before joining the Company in 2000, he was Editor-In-Chief and President of Swing, a general interest publication for Generation X. Mr. D. Lauren is the son of Mr. R. Lauren.</w:t>
      </w:r>
    </w:p>
    <w:p>
      <w:pPr>
        <w:spacing w:after="0" w:line="172"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1641"/>
        </w:rPr>
        <w:t>EXPERIENCE, QUALIFICATIONS, ATTRIBUTES AND SKILLS</w:t>
      </w:r>
    </w:p>
    <w:p>
      <w:pPr>
        <w:spacing w:after="0" w:line="181" w:lineRule="exact"/>
        <w:rPr>
          <w:sz w:val="20"/>
          <w:szCs w:val="20"/>
          <w:color w:val="auto"/>
        </w:rPr>
      </w:pPr>
    </w:p>
    <w:p>
      <w:pPr>
        <w:ind w:left="2380" w:right="80"/>
        <w:spacing w:after="0" w:line="248" w:lineRule="auto"/>
        <w:rPr>
          <w:sz w:val="20"/>
          <w:szCs w:val="20"/>
          <w:color w:val="auto"/>
        </w:rPr>
      </w:pPr>
      <w:r>
        <w:rPr>
          <w:rFonts w:ascii="Arial" w:cs="Arial" w:eastAsia="Arial" w:hAnsi="Arial"/>
          <w:sz w:val="14"/>
          <w:szCs w:val="14"/>
          <w:color w:val="auto"/>
        </w:rPr>
        <w:t>Mr. D. Lauren brings strong leadership and business experience to our Board. He has been instrumental in the development of the Company’s digital commerce business and the use of innovative marketing to build the Company’s global fashion image as it has expanded internationally. Mr. D. Lauren has been recognized as a leader on the use of new technologies in retail marketing and on using digital platforms to market luxury brands. His in-depth knowledge of these areas and his current position as our Chief Branding and Innovation Officer and Vice Chairman of the Board provides our Board with valuable insight and perspective into our brand development, global digital, digital commerce, and technology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1311275" cy="131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38"/>
          <w:szCs w:val="38"/>
          <w:color w:val="001641"/>
        </w:rPr>
        <w:t>Frank A. Bennack,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40005</wp:posOffset>
            </wp:positionV>
            <wp:extent cx="3429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3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1641"/>
        </w:rPr>
        <w:t>AGE: 93</w:t>
      </w:r>
    </w:p>
    <w:p>
      <w:pPr>
        <w:spacing w:after="0" w:line="208" w:lineRule="exact"/>
        <w:rPr>
          <w:sz w:val="20"/>
          <w:szCs w:val="20"/>
          <w:color w:val="auto"/>
        </w:rPr>
      </w:pPr>
    </w:p>
    <w:p>
      <w:pPr>
        <w:ind w:left="2380" w:right="100"/>
        <w:spacing w:after="0" w:line="236" w:lineRule="auto"/>
        <w:rPr>
          <w:sz w:val="20"/>
          <w:szCs w:val="20"/>
          <w:color w:val="auto"/>
        </w:rPr>
      </w:pPr>
      <w:r>
        <w:rPr>
          <w:rFonts w:ascii="Arial" w:cs="Arial" w:eastAsia="Arial" w:hAnsi="Arial"/>
          <w:sz w:val="14"/>
          <w:szCs w:val="14"/>
          <w:color w:val="001641"/>
        </w:rPr>
        <w:t>Mr. Bennack has been a director of the Company since January 1998 and served as Lead Independent Director of our Board from Fiscal 2017 until the 2021 Annual Meeting. He is Executive Vice Chairman of The Hearst Corporation (“Hearst”) and served as Hearst’s Chief Executive Officer from 1979 to 2002 and then again from June 2008 to June 2013. Mr. Bennack has been the Chairman of the executive committee and Executive Vice Chairman of the board of directors of Hearst since 2002. He serves on the</w:t>
      </w:r>
    </w:p>
    <w:p>
      <w:pPr>
        <w:spacing w:after="0" w:line="1" w:lineRule="exact"/>
        <w:rPr>
          <w:sz w:val="20"/>
          <w:szCs w:val="20"/>
          <w:color w:val="auto"/>
        </w:rPr>
      </w:pPr>
    </w:p>
    <w:p>
      <w:pPr>
        <w:ind w:left="2380" w:right="80" w:hanging="2379"/>
        <w:spacing w:after="0" w:line="214" w:lineRule="auto"/>
        <w:tabs>
          <w:tab w:leader="none" w:pos="2360" w:val="left"/>
        </w:tabs>
        <w:rPr>
          <w:sz w:val="20"/>
          <w:szCs w:val="20"/>
          <w:color w:val="auto"/>
        </w:rPr>
      </w:pPr>
      <w:r>
        <w:rPr>
          <w:rFonts w:ascii="Arial" w:cs="Arial" w:eastAsia="Arial" w:hAnsi="Arial"/>
          <w:sz w:val="29"/>
          <w:szCs w:val="29"/>
          <w:color w:val="001641"/>
          <w:vertAlign w:val="superscript"/>
        </w:rPr>
        <w:t> </w:t>
      </w:r>
      <w:r>
        <w:rPr>
          <w:sz w:val="20"/>
          <w:szCs w:val="20"/>
          <w:color w:val="auto"/>
        </w:rPr>
        <w:tab/>
      </w:r>
      <w:r>
        <w:rPr>
          <w:rFonts w:ascii="Arial" w:cs="Arial" w:eastAsia="Arial" w:hAnsi="Arial"/>
          <w:sz w:val="14"/>
          <w:szCs w:val="14"/>
          <w:color w:val="001641"/>
        </w:rPr>
        <w:t>board and is Chairman Emeritus of Lincoln Center for the Performing Arts, Chairman Emeritus of the New York-Presbyterian Hospital, Chairman of The Paley Center for Media, and a Managing Director of the Metropolitan Opera. He has previously served on the boards of Discount Corporation, Hearst-Argyle Television, Inc., Wyeth Corporation, and JPMorgan Chase &amp; Co. Mr. Bennack attended the University of Maryland and St. Mary’s University. He was awarded an Honorary Doctor of Humane Letters degree from The University of the Incarnate Word. The Board has determined that Mr. Bennack is an audit committee financial expert.</w:t>
      </w:r>
    </w:p>
    <w:p>
      <w:pPr>
        <w:spacing w:after="0" w:line="172"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1641"/>
        </w:rPr>
        <w:t>EXPERIENCE, QUALIFICATIONS, ATTRIBUTES AND SKILLS</w:t>
      </w:r>
    </w:p>
    <w:p>
      <w:pPr>
        <w:spacing w:after="0" w:line="181" w:lineRule="exact"/>
        <w:rPr>
          <w:sz w:val="20"/>
          <w:szCs w:val="20"/>
          <w:color w:val="auto"/>
        </w:rPr>
      </w:pPr>
    </w:p>
    <w:p>
      <w:pPr>
        <w:ind w:left="2380" w:right="120"/>
        <w:spacing w:after="0" w:line="245" w:lineRule="auto"/>
        <w:rPr>
          <w:sz w:val="20"/>
          <w:szCs w:val="20"/>
          <w:color w:val="auto"/>
        </w:rPr>
      </w:pPr>
      <w:r>
        <w:rPr>
          <w:rFonts w:ascii="Arial" w:cs="Arial" w:eastAsia="Arial" w:hAnsi="Arial"/>
          <w:sz w:val="14"/>
          <w:szCs w:val="14"/>
          <w:color w:val="auto"/>
        </w:rPr>
        <w:t>Mr. Bennack brings to our Board a distinguished career and extensive business experience as Executive Vice Chairman of Hearst, one of the nation’s largest private companies engaged in a broad range of publishing, broadcasting, cable networking, financial and medical data services, and diversified communications activities. His current position as Hearst’s Executive Vice Chairman and previous position as Chief Executive Officer gives him critical insights into the operational issues facing a large corporation and provides our Board with valuable experience in the areas of finance, financial reporting, and strategic planning. As a result of his current and past service as a member of the boards of other various public companies and non-profit organizations, he provides our Board with perspective with respect to governance and other important matters that come before our Board. Mr. Bennack has been a member of our Board since 1998, and therefore, his extensive knowledge of our business is a valuable aspect of his service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58293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20</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302260</wp:posOffset>
            </wp:positionV>
            <wp:extent cx="1311275" cy="131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38"/>
          <w:szCs w:val="38"/>
          <w:color w:val="001641"/>
        </w:rPr>
        <w:t>Cesar Conde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40005</wp:posOffset>
            </wp:positionV>
            <wp:extent cx="3429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3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1641"/>
        </w:rPr>
        <w:t>AGE: 52</w:t>
      </w:r>
    </w:p>
    <w:p>
      <w:pPr>
        <w:spacing w:after="0" w:line="208" w:lineRule="exact"/>
        <w:rPr>
          <w:sz w:val="20"/>
          <w:szCs w:val="20"/>
          <w:color w:val="auto"/>
        </w:rPr>
      </w:pPr>
    </w:p>
    <w:p>
      <w:pPr>
        <w:ind w:left="2380" w:right="180"/>
        <w:spacing w:after="0" w:line="236" w:lineRule="auto"/>
        <w:rPr>
          <w:sz w:val="20"/>
          <w:szCs w:val="20"/>
          <w:color w:val="auto"/>
        </w:rPr>
      </w:pPr>
      <w:r>
        <w:rPr>
          <w:rFonts w:ascii="Arial" w:cs="Arial" w:eastAsia="Arial" w:hAnsi="Arial"/>
          <w:sz w:val="14"/>
          <w:szCs w:val="14"/>
          <w:color w:val="001641"/>
        </w:rPr>
        <w:t>Mr. Conde has been a director of the Company since January 2026. Mr. Conde has served as Chairman of the NBCUniversal News Group, part of a global media and entertainment company, since 2020. From 2015 to 2020, Mr. Conde served as Chairman of NBCUniversal International Group and NBCUniversal Telemundo Enterprises. From 2013 to 2015, he served as Executive Vice President at NBCUniversal, where he oversaw NBCUniversal International and NBCUniversal Digital Enterprises. From 2009 to</w:t>
      </w:r>
    </w:p>
    <w:p>
      <w:pPr>
        <w:spacing w:after="0" w:line="1" w:lineRule="exact"/>
        <w:rPr>
          <w:sz w:val="20"/>
          <w:szCs w:val="20"/>
          <w:color w:val="auto"/>
        </w:rPr>
      </w:pPr>
    </w:p>
    <w:p>
      <w:pPr>
        <w:ind w:left="2380" w:right="160" w:hanging="2379"/>
        <w:spacing w:after="0" w:line="219" w:lineRule="auto"/>
        <w:tabs>
          <w:tab w:leader="none" w:pos="2360" w:val="left"/>
        </w:tabs>
        <w:rPr>
          <w:sz w:val="20"/>
          <w:szCs w:val="20"/>
          <w:color w:val="auto"/>
        </w:rPr>
      </w:pPr>
      <w:r>
        <w:rPr>
          <w:rFonts w:ascii="Arial" w:cs="Arial" w:eastAsia="Arial" w:hAnsi="Arial"/>
          <w:sz w:val="29"/>
          <w:szCs w:val="29"/>
          <w:color w:val="001641"/>
          <w:vertAlign w:val="superscript"/>
        </w:rPr>
        <w:t xml:space="preserve">  </w:t>
      </w:r>
      <w:r>
        <w:rPr>
          <w:sz w:val="20"/>
          <w:szCs w:val="20"/>
          <w:color w:val="auto"/>
        </w:rPr>
        <w:tab/>
      </w:r>
      <w:r>
        <w:rPr>
          <w:rFonts w:ascii="Arial" w:cs="Arial" w:eastAsia="Arial" w:hAnsi="Arial"/>
          <w:sz w:val="14"/>
          <w:szCs w:val="14"/>
          <w:color w:val="001641"/>
        </w:rPr>
        <w:t>2013, Mr. Conde served as President of Univision Networks, a leading media company with a portfolio of Spanish language television networks, radio stations and digital platforms. From 2003 to 2009, Mr. Conde served in a variety of senior executive capacities at Univision Networks and is credited with transforming it into a leading global, multi-platform media brand. Prior to Univision, Mr. Conde served as the White House Fellow for Secretary of State Colin L. Powell from 2002 to 2003. Mr. Conde serves as a member of the Board of Directors of PepsiCo and Walmart, both public companies. Mr. Conde also currently serves on the boards of several non-profit organizations, including the Council on Foreign Relations. Mr. Conde holds a Bachelors of Arts from Harvard University and a Master of Business Administration from the Wharton School, University of Pennsylvania.</w:t>
      </w:r>
    </w:p>
    <w:p>
      <w:pPr>
        <w:spacing w:after="0" w:line="176"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1641"/>
        </w:rPr>
        <w:t>EXPERIENCE, QUALIFICATIONS, ATTRIBUTES AND SKILLS</w:t>
      </w:r>
    </w:p>
    <w:p>
      <w:pPr>
        <w:spacing w:after="0" w:line="181" w:lineRule="exact"/>
        <w:rPr>
          <w:sz w:val="20"/>
          <w:szCs w:val="20"/>
          <w:color w:val="auto"/>
        </w:rPr>
      </w:pPr>
    </w:p>
    <w:p>
      <w:pPr>
        <w:ind w:left="2380" w:right="200"/>
        <w:spacing w:after="0" w:line="258" w:lineRule="auto"/>
        <w:rPr>
          <w:sz w:val="20"/>
          <w:szCs w:val="20"/>
          <w:color w:val="auto"/>
        </w:rPr>
      </w:pPr>
      <w:r>
        <w:rPr>
          <w:rFonts w:ascii="Arial" w:cs="Arial" w:eastAsia="Arial" w:hAnsi="Arial"/>
          <w:sz w:val="14"/>
          <w:szCs w:val="14"/>
          <w:color w:val="auto"/>
        </w:rPr>
        <w:t>Mr. Conde is an experienced global executive with a strong track record in business, finance and media. Mr. Conde also brings his market and consumer insights developed through his experience at national and global media companies and his leadership of social and corporate responsibility initiatives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1311275" cy="131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37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38"/>
          <w:szCs w:val="38"/>
          <w:color w:val="001641"/>
        </w:rPr>
        <w:t>Debra Cupp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40005</wp:posOffset>
            </wp:positionV>
            <wp:extent cx="3429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33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1641"/>
        </w:rPr>
        <w:t>AGE: 55</w:t>
      </w:r>
    </w:p>
    <w:p>
      <w:pPr>
        <w:spacing w:after="0" w:line="208" w:lineRule="exact"/>
        <w:rPr>
          <w:sz w:val="20"/>
          <w:szCs w:val="20"/>
          <w:color w:val="auto"/>
        </w:rPr>
      </w:pPr>
    </w:p>
    <w:p>
      <w:pPr>
        <w:ind w:left="2380" w:right="300"/>
        <w:spacing w:after="0" w:line="236" w:lineRule="auto"/>
        <w:rPr>
          <w:sz w:val="20"/>
          <w:szCs w:val="20"/>
          <w:color w:val="auto"/>
        </w:rPr>
      </w:pPr>
      <w:r>
        <w:rPr>
          <w:rFonts w:ascii="Arial" w:cs="Arial" w:eastAsia="Arial" w:hAnsi="Arial"/>
          <w:sz w:val="14"/>
          <w:szCs w:val="14"/>
          <w:color w:val="001641"/>
        </w:rPr>
        <w:t>Ms. Cupp has been a director of our Company since August 2022. Ms. Cupp is currently the Executive Vice President and Chief Revenue Officer, Global Enterprise Sales at Microsoft, a global technology company. Ms. Cupp leads a significant business responsible for the sales strategy, execution, and revenue growth for the Microsoft Global business which spans enterprise, public sector, services, and partner communities. Previously, Ms. Cupp was President of Microsoft Americas, where she was</w:t>
      </w:r>
    </w:p>
    <w:p>
      <w:pPr>
        <w:spacing w:after="0" w:line="1" w:lineRule="exact"/>
        <w:rPr>
          <w:sz w:val="20"/>
          <w:szCs w:val="20"/>
          <w:color w:val="auto"/>
        </w:rPr>
      </w:pPr>
    </w:p>
    <w:p>
      <w:pPr>
        <w:jc w:val="both"/>
        <w:ind w:left="2380" w:right="160" w:hanging="2379"/>
        <w:spacing w:after="0" w:line="183" w:lineRule="auto"/>
        <w:tabs>
          <w:tab w:leader="none" w:pos="2360" w:val="left"/>
        </w:tabs>
        <w:rPr>
          <w:sz w:val="20"/>
          <w:szCs w:val="20"/>
          <w:color w:val="auto"/>
        </w:rPr>
      </w:pPr>
      <w:r>
        <w:rPr>
          <w:rFonts w:ascii="Arial" w:cs="Arial" w:eastAsia="Arial" w:hAnsi="Arial"/>
          <w:sz w:val="29"/>
          <w:szCs w:val="29"/>
          <w:color w:val="001641"/>
          <w:vertAlign w:val="superscript"/>
        </w:rPr>
        <w:t> </w:t>
      </w:r>
      <w:r>
        <w:rPr>
          <w:sz w:val="20"/>
          <w:szCs w:val="20"/>
          <w:color w:val="auto"/>
        </w:rPr>
        <w:tab/>
      </w:r>
      <w:r>
        <w:rPr>
          <w:rFonts w:ascii="Arial" w:cs="Arial" w:eastAsia="Arial" w:hAnsi="Arial"/>
          <w:sz w:val="14"/>
          <w:szCs w:val="14"/>
          <w:color w:val="001641"/>
        </w:rPr>
        <w:t>responsible for U.S., Canada and Latin America. Prior to that, Ms. Cupp was a Corporate Vice President of Worldwide Enterprise and Commercial Industries where she was responsible for the development and execution of Microsoft’s strategy and go-to-market approach. Prior to joining Microsoft in late 2017, Ms.</w:t>
      </w:r>
    </w:p>
    <w:p>
      <w:pPr>
        <w:spacing w:after="0" w:line="18" w:lineRule="exact"/>
        <w:rPr>
          <w:sz w:val="20"/>
          <w:szCs w:val="20"/>
          <w:color w:val="auto"/>
        </w:rPr>
      </w:pPr>
    </w:p>
    <w:p>
      <w:pPr>
        <w:ind w:left="2380" w:right="140"/>
        <w:spacing w:after="0" w:line="247" w:lineRule="auto"/>
        <w:rPr>
          <w:sz w:val="20"/>
          <w:szCs w:val="20"/>
          <w:color w:val="auto"/>
        </w:rPr>
      </w:pPr>
      <w:r>
        <w:rPr>
          <w:rFonts w:ascii="Arial" w:cs="Arial" w:eastAsia="Arial" w:hAnsi="Arial"/>
          <w:sz w:val="14"/>
          <w:szCs w:val="14"/>
          <w:color w:val="001641"/>
        </w:rPr>
        <w:t>Cupp spent 6 years at SAP, serving most recently as the Senior Vice President and Managing Director of Success Factors for North America. In this position, she was responsible for leading the HR business by driving sales and go-to-market strategies, as well as overseeing operations for the field sales organization. Ms. Cupp holds a Bachelors of Science in Business Administration from the University of Richmond and a Master of Business Administration from Saint Joseph's University.</w:t>
      </w:r>
    </w:p>
    <w:p>
      <w:pPr>
        <w:spacing w:after="0" w:line="282"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1641"/>
        </w:rPr>
        <w:t>EXPERIENCE, QUALIFICATIONS, ATTRIBUTES AND SKILLS</w:t>
      </w:r>
    </w:p>
    <w:p>
      <w:pPr>
        <w:spacing w:after="0" w:line="181" w:lineRule="exact"/>
        <w:rPr>
          <w:sz w:val="20"/>
          <w:szCs w:val="20"/>
          <w:color w:val="auto"/>
        </w:rPr>
      </w:pPr>
    </w:p>
    <w:p>
      <w:pPr>
        <w:ind w:left="2380" w:right="180"/>
        <w:spacing w:after="0" w:line="246" w:lineRule="auto"/>
        <w:rPr>
          <w:sz w:val="20"/>
          <w:szCs w:val="20"/>
          <w:color w:val="auto"/>
        </w:rPr>
      </w:pPr>
      <w:r>
        <w:rPr>
          <w:rFonts w:ascii="Arial" w:cs="Arial" w:eastAsia="Arial" w:hAnsi="Arial"/>
          <w:sz w:val="14"/>
          <w:szCs w:val="14"/>
          <w:color w:val="auto"/>
        </w:rPr>
        <w:t>Ms. Cupp brings extensive cross-industry and leadership experience to our Board. Her experience working with large enterprise organizations and their digital transformation journeys enables her to provide unique and valuable insights to our Board about industry and customer trends, and the latest in digital innovation. Ms. Cupp is a collaborative and authentic leader with a proven track record of creating inclusive environments for her employees where progress and growth can be realized. As a veteran in the technology industry, Ms. Cupp has dedicated her career to helping customers of all sizes across public and private sectors use technology as an enabler to achieve their business goals. Her extensive experience, knowledge of these areas, and current position as Executive Vice President and Chief Revenue Officer, Global Enterprise Sales provides our Board with valuable insight and perspective into strategy and our global technology and digital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58293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295275</wp:posOffset>
            </wp:positionV>
            <wp:extent cx="128905" cy="1117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302260</wp:posOffset>
            </wp:positionV>
            <wp:extent cx="1311275" cy="131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38"/>
          <w:szCs w:val="38"/>
          <w:color w:val="001641"/>
        </w:rPr>
        <w:t>Michael A.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40005</wp:posOffset>
            </wp:positionV>
            <wp:extent cx="3429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3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1641"/>
        </w:rPr>
        <w:t>AGE: 64</w:t>
      </w:r>
    </w:p>
    <w:p>
      <w:pPr>
        <w:spacing w:after="0" w:line="208" w:lineRule="exact"/>
        <w:rPr>
          <w:sz w:val="20"/>
          <w:szCs w:val="20"/>
          <w:color w:val="auto"/>
        </w:rPr>
      </w:pPr>
    </w:p>
    <w:p>
      <w:pPr>
        <w:ind w:left="2380" w:right="180"/>
        <w:spacing w:after="0" w:line="236" w:lineRule="auto"/>
        <w:rPr>
          <w:sz w:val="20"/>
          <w:szCs w:val="20"/>
          <w:color w:val="auto"/>
        </w:rPr>
      </w:pPr>
      <w:r>
        <w:rPr>
          <w:rFonts w:ascii="Arial" w:cs="Arial" w:eastAsia="Arial" w:hAnsi="Arial"/>
          <w:sz w:val="14"/>
          <w:szCs w:val="14"/>
          <w:color w:val="001641"/>
        </w:rPr>
        <w:t>Mr. George has been a director of the Company since May 2018. Mr. George previously served as the President of QVC, Inc. (“QVC”) from November 2005 through March 2018 and as its Chief Executive Officer since April 2006 through March 2018. In 2018, he was named CEO of QVC’s parent, Liberty Interactive, which was subsequently renamed Qurate Retail, Inc., a position he held through September 2021. Mr. George previously held various positions with Dell, Inc. (“Dell”) from March 2001 to November</w:t>
      </w:r>
    </w:p>
    <w:p>
      <w:pPr>
        <w:spacing w:after="0" w:line="1" w:lineRule="exact"/>
        <w:rPr>
          <w:sz w:val="20"/>
          <w:szCs w:val="20"/>
          <w:color w:val="auto"/>
        </w:rPr>
      </w:pPr>
    </w:p>
    <w:p>
      <w:pPr>
        <w:ind w:left="2380" w:right="120" w:hanging="2379"/>
        <w:spacing w:after="0" w:line="217" w:lineRule="auto"/>
        <w:tabs>
          <w:tab w:leader="none" w:pos="2360" w:val="left"/>
        </w:tabs>
        <w:rPr>
          <w:sz w:val="20"/>
          <w:szCs w:val="20"/>
          <w:color w:val="auto"/>
        </w:rPr>
      </w:pPr>
      <w:r>
        <w:rPr>
          <w:rFonts w:ascii="Arial" w:cs="Arial" w:eastAsia="Arial" w:hAnsi="Arial"/>
          <w:sz w:val="29"/>
          <w:szCs w:val="29"/>
          <w:color w:val="001641"/>
          <w:vertAlign w:val="superscript"/>
        </w:rPr>
        <w:t> </w:t>
      </w:r>
      <w:r>
        <w:rPr>
          <w:sz w:val="20"/>
          <w:szCs w:val="20"/>
          <w:color w:val="auto"/>
        </w:rPr>
        <w:tab/>
      </w:r>
      <w:r>
        <w:rPr>
          <w:rFonts w:ascii="Arial" w:cs="Arial" w:eastAsia="Arial" w:hAnsi="Arial"/>
          <w:sz w:val="14"/>
          <w:szCs w:val="14"/>
          <w:color w:val="001641"/>
        </w:rPr>
        <w:t>2005, most notably as the Chief Marketing Officer and Vice President and General Manager of Dell’s U.S. consumer business. Prior to that, Mr. George was a senior partner at McKinsey &amp; Company and led the firm’s North American Retail Industry Group. Mr. George previously served on the board of directors of Brinker International and Qurate Retail, Inc. and chaired the board of directors of the National Retail Federation, currently serves on the board of directors of Autozone, a public company, and serves on the boards of several not-for-profit organizations. The Board has determined that Mr. George is an audit committee financial expert. Mr. George holds a Bachelors of Arts from Northwestern University and a Master of Business Administration from Kellogg School of Management, Northwestern University.</w:t>
      </w:r>
    </w:p>
    <w:p>
      <w:pPr>
        <w:sectPr>
          <w:pgSz w:w="11900" w:h="16838" w:orient="portrait"/>
          <w:cols w:equalWidth="0" w:num="1">
            <w:col w:w="9140"/>
          </w:cols>
          <w:pgMar w:left="1360" w:top="114"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00164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-1407160</wp:posOffset>
            </wp:positionV>
            <wp:extent cx="1311275" cy="131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EXPERIENCE, QUALIFICATIONS, ATTRIBUTES AND SKILLS</w:t>
      </w:r>
    </w:p>
    <w:p>
      <w:pPr>
        <w:spacing w:after="0" w:line="181" w:lineRule="exact"/>
        <w:rPr>
          <w:sz w:val="20"/>
          <w:szCs w:val="20"/>
          <w:color w:val="auto"/>
        </w:rPr>
      </w:pPr>
    </w:p>
    <w:p>
      <w:pPr>
        <w:ind w:right="80"/>
        <w:spacing w:after="0" w:line="248" w:lineRule="auto"/>
        <w:rPr>
          <w:sz w:val="20"/>
          <w:szCs w:val="20"/>
          <w:color w:val="auto"/>
        </w:rPr>
      </w:pPr>
      <w:r>
        <w:rPr>
          <w:rFonts w:ascii="Arial" w:cs="Arial" w:eastAsia="Arial" w:hAnsi="Arial"/>
          <w:sz w:val="14"/>
          <w:szCs w:val="14"/>
          <w:color w:val="auto"/>
        </w:rPr>
        <w:t>Mr. George brings to our Board extensive management and business experience through his previous roles of President and Chief Executive Officer of QVC and Chief Executive Officer of Qurate Retail Group. His distinguished career, including his prior experience at Dell and McKinsey, provides him with critical perspective on operational and strategic issues facing the retail industry. As a result of his service as a member of the boards of other public companies and not-for-profit organizations, he also provides our Board with valuable insights regarding governance and other significant matters that come before our Board.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color w:val="001641"/>
        </w:rPr>
        <w:t>Valerie Jarrett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3429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AGE: 69</w:t>
      </w:r>
    </w:p>
    <w:p>
      <w:pPr>
        <w:spacing w:after="0" w:line="208"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001641"/>
        </w:rPr>
        <w:t>Ms. Jarrett was appointed as a director of the Company in October 2020. She is the Chief Executive Officer of the Obama Foundation. She also serves as Board Chair of Civic Nation. Ms. Jarrett also serves on the boards of Walgreens, Inc., Ariel Investments, the University of Chicago, and Sesame Street Workshop. The Board has determined that Ms. Jarrett is an audit committee financial expert. Ms. Jarrett holds a Bachelor of Arts from Stanford University and a Juris Doctor from University of Michigan.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EXPERIENCE, QUALIFICATIONS, ATTRIBUTES AND SKILLS</w:t>
      </w:r>
    </w:p>
    <w:p>
      <w:pPr>
        <w:spacing w:after="0" w:line="181" w:lineRule="exact"/>
        <w:rPr>
          <w:sz w:val="20"/>
          <w:szCs w:val="20"/>
          <w:color w:val="auto"/>
        </w:rPr>
      </w:pPr>
    </w:p>
    <w:p>
      <w:pPr>
        <w:ind w:right="140"/>
        <w:spacing w:after="0" w:line="245" w:lineRule="auto"/>
        <w:rPr>
          <w:sz w:val="20"/>
          <w:szCs w:val="20"/>
          <w:color w:val="auto"/>
        </w:rPr>
      </w:pPr>
      <w:r>
        <w:rPr>
          <w:rFonts w:ascii="Arial" w:cs="Arial" w:eastAsia="Arial" w:hAnsi="Arial"/>
          <w:sz w:val="14"/>
          <w:szCs w:val="14"/>
          <w:color w:val="auto"/>
        </w:rPr>
        <w:t>Ms. Jarrett brings to our Board insight into our business from her extensive experience in both the public and private sectors. Ms. Jarrett was the longest serving Senior Advisor to President Barack Obama. She oversaw the Offices of Public Engagement and Intergovernmental Affairs and Chaired the White House Council on Women and Girls. She served as the Chief Executive Officer of The Habitat Company in Chicago, Chairman of the Chicago Transit Board, Commissioner of Planning and Development, and Deputy Chief of Staff for Chicago Mayor Richard M. Daley. She also served as the director of numerous corporate and not-for-profit boards including Chairman and Chief Executive Officer of the Chicago Stock Exchange, Chairman of the University of Chicago Medical Center Board of Trustees, and Director of the Federal Reserve Bank of Chicago. Ms. Jarrett practiced law for ten years in both the private and public sectors, and has also received numerous awards and honorary degrees, including TIME’s “100 Most Influential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160655</wp:posOffset>
            </wp:positionV>
            <wp:extent cx="58293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720"/>
            <w:col w:w="6760"/>
          </w:cols>
          <w:pgMar w:left="1360" w:top="114" w:right="1399" w:bottom="1440" w:gutter="0" w:footer="0" w:header="0"/>
          <w:type w:val="continuous"/>
        </w:sectPr>
      </w:pPr>
    </w:p>
    <w:p>
      <w:pPr>
        <w:spacing w:after="0" w:line="26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22</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302260</wp:posOffset>
            </wp:positionV>
            <wp:extent cx="1311275" cy="131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38"/>
          <w:szCs w:val="38"/>
          <w:color w:val="001641"/>
        </w:rPr>
        <w:t>Wei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40005</wp:posOffset>
            </wp:positionV>
            <wp:extent cx="3429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3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1641"/>
        </w:rPr>
        <w:t>AGE: 56</w:t>
      </w:r>
    </w:p>
    <w:p>
      <w:pPr>
        <w:spacing w:after="0" w:line="208" w:lineRule="exact"/>
        <w:rPr>
          <w:sz w:val="20"/>
          <w:szCs w:val="20"/>
          <w:color w:val="auto"/>
        </w:rPr>
      </w:pPr>
    </w:p>
    <w:p>
      <w:pPr>
        <w:ind w:left="2380" w:right="140"/>
        <w:spacing w:after="0" w:line="236" w:lineRule="auto"/>
        <w:rPr>
          <w:sz w:val="20"/>
          <w:szCs w:val="20"/>
          <w:color w:val="auto"/>
        </w:rPr>
      </w:pPr>
      <w:r>
        <w:rPr>
          <w:rFonts w:ascii="Arial" w:cs="Arial" w:eastAsia="Arial" w:hAnsi="Arial"/>
          <w:sz w:val="14"/>
          <w:szCs w:val="14"/>
          <w:color w:val="001641"/>
        </w:rPr>
        <w:t>Ms. Zhang has been a director of the Company since November 2022. Most recently, Ms. Zhang was President of Alibaba Pictures Group, leading global operations from its formation in 2014 until 2021. She joined Alibaba Group in 2008 as Senior Vice President of Corporate Development and spent the next six years in strategic investment and M&amp;A, corporate strategy, and corporate social responsibility roles. Prior to Alibaba, Ms. Zhang was Chief Operating Officer of Star China from 2005 to 2008, overseeing day to</w:t>
      </w:r>
    </w:p>
    <w:p>
      <w:pPr>
        <w:spacing w:after="0" w:line="1" w:lineRule="exact"/>
        <w:rPr>
          <w:sz w:val="20"/>
          <w:szCs w:val="20"/>
          <w:color w:val="auto"/>
        </w:rPr>
      </w:pPr>
    </w:p>
    <w:p>
      <w:pPr>
        <w:ind w:left="2380" w:right="200" w:hanging="2379"/>
        <w:spacing w:after="0" w:line="210" w:lineRule="auto"/>
        <w:tabs>
          <w:tab w:leader="none" w:pos="2360" w:val="left"/>
        </w:tabs>
        <w:rPr>
          <w:sz w:val="20"/>
          <w:szCs w:val="20"/>
          <w:color w:val="auto"/>
        </w:rPr>
      </w:pPr>
      <w:r>
        <w:rPr>
          <w:rFonts w:ascii="Arial" w:cs="Arial" w:eastAsia="Arial" w:hAnsi="Arial"/>
          <w:sz w:val="29"/>
          <w:szCs w:val="29"/>
          <w:color w:val="001641"/>
          <w:vertAlign w:val="superscript"/>
        </w:rPr>
        <w:t> </w:t>
      </w:r>
      <w:r>
        <w:rPr>
          <w:sz w:val="20"/>
          <w:szCs w:val="20"/>
          <w:color w:val="auto"/>
        </w:rPr>
        <w:tab/>
      </w:r>
      <w:r>
        <w:rPr>
          <w:rFonts w:ascii="Arial" w:cs="Arial" w:eastAsia="Arial" w:hAnsi="Arial"/>
          <w:sz w:val="14"/>
          <w:szCs w:val="14"/>
          <w:color w:val="001641"/>
        </w:rPr>
        <w:t>day operations of News Corp’s China subsidiary. She was Managing Director of CNBC China from 2002 to 2005 and held positions at Bain &amp; Company and General Electric. Ms. Zhang currently serves on the board of directors of Starbucks Coffee Company, a public company. Ms. Zhang previously served on the boards of Amblin Partners, Alibaba Pictures Group, Meituan Company, Los Angeles Sports and Entertainment Commission and the Jack Ma Foundation. Ms. Zhang holds a Bachelors of Arts from Seton Hill College and a Master of Business Administration from Harvard Business School.</w:t>
      </w:r>
    </w:p>
    <w:p>
      <w:pPr>
        <w:spacing w:after="0" w:line="241"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1641"/>
        </w:rPr>
        <w:t>EXPERIENCE, QUALIFICATIONS, ATTRIBUTES AND SKILLS</w:t>
      </w:r>
    </w:p>
    <w:p>
      <w:pPr>
        <w:spacing w:after="0" w:line="181" w:lineRule="exact"/>
        <w:rPr>
          <w:sz w:val="20"/>
          <w:szCs w:val="20"/>
          <w:color w:val="auto"/>
        </w:rPr>
      </w:pPr>
    </w:p>
    <w:p>
      <w:pPr>
        <w:ind w:left="2380" w:right="120"/>
        <w:spacing w:after="0" w:line="244" w:lineRule="auto"/>
        <w:rPr>
          <w:sz w:val="20"/>
          <w:szCs w:val="20"/>
          <w:color w:val="auto"/>
        </w:rPr>
      </w:pPr>
      <w:r>
        <w:rPr>
          <w:rFonts w:ascii="Arial" w:cs="Arial" w:eastAsia="Arial" w:hAnsi="Arial"/>
          <w:sz w:val="14"/>
          <w:szCs w:val="14"/>
          <w:color w:val="auto"/>
        </w:rPr>
        <w:t>Ms. Zhang is a highly accomplished senior executive with extensive global experience, particularly in China, e-commerce and digitization, and media and entertainment, making her a valuable asset to our board. With an extensive career spanning renowned companies such as Alibaba Group, News Corporation, NBCUniversal, Bain &amp; Company, and General Electric, Ms. Zhang has acquired a deep understanding of international markets and a profound knowledge of industry dynamics. Her hands-on experience in these organizations has honed her expertise in e-commerce and digitization, enabling her to navigate the complexities of the digital marketplace with confidence. Through spearheading successful digital transformation initiatives, she has leveraged innovative strategies and cutting-edge technologies to optimize online platforms, enhance customer experiences, and drive substantial growth. Additionally, her background in media and entertainment has provided her with a unique perspective on effectively positioning brands within the industry. By leveraging media platforms, content creation, and strategic partnerships, Ms. Zhang has consistently driven consumer engagement and increased brand visibility. Leveraging her diverse global experience, profound expertise in e-commerce and digitization, and exceptional media and entertainment acumen, Ms. Zhang brings an invaluable skill set to the board, offering strategic insights, global market knowledge, and innovative approaches to drive sustainable growth and maximize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264160</wp:posOffset>
            </wp:positionV>
            <wp:extent cx="58293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401320</wp:posOffset>
            </wp:positionV>
            <wp:extent cx="128905" cy="1117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58293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54"/>
          <w:szCs w:val="54"/>
          <w:color w:val="00164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BFA071"/>
        </w:rPr>
        <w:t>Our Board and management are committed to robust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58293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OVERVIEW OF CORPORATE GOVERNANCE</w:t>
      </w:r>
    </w:p>
    <w:p>
      <w:pPr>
        <w:spacing w:after="0" w:line="153"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We have in place a comprehensive corporate governance framework which incorporates and, in certain areas, exceeds the corporate governance requirements of the Sarbanes-Oxley Act of 2002, the SEC, the NYSE, and the Dodd-Frank Act. We do not rely on exemptions from the NYSE’s corporate governance requirements available to us as a controlled company. In keeping with good corporate governance practices, we maintain a majority of independent directors, and each of our Board Committees are comprised solely of independent directors as required by the NYSE for non-controlled companies.</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To ensure that our Board reflects an appropriate mix of attributes, qualifications, experience, and skills and continues to provide effective oversight of the Company’s strategy and performance, the Nominating Committee focuses on director succession and tenure and seeks to combine continuity of experience with fresh perspectives, expertise, and skills that match our evolving business needs provided by new directors.</w:t>
      </w:r>
    </w:p>
    <w:p>
      <w:pPr>
        <w:spacing w:after="0" w:line="124"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In order to prevent overboarding, the Board’s Corporate Governance Policies provide that a director who is also a named executive officer of the Company may not serve on more than one other public company board, a director of the Company (other than the Company’s named executive officers) who serves as a named executive officer of another public company is limited to board service at such other public company and the Company, and no other Company director may serve on more than three other public company boards. All our current directors and director nominees are in compliance with these limits.</w:t>
      </w:r>
    </w:p>
    <w:p>
      <w:pPr>
        <w:spacing w:after="0" w:line="12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Over the last few years, the Board has undergone significant evolution, resulting in broadened diversity of backgrounds, skills and experiences, a lower average tenure of under 10 years for independent directors, and a decreased average age of less than 65 years, with the majority of independent directors under 65 years of age. In the past few years, a number of directors joined the Board with a range of relevant experiences, key skills, backgrounds and attributes to complement the depth of knowledge and experiences of our Board, such as individuals with experience in global strategy, digital and technology, artificial intelligence, international sales and operations, consumer engagement, corporate citizenship, sustainability, regulatory governance, government affairs, finance, the Chinese market, and most recently media and entertainment. This year, our Board evolution process has resulted in one new director, Cesar Conde, joining the Board with relevant and extensive experience in media, entertainment, content production and distribution, global digital transformation and business leadership. Mr. Conde’s experiences and background greatly complement the depth of knowledge and experience on our Board.</w:t>
      </w:r>
    </w:p>
    <w:p>
      <w:pPr>
        <w:spacing w:after="0" w:line="135"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In addition to evolving the Board’s composition, the Nominating Committee reviews Committee membership annually, and the Board regularly updates its committee membership assignments based upon the Nominating Committee’s assessment and recommendations.</w:t>
      </w:r>
    </w:p>
    <w:p>
      <w:pPr>
        <w:spacing w:after="0" w:line="11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While there is no formal committee rotation policy for Committee assignments, the Chairs of each Committee are rotated at least once every five years. The current Chairs of our Finance Committee, Audit Committee, and Talent Committee chairs were appointed in August 2023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58293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8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24</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35" w:name="page36"/>
    <w:bookmarkEnd w:id="3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left="6" w:right="140"/>
        <w:spacing w:after="0" w:line="259" w:lineRule="auto"/>
        <w:rPr>
          <w:sz w:val="20"/>
          <w:szCs w:val="20"/>
          <w:color w:val="auto"/>
        </w:rPr>
      </w:pPr>
      <w:r>
        <w:rPr>
          <w:rFonts w:ascii="Arial" w:cs="Arial" w:eastAsia="Arial" w:hAnsi="Arial"/>
          <w:sz w:val="16"/>
          <w:szCs w:val="16"/>
          <w:color w:val="auto"/>
        </w:rPr>
        <w:t>the current Chair of our Nominating Committee was appointed in August 2022. Committee assignments and the designation of Committee Chairs are made based on Committee needs, director experience, interest and availability, and evolving legal and regulatory considerations. These practices promote strong Committee leadership and independence as well as director development and succession planning.</w:t>
      </w:r>
    </w:p>
    <w:p>
      <w:pPr>
        <w:spacing w:after="0" w:line="124" w:lineRule="exact"/>
        <w:rPr>
          <w:sz w:val="20"/>
          <w:szCs w:val="20"/>
          <w:color w:val="auto"/>
        </w:rPr>
      </w:pPr>
    </w:p>
    <w:p>
      <w:pPr>
        <w:ind w:left="6" w:right="60"/>
        <w:spacing w:after="0" w:line="250" w:lineRule="auto"/>
        <w:rPr>
          <w:sz w:val="20"/>
          <w:szCs w:val="20"/>
          <w:color w:val="auto"/>
        </w:rPr>
      </w:pPr>
      <w:r>
        <w:rPr>
          <w:rFonts w:ascii="Arial" w:cs="Arial" w:eastAsia="Arial" w:hAnsi="Arial"/>
          <w:sz w:val="16"/>
          <w:szCs w:val="16"/>
          <w:color w:val="auto"/>
        </w:rPr>
        <w:t>In Fiscal 2017, we appointed our first formal Lead Independent Director to provide strong, independent leadership for the Board and serve as a liaison between our Board and management. The Board most recently expanded the Lead Independent Director role and responsibilities in Fiscal 2023 to include, among other things, leading the annual performance evaluation of the Board, leading the annual performance review of the CEO, reviewing with the Board succession planning for the CEO and other key management positions, shareholder outreach, and playing an increased role in crisis management oversight. This role is consistent with good governance practices for lead independent directors and positively impacts the Board’s operations, oversight and decision-making. We have recently refreshed the role of the Lead Independent Director with the appointment of Angela Ahrendts to the role since the 2025 Annual Meeting of Stockholders. Ms. Ahrendts brings extensive experience and proven leadership to the role as a director for eight years on our Board and current Chair of our Finance Committee. She regularly joins each Committee meeting in her role as Lead Independent Director.</w:t>
      </w:r>
    </w:p>
    <w:p>
      <w:pPr>
        <w:spacing w:after="0" w:line="203" w:lineRule="exact"/>
        <w:rPr>
          <w:sz w:val="20"/>
          <w:szCs w:val="20"/>
          <w:color w:val="auto"/>
        </w:rPr>
      </w:pPr>
    </w:p>
    <w:p>
      <w:pPr>
        <w:ind w:left="6"/>
        <w:spacing w:after="0"/>
        <w:rPr>
          <w:sz w:val="20"/>
          <w:szCs w:val="20"/>
          <w:color w:val="auto"/>
        </w:rPr>
      </w:pPr>
      <w:r>
        <w:rPr>
          <w:rFonts w:ascii="Arial" w:cs="Arial" w:eastAsia="Arial" w:hAnsi="Arial"/>
          <w:sz w:val="16"/>
          <w:szCs w:val="16"/>
          <w:color w:val="auto"/>
        </w:rPr>
        <w:t>After the 2026 Annual Meeting, our Board of Directors will be comprised of the following twelve members:</w:t>
      </w:r>
    </w:p>
    <w:p>
      <w:pPr>
        <w:spacing w:after="0" w:line="167" w:lineRule="exact"/>
        <w:rPr>
          <w:sz w:val="20"/>
          <w:szCs w:val="20"/>
          <w:color w:val="auto"/>
        </w:rPr>
      </w:pPr>
    </w:p>
    <w:p>
      <w:pPr>
        <w:ind w:left="166" w:hanging="166"/>
        <w:spacing w:after="0"/>
        <w:tabs>
          <w:tab w:leader="none" w:pos="166"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001641"/>
        </w:rPr>
        <w:t>our Executive Chairman;</w:t>
      </w:r>
    </w:p>
    <w:p>
      <w:pPr>
        <w:spacing w:after="0" w:line="126" w:lineRule="exact"/>
        <w:rPr>
          <w:rFonts w:ascii="Arial" w:cs="Arial" w:eastAsia="Arial" w:hAnsi="Arial"/>
          <w:sz w:val="16"/>
          <w:szCs w:val="16"/>
          <w:b w:val="1"/>
          <w:bCs w:val="1"/>
          <w:color w:val="auto"/>
        </w:rPr>
      </w:pPr>
    </w:p>
    <w:p>
      <w:pPr>
        <w:ind w:left="166" w:hanging="166"/>
        <w:spacing w:after="0"/>
        <w:tabs>
          <w:tab w:leader="none" w:pos="166"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001641"/>
        </w:rPr>
        <w:t>our Vice Chairman;</w:t>
      </w:r>
    </w:p>
    <w:p>
      <w:pPr>
        <w:spacing w:after="0" w:line="140" w:lineRule="exact"/>
        <w:rPr>
          <w:rFonts w:ascii="Arial" w:cs="Arial" w:eastAsia="Arial" w:hAnsi="Arial"/>
          <w:sz w:val="16"/>
          <w:szCs w:val="16"/>
          <w:b w:val="1"/>
          <w:bCs w:val="1"/>
          <w:color w:val="auto"/>
        </w:rPr>
      </w:pPr>
    </w:p>
    <w:p>
      <w:pPr>
        <w:ind w:left="166" w:hanging="166"/>
        <w:spacing w:after="0"/>
        <w:tabs>
          <w:tab w:leader="none" w:pos="166"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001641"/>
        </w:rPr>
        <w:t>our President and Chief Executive Officer;</w:t>
      </w:r>
    </w:p>
    <w:p>
      <w:pPr>
        <w:spacing w:after="0" w:line="126" w:lineRule="exact"/>
        <w:rPr>
          <w:rFonts w:ascii="Arial" w:cs="Arial" w:eastAsia="Arial" w:hAnsi="Arial"/>
          <w:sz w:val="16"/>
          <w:szCs w:val="16"/>
          <w:b w:val="1"/>
          <w:bCs w:val="1"/>
          <w:color w:val="auto"/>
        </w:rPr>
      </w:pPr>
    </w:p>
    <w:p>
      <w:pPr>
        <w:ind w:left="166" w:hanging="166"/>
        <w:spacing w:after="0"/>
        <w:tabs>
          <w:tab w:leader="none" w:pos="166"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001641"/>
        </w:rPr>
        <w:t>our Lead Independent Director; and</w:t>
      </w:r>
    </w:p>
    <w:p>
      <w:pPr>
        <w:spacing w:after="0" w:line="126" w:lineRule="exact"/>
        <w:rPr>
          <w:rFonts w:ascii="Arial" w:cs="Arial" w:eastAsia="Arial" w:hAnsi="Arial"/>
          <w:sz w:val="16"/>
          <w:szCs w:val="16"/>
          <w:b w:val="1"/>
          <w:bCs w:val="1"/>
          <w:color w:val="auto"/>
        </w:rPr>
      </w:pPr>
    </w:p>
    <w:p>
      <w:pPr>
        <w:ind w:left="166" w:hanging="166"/>
        <w:spacing w:after="0"/>
        <w:tabs>
          <w:tab w:leader="none" w:pos="166"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001641"/>
        </w:rPr>
        <w:t>eight other directors, all of whom are independent.</w:t>
      </w:r>
    </w:p>
    <w:p>
      <w:pPr>
        <w:spacing w:after="0" w:line="167" w:lineRule="exact"/>
        <w:rPr>
          <w:sz w:val="20"/>
          <w:szCs w:val="20"/>
          <w:color w:val="auto"/>
        </w:rPr>
      </w:pPr>
    </w:p>
    <w:p>
      <w:pPr>
        <w:ind w:left="6" w:right="40"/>
        <w:spacing w:after="0" w:line="286" w:lineRule="auto"/>
        <w:rPr>
          <w:sz w:val="20"/>
          <w:szCs w:val="20"/>
          <w:color w:val="auto"/>
        </w:rPr>
      </w:pPr>
      <w:r>
        <w:rPr>
          <w:rFonts w:ascii="Arial" w:cs="Arial" w:eastAsia="Arial" w:hAnsi="Arial"/>
          <w:sz w:val="16"/>
          <w:szCs w:val="16"/>
          <w:color w:val="auto"/>
        </w:rPr>
        <w:t>We believe that our current Board structure with a strong Lead Independent Director and Board Committees comprised solely of independent directors provides strong leadership and oversight, and efficient and clear communication and administration.</w:t>
      </w:r>
    </w:p>
    <w:p>
      <w:pPr>
        <w:spacing w:after="0" w:line="27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ANNUAL REVIEW OF DUAL-CLASS STRUCTURE</w:t>
      </w:r>
    </w:p>
    <w:p>
      <w:pPr>
        <w:spacing w:after="0" w:line="139" w:lineRule="exact"/>
        <w:rPr>
          <w:sz w:val="20"/>
          <w:szCs w:val="20"/>
          <w:color w:val="auto"/>
        </w:rPr>
      </w:pPr>
    </w:p>
    <w:p>
      <w:pPr>
        <w:ind w:left="6" w:right="20"/>
        <w:spacing w:after="0" w:line="249" w:lineRule="auto"/>
        <w:rPr>
          <w:sz w:val="20"/>
          <w:szCs w:val="20"/>
          <w:color w:val="auto"/>
        </w:rPr>
      </w:pPr>
      <w:r>
        <w:rPr>
          <w:rFonts w:ascii="Arial" w:cs="Arial" w:eastAsia="Arial" w:hAnsi="Arial"/>
          <w:sz w:val="16"/>
          <w:szCs w:val="16"/>
          <w:color w:val="auto"/>
        </w:rPr>
        <w:t>We have a dual-class capital structure, which has been in place since the Company became public in April 1997, and which we continue to believe is in the best interests of the Company and its stockholders, with whom we have consistently engaged on this topic in recent years. There are two classes of voting stock consisting of Class A Common Stock (currently representing approximately 14% of the voting power and 64% of the economic ownership of the Company), and Class B Common Stock (currently representing approximately 86% of the voting power and 36% of the economic ownership of the Company). All shares of the Class B Common Stock were issued prior to the Company becoming public, and no shares of Class B Common Stock have been issued since then. The Class B Common Stock is convertible into Class A Common Stock at a Class B stockholder’s election. Pursuant to the Company’s governing documents, each share of Class B Common Stock currently owned by Mr. R. Lauren or Lauren Family Member (as defined below) (each a Class B Permitted Holder) may not be transferred other than to another Class B Permitted Holder, except under certain limited and enumerated circumstances. In addition, at such time as a person ceases to be a Class B Permitted Holder, any and all shares of Class B held by that person shall automatically convert into shares of Class A Common Stock. Following the conversion of all Class B Common Stock, the rights of holders of all outstanding common stock will be identical. Once converted into Class A Common Stock, the Class B Common Stock will never be reissued.</w:t>
      </w:r>
    </w:p>
    <w:p>
      <w:pPr>
        <w:spacing w:after="0" w:line="136" w:lineRule="exact"/>
        <w:rPr>
          <w:sz w:val="20"/>
          <w:szCs w:val="20"/>
          <w:color w:val="auto"/>
        </w:rPr>
      </w:pPr>
    </w:p>
    <w:p>
      <w:pPr>
        <w:ind w:left="6" w:right="100"/>
        <w:spacing w:after="0" w:line="266" w:lineRule="auto"/>
        <w:rPr>
          <w:sz w:val="20"/>
          <w:szCs w:val="20"/>
          <w:color w:val="auto"/>
        </w:rPr>
      </w:pPr>
      <w:r>
        <w:rPr>
          <w:rFonts w:ascii="Arial" w:cs="Arial" w:eastAsia="Arial" w:hAnsi="Arial"/>
          <w:sz w:val="16"/>
          <w:szCs w:val="16"/>
          <w:color w:val="auto"/>
        </w:rPr>
        <w:t>Changing our dual-class structure is not an action that our Board can unilaterally take. Under Delaware corporate law and our certificate of incorporation, the voting rights of holders of the Class B Common Stock cannot be changed without the consent of the holders of a majority of the outstanding shares of Class B Common Stock voting separately as a class.</w:t>
      </w:r>
    </w:p>
    <w:p>
      <w:pPr>
        <w:spacing w:after="0" w:line="117" w:lineRule="exact"/>
        <w:rPr>
          <w:sz w:val="20"/>
          <w:szCs w:val="20"/>
          <w:color w:val="auto"/>
        </w:rPr>
      </w:pPr>
    </w:p>
    <w:p>
      <w:pPr>
        <w:ind w:left="6" w:right="80"/>
        <w:spacing w:after="0" w:line="254" w:lineRule="auto"/>
        <w:rPr>
          <w:sz w:val="20"/>
          <w:szCs w:val="20"/>
          <w:color w:val="auto"/>
        </w:rPr>
      </w:pPr>
      <w:r>
        <w:rPr>
          <w:rFonts w:ascii="Arial" w:cs="Arial" w:eastAsia="Arial" w:hAnsi="Arial"/>
          <w:sz w:val="16"/>
          <w:szCs w:val="16"/>
          <w:color w:val="auto"/>
        </w:rPr>
        <w:t>As in past years, in Fiscal 2026, the Board’s independent Nominating Committee reviewed our dual-class structure in response to our 2025 Annual Meeting of Stockholders vote results and investor feedback received during our annual stockholder engagement process. Our Nominating Committee also discussed their review of our dual-class structure with Mr. R. Lauren, as Chairman of the Board, and relayed stockholder views on this structure and Mr. R. Lauren’s and the Company’s business performance under this structure. Following its review, the Nominating Committee recommended that the Company maintain its existing capital structure. In providing its recommendation,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58293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261620</wp:posOffset>
            </wp:positionV>
            <wp:extent cx="128905" cy="1111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9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126365</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Nominating Committee applied a structured evaluation framework encompassing performance, governance, stockholder feedback, and economic factors (as described below) related to the Company’s dual-class structure, including the Company’s long-term track record of success under such structure, which has been in place since the Company’s initial public offering, and the Company’s recent performance (See “Stockholder Engagement” above). In addition, the Nominating Committee considered the full voting record for the 2025 Annual Meeting of Stockholders, which reflected significant majority support for our Class A director nominees. The Nominating Committee also discussed Mr. R. Lauren’s ongoing stewardship and loyalty to the Company and the stability he provides, especially in times of macroeconomic volatility (which factors are discussed in more detail below), and a review of the substantial and prohibitive costs to the Company of unwinding the dual-class structure based on the Nominating Committee’s review and analysis of similar precedent transactions, Company performance and Company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5833110" cy="41529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33110" cy="4152900"/>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Factors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Considered by</w:t>
      </w:r>
    </w:p>
    <w:p>
      <w:pPr>
        <w:ind w:left="160"/>
        <w:spacing w:after="0"/>
        <w:rPr>
          <w:sz w:val="20"/>
          <w:szCs w:val="20"/>
          <w:color w:val="auto"/>
        </w:rPr>
      </w:pPr>
      <w:r>
        <w:rPr>
          <w:rFonts w:ascii="Arial" w:cs="Arial" w:eastAsia="Arial" w:hAnsi="Arial"/>
          <w:sz w:val="17"/>
          <w:szCs w:val="17"/>
          <w:b w:val="1"/>
          <w:bCs w:val="1"/>
          <w:color w:val="FFFFFF"/>
        </w:rPr>
        <w:t>the Nominating</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Committee in</w:t>
      </w:r>
    </w:p>
    <w:p>
      <w:pPr>
        <w:ind w:left="160"/>
        <w:spacing w:after="0" w:line="234" w:lineRule="auto"/>
        <w:rPr>
          <w:sz w:val="20"/>
          <w:szCs w:val="20"/>
          <w:color w:val="auto"/>
        </w:rPr>
      </w:pPr>
      <w:r>
        <w:rPr>
          <w:rFonts w:ascii="Arial" w:cs="Arial" w:eastAsia="Arial" w:hAnsi="Arial"/>
          <w:sz w:val="18"/>
          <w:szCs w:val="18"/>
          <w:b w:val="1"/>
          <w:bCs w:val="1"/>
          <w:color w:val="FFFFFF"/>
        </w:rPr>
        <w:t>Reviewing the</w:t>
      </w:r>
    </w:p>
    <w:p>
      <w:pPr>
        <w:ind w:left="160"/>
        <w:spacing w:after="0" w:line="235" w:lineRule="auto"/>
        <w:rPr>
          <w:sz w:val="20"/>
          <w:szCs w:val="20"/>
          <w:color w:val="auto"/>
        </w:rPr>
      </w:pPr>
      <w:r>
        <w:rPr>
          <w:rFonts w:ascii="Arial" w:cs="Arial" w:eastAsia="Arial" w:hAnsi="Arial"/>
          <w:sz w:val="18"/>
          <w:szCs w:val="18"/>
          <w:b w:val="1"/>
          <w:bCs w:val="1"/>
          <w:color w:val="FFFFFF"/>
        </w:rPr>
        <w:t>Dual-Class</w:t>
      </w:r>
    </w:p>
    <w:p>
      <w:pPr>
        <w:ind w:left="160"/>
        <w:spacing w:after="0" w:line="235" w:lineRule="auto"/>
        <w:rPr>
          <w:sz w:val="20"/>
          <w:szCs w:val="20"/>
          <w:color w:val="auto"/>
        </w:rPr>
      </w:pPr>
      <w:r>
        <w:rPr>
          <w:rFonts w:ascii="Arial" w:cs="Arial" w:eastAsia="Arial" w:hAnsi="Arial"/>
          <w:sz w:val="18"/>
          <w:szCs w:val="18"/>
          <w:b w:val="1"/>
          <w:bCs w:val="1"/>
          <w:color w:val="FFFFFF"/>
        </w:rPr>
        <w:t>Structure at</w:t>
      </w:r>
    </w:p>
    <w:p>
      <w:pPr>
        <w:ind w:left="160"/>
        <w:spacing w:after="0"/>
        <w:rPr>
          <w:sz w:val="20"/>
          <w:szCs w:val="20"/>
          <w:color w:val="auto"/>
        </w:rPr>
      </w:pPr>
      <w:r>
        <w:rPr>
          <w:rFonts w:ascii="Arial" w:cs="Arial" w:eastAsia="Arial" w:hAnsi="Arial"/>
          <w:sz w:val="18"/>
          <w:szCs w:val="18"/>
          <w:b w:val="1"/>
          <w:bCs w:val="1"/>
          <w:color w:val="FFFFFF"/>
        </w:rPr>
        <w:t>Ralph Lauren</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440" w:right="680" w:hanging="424"/>
        <w:spacing w:after="0" w:line="294" w:lineRule="auto"/>
        <w:tabs>
          <w:tab w:leader="none" w:pos="420" w:val="left"/>
        </w:tabs>
        <w:rPr>
          <w:sz w:val="20"/>
          <w:szCs w:val="20"/>
          <w:color w:val="auto"/>
        </w:rPr>
      </w:pPr>
      <w:r>
        <w:rPr>
          <w:rFonts w:ascii="Arial" w:cs="Arial" w:eastAsia="Arial" w:hAnsi="Arial"/>
          <w:sz w:val="28"/>
          <w:szCs w:val="28"/>
          <w:b w:val="1"/>
          <w:bCs w:val="1"/>
          <w:color w:val="001641"/>
          <w:vertAlign w:val="subscript"/>
        </w:rPr>
        <w:t xml:space="preserve">    </w:t>
      </w:r>
      <w:r>
        <w:rPr>
          <w:rFonts w:ascii="Arial" w:cs="Arial" w:eastAsia="Arial" w:hAnsi="Arial"/>
          <w:sz w:val="14"/>
          <w:szCs w:val="14"/>
          <w:b w:val="1"/>
          <w:bCs w:val="1"/>
          <w:color w:val="001641"/>
        </w:rPr>
        <w:tab/>
        <w:t>The Company’s strong performance in Fiscal 2026, and the contribution of the dual-class structure to the Company’s potential long-term success.</w:t>
      </w:r>
    </w:p>
    <w:p>
      <w:pPr>
        <w:spacing w:after="0" w:line="348" w:lineRule="exact"/>
        <w:rPr>
          <w:sz w:val="20"/>
          <w:szCs w:val="20"/>
          <w:color w:val="auto"/>
        </w:rPr>
      </w:pPr>
    </w:p>
    <w:p>
      <w:pPr>
        <w:ind w:right="560" w:firstLine="425"/>
        <w:spacing w:after="0" w:line="189" w:lineRule="auto"/>
        <w:rPr>
          <w:sz w:val="20"/>
          <w:szCs w:val="20"/>
          <w:color w:val="auto"/>
        </w:rPr>
      </w:pPr>
      <w:r>
        <w:rPr>
          <w:rFonts w:ascii="Arial" w:cs="Arial" w:eastAsia="Arial" w:hAnsi="Arial"/>
          <w:sz w:val="13"/>
          <w:szCs w:val="13"/>
          <w:b w:val="1"/>
          <w:bCs w:val="1"/>
          <w:color w:val="001641"/>
        </w:rPr>
        <w:t xml:space="preserve">Representation​ of our Class A stockholders by (i) our 75% independent Board, (ii) the Lead </w:t>
      </w:r>
      <w:r>
        <w:rPr>
          <w:rFonts w:ascii="Arial" w:cs="Arial" w:eastAsia="Arial" w:hAnsi="Arial"/>
          <w:sz w:val="25"/>
          <w:szCs w:val="25"/>
          <w:b w:val="1"/>
          <w:bCs w:val="1"/>
          <w:color w:val="001641"/>
          <w:vertAlign w:val="subscript"/>
        </w:rPr>
        <w:t xml:space="preserve">    </w:t>
      </w:r>
      <w:r>
        <w:rPr>
          <w:rFonts w:ascii="Arial" w:cs="Arial" w:eastAsia="Arial" w:hAnsi="Arial"/>
          <w:sz w:val="13"/>
          <w:szCs w:val="13"/>
          <w:b w:val="1"/>
          <w:bCs w:val="1"/>
          <w:color w:val="001641"/>
        </w:rPr>
        <w:t xml:space="preserve"> Independent Director with robust, well-defined, and significant responsibilities and (iii) the</w:t>
      </w:r>
    </w:p>
    <w:p>
      <w:pPr>
        <w:ind w:left="440" w:right="180"/>
        <w:spacing w:after="0" w:line="273" w:lineRule="auto"/>
        <w:rPr>
          <w:sz w:val="20"/>
          <w:szCs w:val="20"/>
          <w:color w:val="auto"/>
        </w:rPr>
      </w:pPr>
      <w:r>
        <w:rPr>
          <w:rFonts w:ascii="Arial" w:cs="Arial" w:eastAsia="Arial" w:hAnsi="Arial"/>
          <w:sz w:val="14"/>
          <w:szCs w:val="14"/>
          <w:b w:val="1"/>
          <w:bCs w:val="1"/>
          <w:color w:val="001641"/>
        </w:rPr>
        <w:t>ability of our Class A stockholders to vote on Class A directors alone without any influence from Class B stockholders, unlike many other dual-class structures</w:t>
      </w:r>
    </w:p>
    <w:p>
      <w:pPr>
        <w:spacing w:after="0" w:line="133" w:lineRule="exact"/>
        <w:rPr>
          <w:sz w:val="20"/>
          <w:szCs w:val="20"/>
          <w:color w:val="auto"/>
        </w:rPr>
      </w:pPr>
    </w:p>
    <w:p>
      <w:pPr>
        <w:ind w:left="440" w:right="160"/>
        <w:spacing w:after="0" w:line="228" w:lineRule="auto"/>
        <w:rPr>
          <w:sz w:val="20"/>
          <w:szCs w:val="20"/>
          <w:color w:val="auto"/>
        </w:rPr>
      </w:pPr>
      <w:r>
        <w:rPr>
          <w:rFonts w:ascii="Arial" w:cs="Arial" w:eastAsia="Arial" w:hAnsi="Arial"/>
          <w:sz w:val="14"/>
          <w:szCs w:val="14"/>
          <w:b w:val="1"/>
          <w:bCs w:val="1"/>
          <w:color w:val="001641"/>
        </w:rPr>
        <w:t>Benefits of the dual-class structure to the Company and stockholders, including (i) ensuring that the Company has a solid and loyal investor base throughout economic downturns and crises,</w:t>
      </w:r>
    </w:p>
    <w:p>
      <w:pPr>
        <w:ind w:left="440" w:right="320" w:hanging="424"/>
        <w:spacing w:after="0" w:line="267" w:lineRule="auto"/>
        <w:tabs>
          <w:tab w:leader="none" w:pos="420" w:val="left"/>
        </w:tabs>
        <w:rPr>
          <w:sz w:val="20"/>
          <w:szCs w:val="20"/>
          <w:color w:val="auto"/>
        </w:rPr>
      </w:pPr>
      <w:r>
        <w:rPr>
          <w:rFonts w:ascii="Arial" w:cs="Arial" w:eastAsia="Arial" w:hAnsi="Arial"/>
          <w:sz w:val="28"/>
          <w:szCs w:val="28"/>
          <w:b w:val="1"/>
          <w:bCs w:val="1"/>
          <w:color w:val="001641"/>
          <w:vertAlign w:val="superscript"/>
        </w:rPr>
        <w:t xml:space="preserve">    </w:t>
      </w:r>
      <w:r>
        <w:rPr>
          <w:rFonts w:ascii="Arial" w:cs="Arial" w:eastAsia="Arial" w:hAnsi="Arial"/>
          <w:sz w:val="14"/>
          <w:szCs w:val="14"/>
          <w:b w:val="1"/>
          <w:bCs w:val="1"/>
          <w:color w:val="001641"/>
        </w:rPr>
        <w:tab/>
        <w:t>(ii) providing stability in the face of short-term market pressures or outside influences, and (iii) enabling management to pursue long-term strategic initiatives without undue pressure from short-term market fluctuations</w:t>
      </w:r>
    </w:p>
    <w:p>
      <w:pPr>
        <w:spacing w:after="0" w:line="179"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001641"/>
        </w:rPr>
        <w:t>Mr. R. Lauren’s record of success, the level of his engagement with the Company and the</w:t>
      </w:r>
    </w:p>
    <w:p>
      <w:pPr>
        <w:ind w:left="440" w:right="240" w:hanging="424"/>
        <w:spacing w:after="0" w:line="294" w:lineRule="auto"/>
        <w:tabs>
          <w:tab w:leader="none" w:pos="420" w:val="left"/>
        </w:tabs>
        <w:rPr>
          <w:sz w:val="20"/>
          <w:szCs w:val="20"/>
          <w:color w:val="auto"/>
        </w:rPr>
      </w:pPr>
      <w:r>
        <w:rPr>
          <w:rFonts w:ascii="Arial" w:cs="Arial" w:eastAsia="Arial" w:hAnsi="Arial"/>
          <w:sz w:val="28"/>
          <w:szCs w:val="28"/>
          <w:b w:val="1"/>
          <w:bCs w:val="1"/>
          <w:color w:val="001641"/>
          <w:vertAlign w:val="superscript"/>
        </w:rPr>
        <w:t xml:space="preserve">    </w:t>
      </w:r>
      <w:r>
        <w:rPr>
          <w:rFonts w:ascii="Arial" w:cs="Arial" w:eastAsia="Arial" w:hAnsi="Arial"/>
          <w:sz w:val="14"/>
          <w:szCs w:val="14"/>
          <w:b w:val="1"/>
          <w:bCs w:val="1"/>
          <w:color w:val="001641"/>
        </w:rPr>
        <w:tab/>
        <w:t>importance of his contributions and longstanding commitment to the Company and legacy with the Company and his guiding design, development, and aesthetic vision</w:t>
      </w:r>
    </w:p>
    <w:p>
      <w:pPr>
        <w:spacing w:after="0" w:line="177" w:lineRule="exact"/>
        <w:rPr>
          <w:sz w:val="20"/>
          <w:szCs w:val="20"/>
          <w:color w:val="auto"/>
        </w:rPr>
      </w:pPr>
    </w:p>
    <w:p>
      <w:pPr>
        <w:ind w:right="460" w:firstLine="425"/>
        <w:spacing w:after="0" w:line="185" w:lineRule="auto"/>
        <w:rPr>
          <w:sz w:val="20"/>
          <w:szCs w:val="20"/>
          <w:color w:val="auto"/>
        </w:rPr>
      </w:pPr>
      <w:r>
        <w:rPr>
          <w:rFonts w:ascii="Arial" w:cs="Arial" w:eastAsia="Arial" w:hAnsi="Arial"/>
          <w:sz w:val="13"/>
          <w:szCs w:val="13"/>
          <w:b w:val="1"/>
          <w:bCs w:val="1"/>
          <w:color w:val="001641"/>
        </w:rPr>
        <w:t xml:space="preserve">Mr. R. Lauren and his family maintain a 37% equity interest in the Company, evidencing their </w:t>
      </w:r>
      <w:r>
        <w:rPr>
          <w:rFonts w:ascii="Arial" w:cs="Arial" w:eastAsia="Arial" w:hAnsi="Arial"/>
          <w:sz w:val="25"/>
          <w:szCs w:val="25"/>
          <w:b w:val="1"/>
          <w:bCs w:val="1"/>
          <w:color w:val="001641"/>
          <w:vertAlign w:val="superscript"/>
        </w:rPr>
        <w:t xml:space="preserve">    </w:t>
      </w:r>
      <w:r>
        <w:rPr>
          <w:rFonts w:ascii="Arial" w:cs="Arial" w:eastAsia="Arial" w:hAnsi="Arial"/>
          <w:sz w:val="13"/>
          <w:szCs w:val="13"/>
          <w:b w:val="1"/>
          <w:bCs w:val="1"/>
          <w:color w:val="001641"/>
        </w:rPr>
        <w:t xml:space="preserve"> very substantial economic ownership and alignment with stockholder interests, unlike many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001641"/>
        </w:rPr>
        <w:t>other dual class companies</w:t>
      </w:r>
    </w:p>
    <w:p>
      <w:pPr>
        <w:spacing w:after="0" w:line="170" w:lineRule="exact"/>
        <w:rPr>
          <w:sz w:val="20"/>
          <w:szCs w:val="20"/>
          <w:color w:val="auto"/>
        </w:rPr>
      </w:pPr>
    </w:p>
    <w:p>
      <w:pPr>
        <w:ind w:right="420" w:firstLine="425"/>
        <w:spacing w:after="0" w:line="189" w:lineRule="auto"/>
        <w:rPr>
          <w:sz w:val="20"/>
          <w:szCs w:val="20"/>
          <w:color w:val="auto"/>
        </w:rPr>
      </w:pPr>
      <w:r>
        <w:rPr>
          <w:rFonts w:ascii="Arial" w:cs="Arial" w:eastAsia="Arial" w:hAnsi="Arial"/>
          <w:sz w:val="13"/>
          <w:szCs w:val="13"/>
          <w:b w:val="1"/>
          <w:bCs w:val="1"/>
          <w:color w:val="001641"/>
        </w:rPr>
        <w:t xml:space="preserve">The substantial and prohibitive costs to the Company of unwinding the dual-class structure </w:t>
      </w:r>
      <w:r>
        <w:rPr>
          <w:rFonts w:ascii="Arial" w:cs="Arial" w:eastAsia="Arial" w:hAnsi="Arial"/>
          <w:sz w:val="25"/>
          <w:szCs w:val="25"/>
          <w:b w:val="1"/>
          <w:bCs w:val="1"/>
          <w:color w:val="001641"/>
          <w:vertAlign w:val="subscript"/>
        </w:rPr>
        <w:t xml:space="preserve">    </w:t>
      </w:r>
      <w:r>
        <w:rPr>
          <w:rFonts w:ascii="Arial" w:cs="Arial" w:eastAsia="Arial" w:hAnsi="Arial"/>
          <w:sz w:val="13"/>
          <w:szCs w:val="13"/>
          <w:b w:val="1"/>
          <w:bCs w:val="1"/>
          <w:color w:val="001641"/>
        </w:rPr>
        <w:t xml:space="preserve"> based on a review and analysis of similar precedent transactions Company performance and</w:t>
      </w:r>
    </w:p>
    <w:p>
      <w:pPr>
        <w:ind w:left="440" w:right="280"/>
        <w:spacing w:after="0" w:line="273" w:lineRule="auto"/>
        <w:rPr>
          <w:sz w:val="20"/>
          <w:szCs w:val="20"/>
          <w:color w:val="auto"/>
        </w:rPr>
      </w:pPr>
      <w:r>
        <w:rPr>
          <w:rFonts w:ascii="Arial" w:cs="Arial" w:eastAsia="Arial" w:hAnsi="Arial"/>
          <w:sz w:val="14"/>
          <w:szCs w:val="14"/>
          <w:b w:val="1"/>
          <w:bCs w:val="1"/>
          <w:color w:val="001641"/>
        </w:rPr>
        <w:t>Company strategy. Such review and analysis includes discussions with third-party advisors as appropriate</w:t>
      </w:r>
    </w:p>
    <w:p>
      <w:pPr>
        <w:spacing w:after="0" w:line="173" w:lineRule="exact"/>
        <w:rPr>
          <w:sz w:val="20"/>
          <w:szCs w:val="20"/>
          <w:color w:val="auto"/>
        </w:rPr>
      </w:pPr>
    </w:p>
    <w:p>
      <w:pPr>
        <w:ind w:right="400" w:firstLine="425"/>
        <w:spacing w:after="0" w:line="185" w:lineRule="auto"/>
        <w:rPr>
          <w:sz w:val="20"/>
          <w:szCs w:val="20"/>
          <w:color w:val="auto"/>
        </w:rPr>
      </w:pPr>
      <w:r>
        <w:rPr>
          <w:rFonts w:ascii="Arial" w:cs="Arial" w:eastAsia="Arial" w:hAnsi="Arial"/>
          <w:sz w:val="13"/>
          <w:szCs w:val="13"/>
          <w:b w:val="1"/>
          <w:bCs w:val="1"/>
          <w:color w:val="001641"/>
        </w:rPr>
        <w:t xml:space="preserve">The Nominating Committee’s process to review the structure on an annual basis and discuss </w:t>
      </w:r>
      <w:r>
        <w:rPr>
          <w:rFonts w:ascii="Arial" w:cs="Arial" w:eastAsia="Arial" w:hAnsi="Arial"/>
          <w:sz w:val="25"/>
          <w:szCs w:val="25"/>
          <w:b w:val="1"/>
          <w:bCs w:val="1"/>
          <w:color w:val="001641"/>
          <w:vertAlign w:val="superscript"/>
        </w:rPr>
        <w:t xml:space="preserve">    </w:t>
      </w:r>
      <w:r>
        <w:rPr>
          <w:rFonts w:ascii="Arial" w:cs="Arial" w:eastAsia="Arial" w:hAnsi="Arial"/>
          <w:sz w:val="13"/>
          <w:szCs w:val="13"/>
          <w:b w:val="1"/>
          <w:bCs w:val="1"/>
          <w:color w:val="001641"/>
        </w:rPr>
        <w:t xml:space="preserve"> with Mr. R. Lauren, as Chairman of the Board, their review and stockholder views on this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001641"/>
        </w:rPr>
        <w:t>structure and the Company’s business performance under this structure</w:t>
      </w:r>
    </w:p>
    <w:p>
      <w:pPr>
        <w:spacing w:after="0" w:line="217" w:lineRule="exact"/>
        <w:rPr>
          <w:sz w:val="20"/>
          <w:szCs w:val="20"/>
          <w:color w:val="auto"/>
        </w:rPr>
      </w:pPr>
    </w:p>
    <w:p>
      <w:pPr>
        <w:ind w:left="440" w:right="160"/>
        <w:spacing w:after="0" w:line="228" w:lineRule="auto"/>
        <w:rPr>
          <w:sz w:val="20"/>
          <w:szCs w:val="20"/>
          <w:color w:val="auto"/>
        </w:rPr>
      </w:pPr>
      <w:r>
        <w:rPr>
          <w:rFonts w:ascii="Arial" w:cs="Arial" w:eastAsia="Arial" w:hAnsi="Arial"/>
          <w:sz w:val="14"/>
          <w:szCs w:val="14"/>
          <w:b w:val="1"/>
          <w:bCs w:val="1"/>
          <w:color w:val="001641"/>
        </w:rPr>
        <w:t>Following​ its review of the full voting record for the 2025 Annual Meeting of Stockholders, the Nominating Committee recommended that the Company maintain its existing capital structure in</w:t>
      </w:r>
    </w:p>
    <w:p>
      <w:pPr>
        <w:ind w:left="440" w:right="160" w:hanging="424"/>
        <w:spacing w:after="0" w:line="267" w:lineRule="auto"/>
        <w:tabs>
          <w:tab w:leader="none" w:pos="420" w:val="left"/>
        </w:tabs>
        <w:rPr>
          <w:sz w:val="20"/>
          <w:szCs w:val="20"/>
          <w:color w:val="auto"/>
        </w:rPr>
      </w:pPr>
      <w:r>
        <w:rPr>
          <w:rFonts w:ascii="Arial" w:cs="Arial" w:eastAsia="Arial" w:hAnsi="Arial"/>
          <w:sz w:val="28"/>
          <w:szCs w:val="28"/>
          <w:b w:val="1"/>
          <w:bCs w:val="1"/>
          <w:color w:val="001641"/>
          <w:vertAlign w:val="superscript"/>
        </w:rPr>
        <w:t xml:space="preserve">    </w:t>
      </w:r>
      <w:r>
        <w:rPr>
          <w:rFonts w:ascii="Arial" w:cs="Arial" w:eastAsia="Arial" w:hAnsi="Arial"/>
          <w:sz w:val="14"/>
          <w:szCs w:val="14"/>
          <w:b w:val="1"/>
          <w:bCs w:val="1"/>
          <w:color w:val="001641"/>
        </w:rPr>
        <w:tab/>
        <w:t>consideration of the relevant benefits and costs of unwinding and re-nominated our directors for re-election at our 2026 Annual Meeting of Stockholders based on a review of each of their capabilities and valuable contributions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-1235075</wp:posOffset>
            </wp:positionH>
            <wp:positionV relativeFrom="paragraph">
              <wp:posOffset>181610</wp:posOffset>
            </wp:positionV>
            <wp:extent cx="58293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60" w:space="480"/>
            <w:col w:w="7200"/>
          </w:cols>
          <w:pgMar w:left="1360" w:top="114" w:right="1399" w:bottom="1440" w:gutter="0" w:footer="0" w:header="0"/>
          <w:type w:val="continuous"/>
        </w:sectPr>
      </w:pPr>
    </w:p>
    <w:p>
      <w:pPr>
        <w:spacing w:after="0" w:line="302"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26</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right="520"/>
        <w:spacing w:after="0" w:line="242" w:lineRule="auto"/>
        <w:rPr>
          <w:sz w:val="20"/>
          <w:szCs w:val="20"/>
          <w:color w:val="auto"/>
        </w:rPr>
      </w:pPr>
      <w:r>
        <w:rPr>
          <w:rFonts w:ascii="Times New Roman" w:cs="Times New Roman" w:eastAsia="Times New Roman" w:hAnsi="Times New Roman"/>
          <w:sz w:val="38"/>
          <w:szCs w:val="38"/>
          <w:color w:val="BFA071"/>
        </w:rPr>
        <w:t>Our independent Nominating Committee reviews our corporate governance, including our dual-class structure, annually including with Mr. R. Lauren so as to align with stockholder interests and feedback. Stockholders independently vote on 25% of our Board, unlike in most other dual class companies with aggregate voting across classes.</w:t>
      </w:r>
    </w:p>
    <w:p>
      <w:pPr>
        <w:spacing w:after="0" w:line="26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Mr. R. Lauren founded Ralph Lauren Corporation in 1967 and he and his family are controlling stockholders of the Company with a majority ownership of the Company’s Class B Common Stock. As founder, Mr. R. Lauren is bound to the Company and has deep heritage and continues to demonstrate strong stewardship and loyalty. The Company and its products bear his name, which, as a luxury retail brand, helps us preserve demand, and his image and family are associated with the Company. As Executive Chairman and Chief Creative Officer, a role in which he remains a hands-on and active participant, Mr. R. Lauren’s design, development, and aesthetic continues to be the guiding vision and strategy for our Company. In addition, Mr. R. Lauren continues to maintain a strong economic tie to the Company, including through his and his family’s holdings of Class A and B Common Stock, which represent an approximate 37% economic interest in the Company, evidencing his alignment with stockholder interests and comparable economic and voting power in the Company. These factors, taken together, provide us with long-term resilience and stability, especially in times of macroeconomic volatility.</w:t>
      </w:r>
    </w:p>
    <w:p>
      <w:pPr>
        <w:spacing w:after="0" w:line="135"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Mr. R. Lauren’s continued and deep involvement with the Company serves to provide a unique tone at the top that fosters belonging and equity. The Company’s purpose-driven culture is a significant element of our human capital management and we believe has helped us to recruit, attract and retain top talent across all Company functions that are necessary for our continued success. Mr. R. Lauren’s vision and commitment to the Company have contributed to our sustained and continued long-term growth, and the long history of Mr. R. Lauren’s involvement in the Company has been a great strength and a benefit to stockholders.</w:t>
      </w:r>
    </w:p>
    <w:p>
      <w:pPr>
        <w:spacing w:after="0" w:line="12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addition, since the Company has been a public company, we have balanced Mr. R. Lauren’s controlling stake through a unique voting structure that permits the Class A stockholders, over which Mr. R. Lauren does not have control, to separately elect the Class A directors, including our Lead Independent Director (as discussed further below). As a result, Class A stockholders currently elect three directors, or 25%, of our Board, without any influence from Class B stockholders in a novel governance structure that provides meaningful representation for Class A stockholders, unlike many other dual-class companies where voting is in the aggregate across classes. The Board believes these governance mechanisms help address potential concerns associated with controlled company structures while preserving the benefits of long-term focused leadership.</w:t>
      </w:r>
    </w:p>
    <w:p>
      <w:pPr>
        <w:spacing w:after="0" w:line="12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long-term success of the Company for the benefit of our stockholders has been, and continues to be, the primary focus and engagement of the Board and management, including the Lauren family. Our capital structure ensures that the Company has a solid and loyal investor base throughout economic downturns and crises. Mr. R. Lauren and his family have had and continue to have a deep interest in the long-term growth and success of the Company. In 2016, the Board appointed Mr. R. Lauren’s son, David Lauren, as Vice Chairman of the Board to further his engagement with our Company and the Board, and to lend his perspective to strategy, brand development, and innovation discussions at the Board level. The Lauren family ownership and direct involvement in the Company provides stability in the face of short-term market pressures or outside influences by providing a counterbalance to vulnerability relating to business cycles and related short-term disruptive effects. This has enabled and continues to enable the Board and management, including the Lauren family, to focus on long-term sustainable growth to benefit our stockholders, which has been a benefit for nearly 60 years. This long-term focus is especially critical in a macroeconomic environment that is constantly changing alongside heightened regulatory scrutiny and geopolitical instability.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58293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264795</wp:posOffset>
            </wp:positionV>
            <wp:extent cx="128905" cy="1111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38"/>
          <w:szCs w:val="38"/>
          <w:color w:val="BFA071"/>
        </w:rPr>
        <w:t>We believe our current structure benefits stockholders through long-term sustained financial performance. No shares of Class B Common Stock have been issued since our IPO, and following the conversion of all Class B Common Stock, the dual class structure will sunset with the rights of holders of all outstanding common stock being identical.</w:t>
      </w:r>
    </w:p>
    <w:p>
      <w:pPr>
        <w:spacing w:after="0" w:line="26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Following a 9% increase in Fiscal 2024 and a 9% increase in Fiscal 2025, we again increased our quarterly dividend by approximately 10% in Fiscal 2026 and in Fiscal 2027. We also returned more than $700 million to stockholders in Fiscal 2026 through dividends and share repurchase programs, with our share buybacks more than offsetting the dilutive effect of our share-based employee compensation plans. The Company’s long- term vision and the stability provided by our dual-class structures has contributed to our sustained and continued long-term performance and ability to return cash to stockholders.</w:t>
      </w:r>
    </w:p>
    <w:p>
      <w:pPr>
        <w:spacing w:after="0" w:line="112"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37"/>
          <w:szCs w:val="37"/>
          <w:color w:val="BFA071"/>
        </w:rPr>
        <w:t>Mr. R. Lauren and his family maintain a 37% economic interest in the Company, evidencing their very substantial economic ownership and alignment with stockholder interests, unlike many other dual class companies.</w:t>
      </w:r>
    </w:p>
    <w:p>
      <w:pPr>
        <w:spacing w:after="0" w:line="22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Class A stockholders have long been protected within this structure through the Company’s adherence to sound and robust corporate governance practices and principles that complement the share capital structure and reinforce the Company’s strong commitment to both long-term sustainable growth and stockholder value. As previously noted, our Board has a majority of independent directors (with nine of 12 director nominees being independent) and our Board Committees are comprised solely of independent directors. Unlike many other dual-class structures, the Company’s Class A stockholders elect their own directors without any influence from Class B stockholders and are entitled to elect three members, or 25% of the Board, each to serve until the 2027 Annual Meeting of Stockholders. Once elected, there is no distinction between Class A or Class B directors and they have the same duties, votes, representation on Board Committees, and responsibilities to protect the interests of all stockholders. Our Board and management are also dedicated to stockholder engagement and annually seek engagement with our largest Class A stockholders. During our Fiscal 2026 engagements, many of our largest institutional stockholders expressed an understanding and recognition of the benefits of our structure and voted in support of our structure. Our Lead Independent Director participated in certain of these meetings last year.</w:t>
      </w:r>
    </w:p>
    <w:p>
      <w:pPr>
        <w:spacing w:after="0" w:line="13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Board’s leadership also reflects the commitment to sound and robust corporate governance practices. The Board has a strong Lead Independent Director and our CEO and Chairman positions are separate. Mr. Louvet joined the Company as President and Chief Executive Officer in 2017 and has been a member of the Board since that time. The Board of Directors believes it is appropriate for Mr. R. Lauren to be Chairman of the Board, in an executive capacity, as he continues, together with Mr. Louvet, to drive the strategic vision of our Company and to actively participate in setting our financial objectives and investment priorities. We believe that these corporate governance practices and those that are summarized on the following pages will continue to protect and preserve the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8293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9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28</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7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Our corporate governance practices include: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339"/>
        </w:trPr>
        <w:tc>
          <w:tcPr>
            <w:tcW w:w="100" w:type="dxa"/>
            <w:vAlign w:val="bottom"/>
            <w:tcBorders>
              <w:top w:val="single" w:sz="8" w:color="BFA071"/>
            </w:tcBorders>
            <w:shd w:val="clear" w:color="auto" w:fill="BFA071"/>
          </w:tcPr>
          <w:p>
            <w:pPr>
              <w:spacing w:after="0"/>
              <w:rPr>
                <w:sz w:val="24"/>
                <w:szCs w:val="24"/>
                <w:color w:val="auto"/>
              </w:rPr>
            </w:pPr>
          </w:p>
        </w:tc>
        <w:tc>
          <w:tcPr>
            <w:tcW w:w="1460" w:type="dxa"/>
            <w:vAlign w:val="bottom"/>
            <w:tcBorders>
              <w:top w:val="single" w:sz="8" w:color="BFA071"/>
            </w:tcBorders>
            <w:shd w:val="clear" w:color="auto" w:fill="BFA071"/>
          </w:tcPr>
          <w:p>
            <w:pPr>
              <w:spacing w:after="0"/>
              <w:rPr>
                <w:sz w:val="24"/>
                <w:szCs w:val="24"/>
                <w:color w:val="auto"/>
              </w:rPr>
            </w:pPr>
          </w:p>
        </w:tc>
        <w:tc>
          <w:tcPr>
            <w:tcW w:w="100" w:type="dxa"/>
            <w:vAlign w:val="bottom"/>
            <w:tcBorders>
              <w:top w:val="single" w:sz="8" w:color="BFA071"/>
            </w:tcBorders>
            <w:shd w:val="clear" w:color="auto" w:fill="BFA071"/>
          </w:tcPr>
          <w:p>
            <w:pPr>
              <w:spacing w:after="0"/>
              <w:rPr>
                <w:sz w:val="24"/>
                <w:szCs w:val="24"/>
                <w:color w:val="auto"/>
              </w:rPr>
            </w:pPr>
          </w:p>
        </w:tc>
        <w:tc>
          <w:tcPr>
            <w:tcW w:w="120" w:type="dxa"/>
            <w:vAlign w:val="bottom"/>
            <w:tcBorders>
              <w:top w:val="single" w:sz="8" w:color="BFA071"/>
            </w:tcBorders>
            <w:shd w:val="clear" w:color="auto" w:fill="EBE1D2"/>
          </w:tcPr>
          <w:p>
            <w:pPr>
              <w:spacing w:after="0"/>
              <w:rPr>
                <w:sz w:val="24"/>
                <w:szCs w:val="24"/>
                <w:color w:val="auto"/>
              </w:rPr>
            </w:pPr>
          </w:p>
        </w:tc>
        <w:tc>
          <w:tcPr>
            <w:tcW w:w="260" w:type="dxa"/>
            <w:vAlign w:val="bottom"/>
            <w:tcBorders>
              <w:top w:val="single" w:sz="8" w:color="BFA071"/>
            </w:tcBorders>
            <w:shd w:val="clear" w:color="auto" w:fill="EBE1D2"/>
          </w:tcPr>
          <w:p>
            <w:pPr>
              <w:ind w:left="16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tcBorders>
              <w:top w:val="single" w:sz="8" w:color="BFA071"/>
            </w:tcBorders>
            <w:shd w:val="clear" w:color="auto" w:fill="EBE1D2"/>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tcBorders>
              <w:top w:val="single" w:sz="8" w:color="BFA071"/>
              <w:right w:val="single" w:sz="8" w:color="BFA071"/>
            </w:tcBorders>
            <w:vMerge w:val="restart"/>
          </w:tcPr>
          <w:p>
            <w:pPr>
              <w:ind w:left="120"/>
              <w:spacing w:after="0"/>
              <w:rPr>
                <w:sz w:val="20"/>
                <w:szCs w:val="20"/>
                <w:color w:val="auto"/>
              </w:rPr>
            </w:pPr>
            <w:r>
              <w:rPr>
                <w:rFonts w:ascii="Arial" w:cs="Arial" w:eastAsia="Arial" w:hAnsi="Arial"/>
                <w:sz w:val="14"/>
                <w:szCs w:val="14"/>
                <w:b w:val="1"/>
                <w:bCs w:val="1"/>
                <w:color w:val="001641"/>
              </w:rPr>
              <w:t>Separate Chairman and Chief Executive Officer roles</w:t>
            </w:r>
          </w:p>
        </w:tc>
        <w:tc>
          <w:tcPr>
            <w:tcW w:w="0" w:type="dxa"/>
            <w:vAlign w:val="bottom"/>
          </w:tcPr>
          <w:p>
            <w:pPr>
              <w:spacing w:after="0"/>
              <w:rPr>
                <w:sz w:val="1"/>
                <w:szCs w:val="1"/>
                <w:color w:val="auto"/>
              </w:rPr>
            </w:pPr>
          </w:p>
        </w:tc>
      </w:tr>
      <w:tr>
        <w:trPr>
          <w:trHeight w:val="68"/>
        </w:trPr>
        <w:tc>
          <w:tcPr>
            <w:tcW w:w="100" w:type="dxa"/>
            <w:vAlign w:val="bottom"/>
            <w:shd w:val="clear" w:color="auto" w:fill="BFA071"/>
          </w:tcPr>
          <w:p>
            <w:pPr>
              <w:spacing w:after="0"/>
              <w:rPr>
                <w:sz w:val="5"/>
                <w:szCs w:val="5"/>
                <w:color w:val="auto"/>
              </w:rPr>
            </w:pPr>
          </w:p>
        </w:tc>
        <w:tc>
          <w:tcPr>
            <w:tcW w:w="1460" w:type="dxa"/>
            <w:vAlign w:val="bottom"/>
            <w:shd w:val="clear" w:color="auto" w:fill="BFA071"/>
          </w:tcPr>
          <w:p>
            <w:pPr>
              <w:spacing w:after="0"/>
              <w:rPr>
                <w:sz w:val="5"/>
                <w:szCs w:val="5"/>
                <w:color w:val="auto"/>
              </w:rPr>
            </w:pPr>
          </w:p>
        </w:tc>
        <w:tc>
          <w:tcPr>
            <w:tcW w:w="100" w:type="dxa"/>
            <w:vAlign w:val="bottom"/>
            <w:shd w:val="clear" w:color="auto" w:fill="BFA071"/>
          </w:tcPr>
          <w:p>
            <w:pPr>
              <w:spacing w:after="0"/>
              <w:rPr>
                <w:sz w:val="5"/>
                <w:szCs w:val="5"/>
                <w:color w:val="auto"/>
              </w:rPr>
            </w:pPr>
          </w:p>
        </w:tc>
        <w:tc>
          <w:tcPr>
            <w:tcW w:w="120" w:type="dxa"/>
            <w:vAlign w:val="bottom"/>
            <w:shd w:val="clear" w:color="auto" w:fill="EBE1D2"/>
          </w:tcPr>
          <w:p>
            <w:pPr>
              <w:spacing w:after="0"/>
              <w:rPr>
                <w:sz w:val="5"/>
                <w:szCs w:val="5"/>
                <w:color w:val="auto"/>
              </w:rPr>
            </w:pPr>
          </w:p>
        </w:tc>
        <w:tc>
          <w:tcPr>
            <w:tcW w:w="260" w:type="dxa"/>
            <w:vAlign w:val="bottom"/>
            <w:shd w:val="clear" w:color="auto" w:fill="EBE1D2"/>
          </w:tcPr>
          <w:p>
            <w:pPr>
              <w:spacing w:after="0"/>
              <w:rPr>
                <w:sz w:val="5"/>
                <w:szCs w:val="5"/>
                <w:color w:val="auto"/>
              </w:rPr>
            </w:pPr>
          </w:p>
        </w:tc>
        <w:tc>
          <w:tcPr>
            <w:tcW w:w="220" w:type="dxa"/>
            <w:vAlign w:val="bottom"/>
            <w:shd w:val="clear" w:color="auto" w:fill="EBE1D2"/>
          </w:tcPr>
          <w:p>
            <w:pPr>
              <w:spacing w:after="0"/>
              <w:rPr>
                <w:sz w:val="5"/>
                <w:szCs w:val="5"/>
                <w:color w:val="auto"/>
              </w:rPr>
            </w:pPr>
          </w:p>
        </w:tc>
        <w:tc>
          <w:tcPr>
            <w:tcW w:w="6920" w:type="dxa"/>
            <w:vAlign w:val="bottom"/>
            <w:tcBorders>
              <w:right w:val="single" w:sz="8" w:color="BFA071"/>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00" w:type="dxa"/>
            <w:vAlign w:val="bottom"/>
            <w:tcBorders>
              <w:bottom w:val="single" w:sz="8" w:color="BFA071"/>
            </w:tcBorders>
            <w:shd w:val="clear" w:color="auto" w:fill="BFA071"/>
          </w:tcPr>
          <w:p>
            <w:pPr>
              <w:spacing w:after="0"/>
              <w:rPr>
                <w:sz w:val="13"/>
                <w:szCs w:val="13"/>
                <w:color w:val="auto"/>
              </w:rPr>
            </w:pPr>
          </w:p>
        </w:tc>
        <w:tc>
          <w:tcPr>
            <w:tcW w:w="1460" w:type="dxa"/>
            <w:vAlign w:val="bottom"/>
            <w:tcBorders>
              <w:bottom w:val="single" w:sz="8" w:color="BFA071"/>
            </w:tcBorders>
            <w:shd w:val="clear" w:color="auto" w:fill="BFA071"/>
          </w:tcPr>
          <w:p>
            <w:pPr>
              <w:spacing w:after="0"/>
              <w:rPr>
                <w:sz w:val="13"/>
                <w:szCs w:val="13"/>
                <w:color w:val="auto"/>
              </w:rPr>
            </w:pPr>
          </w:p>
        </w:tc>
        <w:tc>
          <w:tcPr>
            <w:tcW w:w="100" w:type="dxa"/>
            <w:vAlign w:val="bottom"/>
            <w:tcBorders>
              <w:bottom w:val="single" w:sz="8" w:color="BFA071"/>
            </w:tcBorders>
            <w:shd w:val="clear" w:color="auto" w:fill="BFA071"/>
          </w:tcPr>
          <w:p>
            <w:pPr>
              <w:spacing w:after="0"/>
              <w:rPr>
                <w:sz w:val="13"/>
                <w:szCs w:val="13"/>
                <w:color w:val="auto"/>
              </w:rPr>
            </w:pPr>
          </w:p>
        </w:tc>
        <w:tc>
          <w:tcPr>
            <w:tcW w:w="120" w:type="dxa"/>
            <w:vAlign w:val="bottom"/>
            <w:tcBorders>
              <w:bottom w:val="single" w:sz="8" w:color="BFA071"/>
            </w:tcBorders>
            <w:shd w:val="clear" w:color="auto" w:fill="EBE1D2"/>
          </w:tcPr>
          <w:p>
            <w:pPr>
              <w:spacing w:after="0"/>
              <w:rPr>
                <w:sz w:val="13"/>
                <w:szCs w:val="13"/>
                <w:color w:val="auto"/>
              </w:rPr>
            </w:pPr>
          </w:p>
        </w:tc>
        <w:tc>
          <w:tcPr>
            <w:tcW w:w="260" w:type="dxa"/>
            <w:vAlign w:val="bottom"/>
            <w:tcBorders>
              <w:bottom w:val="single" w:sz="8" w:color="BFA071"/>
            </w:tcBorders>
            <w:shd w:val="clear" w:color="auto" w:fill="EBE1D2"/>
          </w:tcPr>
          <w:p>
            <w:pPr>
              <w:spacing w:after="0"/>
              <w:rPr>
                <w:sz w:val="13"/>
                <w:szCs w:val="13"/>
                <w:color w:val="auto"/>
              </w:rPr>
            </w:pPr>
          </w:p>
        </w:tc>
        <w:tc>
          <w:tcPr>
            <w:tcW w:w="220" w:type="dxa"/>
            <w:vAlign w:val="bottom"/>
            <w:tcBorders>
              <w:bottom w:val="single" w:sz="8" w:color="BFA071"/>
            </w:tcBorders>
            <w:shd w:val="clear" w:color="auto" w:fill="EBE1D2"/>
          </w:tcPr>
          <w:p>
            <w:pPr>
              <w:spacing w:after="0"/>
              <w:rPr>
                <w:sz w:val="13"/>
                <w:szCs w:val="13"/>
                <w:color w:val="auto"/>
              </w:rPr>
            </w:pPr>
          </w:p>
        </w:tc>
        <w:tc>
          <w:tcPr>
            <w:tcW w:w="6920" w:type="dxa"/>
            <w:vAlign w:val="bottom"/>
            <w:tcBorders>
              <w:bottom w:val="single" w:sz="8" w:color="BFA071"/>
              <w:right w:val="single" w:sz="8" w:color="BFA071"/>
            </w:tcBorders>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100" w:type="dxa"/>
            <w:vAlign w:val="bottom"/>
            <w:shd w:val="clear" w:color="auto" w:fill="BFA071"/>
          </w:tcPr>
          <w:p>
            <w:pPr>
              <w:spacing w:after="0"/>
              <w:rPr>
                <w:sz w:val="23"/>
                <w:szCs w:val="23"/>
                <w:color w:val="auto"/>
              </w:rPr>
            </w:pPr>
          </w:p>
        </w:tc>
        <w:tc>
          <w:tcPr>
            <w:tcW w:w="1460" w:type="dxa"/>
            <w:vAlign w:val="bottom"/>
            <w:shd w:val="clear" w:color="auto" w:fill="BFA071"/>
          </w:tcPr>
          <w:p>
            <w:pPr>
              <w:spacing w:after="0"/>
              <w:rPr>
                <w:sz w:val="23"/>
                <w:szCs w:val="23"/>
                <w:color w:val="auto"/>
              </w:rPr>
            </w:pPr>
          </w:p>
        </w:tc>
        <w:tc>
          <w:tcPr>
            <w:tcW w:w="100" w:type="dxa"/>
            <w:vAlign w:val="bottom"/>
            <w:shd w:val="clear" w:color="auto" w:fill="BFA071"/>
          </w:tcPr>
          <w:p>
            <w:pPr>
              <w:spacing w:after="0"/>
              <w:rPr>
                <w:sz w:val="23"/>
                <w:szCs w:val="23"/>
                <w:color w:val="auto"/>
              </w:rPr>
            </w:pPr>
          </w:p>
        </w:tc>
        <w:tc>
          <w:tcPr>
            <w:tcW w:w="120" w:type="dxa"/>
            <w:vAlign w:val="bottom"/>
            <w:shd w:val="clear" w:color="auto" w:fill="EBE1D2"/>
          </w:tcPr>
          <w:p>
            <w:pPr>
              <w:spacing w:after="0"/>
              <w:rPr>
                <w:sz w:val="23"/>
                <w:szCs w:val="23"/>
                <w:color w:val="auto"/>
              </w:rPr>
            </w:pPr>
          </w:p>
        </w:tc>
        <w:tc>
          <w:tcPr>
            <w:tcW w:w="260" w:type="dxa"/>
            <w:vAlign w:val="bottom"/>
            <w:shd w:val="clear" w:color="auto" w:fill="EBE1D2"/>
          </w:tcPr>
          <w:p>
            <w:pPr>
              <w:ind w:left="16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shd w:val="clear" w:color="auto" w:fill="EBE1D2"/>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tcBorders>
              <w:right w:val="single" w:sz="8" w:color="BFA071"/>
            </w:tcBorders>
            <w:vMerge w:val="restart"/>
          </w:tcPr>
          <w:p>
            <w:pPr>
              <w:ind w:left="120"/>
              <w:spacing w:after="0"/>
              <w:rPr>
                <w:sz w:val="20"/>
                <w:szCs w:val="20"/>
                <w:color w:val="auto"/>
              </w:rPr>
            </w:pPr>
            <w:r>
              <w:rPr>
                <w:rFonts w:ascii="Arial" w:cs="Arial" w:eastAsia="Arial" w:hAnsi="Arial"/>
                <w:sz w:val="14"/>
                <w:szCs w:val="14"/>
                <w:b w:val="1"/>
                <w:bCs w:val="1"/>
                <w:color w:val="001641"/>
              </w:rPr>
              <w:t>Lead Independent Director with robust, well-defined, and significant responsibilities</w:t>
            </w:r>
          </w:p>
        </w:tc>
        <w:tc>
          <w:tcPr>
            <w:tcW w:w="0" w:type="dxa"/>
            <w:vAlign w:val="bottom"/>
          </w:tcPr>
          <w:p>
            <w:pPr>
              <w:spacing w:after="0"/>
              <w:rPr>
                <w:sz w:val="1"/>
                <w:szCs w:val="1"/>
                <w:color w:val="auto"/>
              </w:rPr>
            </w:pPr>
          </w:p>
        </w:tc>
      </w:tr>
      <w:tr>
        <w:trPr>
          <w:trHeight w:val="68"/>
        </w:trPr>
        <w:tc>
          <w:tcPr>
            <w:tcW w:w="100" w:type="dxa"/>
            <w:vAlign w:val="bottom"/>
            <w:shd w:val="clear" w:color="auto" w:fill="BFA071"/>
          </w:tcPr>
          <w:p>
            <w:pPr>
              <w:spacing w:after="0"/>
              <w:rPr>
                <w:sz w:val="5"/>
                <w:szCs w:val="5"/>
                <w:color w:val="auto"/>
              </w:rPr>
            </w:pPr>
          </w:p>
        </w:tc>
        <w:tc>
          <w:tcPr>
            <w:tcW w:w="1460" w:type="dxa"/>
            <w:vAlign w:val="bottom"/>
            <w:shd w:val="clear" w:color="auto" w:fill="BFA071"/>
          </w:tcPr>
          <w:p>
            <w:pPr>
              <w:spacing w:after="0"/>
              <w:rPr>
                <w:sz w:val="5"/>
                <w:szCs w:val="5"/>
                <w:color w:val="auto"/>
              </w:rPr>
            </w:pPr>
          </w:p>
        </w:tc>
        <w:tc>
          <w:tcPr>
            <w:tcW w:w="100" w:type="dxa"/>
            <w:vAlign w:val="bottom"/>
            <w:shd w:val="clear" w:color="auto" w:fill="BFA071"/>
          </w:tcPr>
          <w:p>
            <w:pPr>
              <w:spacing w:after="0"/>
              <w:rPr>
                <w:sz w:val="5"/>
                <w:szCs w:val="5"/>
                <w:color w:val="auto"/>
              </w:rPr>
            </w:pPr>
          </w:p>
        </w:tc>
        <w:tc>
          <w:tcPr>
            <w:tcW w:w="120" w:type="dxa"/>
            <w:vAlign w:val="bottom"/>
            <w:shd w:val="clear" w:color="auto" w:fill="EBE1D2"/>
          </w:tcPr>
          <w:p>
            <w:pPr>
              <w:spacing w:after="0"/>
              <w:rPr>
                <w:sz w:val="5"/>
                <w:szCs w:val="5"/>
                <w:color w:val="auto"/>
              </w:rPr>
            </w:pPr>
          </w:p>
        </w:tc>
        <w:tc>
          <w:tcPr>
            <w:tcW w:w="260" w:type="dxa"/>
            <w:vAlign w:val="bottom"/>
            <w:shd w:val="clear" w:color="auto" w:fill="EBE1D2"/>
          </w:tcPr>
          <w:p>
            <w:pPr>
              <w:spacing w:after="0"/>
              <w:rPr>
                <w:sz w:val="5"/>
                <w:szCs w:val="5"/>
                <w:color w:val="auto"/>
              </w:rPr>
            </w:pPr>
          </w:p>
        </w:tc>
        <w:tc>
          <w:tcPr>
            <w:tcW w:w="220" w:type="dxa"/>
            <w:vAlign w:val="bottom"/>
            <w:shd w:val="clear" w:color="auto" w:fill="EBE1D2"/>
          </w:tcPr>
          <w:p>
            <w:pPr>
              <w:spacing w:after="0"/>
              <w:rPr>
                <w:sz w:val="5"/>
                <w:szCs w:val="5"/>
                <w:color w:val="auto"/>
              </w:rPr>
            </w:pPr>
          </w:p>
        </w:tc>
        <w:tc>
          <w:tcPr>
            <w:tcW w:w="6920" w:type="dxa"/>
            <w:vAlign w:val="bottom"/>
            <w:tcBorders>
              <w:right w:val="single" w:sz="8" w:color="BFA071"/>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00" w:type="dxa"/>
            <w:vAlign w:val="bottom"/>
            <w:tcBorders>
              <w:bottom w:val="single" w:sz="8" w:color="BFA071"/>
            </w:tcBorders>
            <w:shd w:val="clear" w:color="auto" w:fill="BFA071"/>
          </w:tcPr>
          <w:p>
            <w:pPr>
              <w:spacing w:after="0"/>
              <w:rPr>
                <w:sz w:val="13"/>
                <w:szCs w:val="13"/>
                <w:color w:val="auto"/>
              </w:rPr>
            </w:pPr>
          </w:p>
        </w:tc>
        <w:tc>
          <w:tcPr>
            <w:tcW w:w="1460" w:type="dxa"/>
            <w:vAlign w:val="bottom"/>
            <w:tcBorders>
              <w:bottom w:val="single" w:sz="8" w:color="BFA071"/>
            </w:tcBorders>
            <w:shd w:val="clear" w:color="auto" w:fill="BFA071"/>
          </w:tcPr>
          <w:p>
            <w:pPr>
              <w:spacing w:after="0"/>
              <w:rPr>
                <w:sz w:val="13"/>
                <w:szCs w:val="13"/>
                <w:color w:val="auto"/>
              </w:rPr>
            </w:pPr>
          </w:p>
        </w:tc>
        <w:tc>
          <w:tcPr>
            <w:tcW w:w="100" w:type="dxa"/>
            <w:vAlign w:val="bottom"/>
            <w:tcBorders>
              <w:bottom w:val="single" w:sz="8" w:color="BFA071"/>
            </w:tcBorders>
            <w:shd w:val="clear" w:color="auto" w:fill="BFA071"/>
          </w:tcPr>
          <w:p>
            <w:pPr>
              <w:spacing w:after="0"/>
              <w:rPr>
                <w:sz w:val="13"/>
                <w:szCs w:val="13"/>
                <w:color w:val="auto"/>
              </w:rPr>
            </w:pPr>
          </w:p>
        </w:tc>
        <w:tc>
          <w:tcPr>
            <w:tcW w:w="120" w:type="dxa"/>
            <w:vAlign w:val="bottom"/>
            <w:tcBorders>
              <w:bottom w:val="single" w:sz="8" w:color="BFA071"/>
            </w:tcBorders>
            <w:shd w:val="clear" w:color="auto" w:fill="EBE1D2"/>
          </w:tcPr>
          <w:p>
            <w:pPr>
              <w:spacing w:after="0"/>
              <w:rPr>
                <w:sz w:val="13"/>
                <w:szCs w:val="13"/>
                <w:color w:val="auto"/>
              </w:rPr>
            </w:pPr>
          </w:p>
        </w:tc>
        <w:tc>
          <w:tcPr>
            <w:tcW w:w="260" w:type="dxa"/>
            <w:vAlign w:val="bottom"/>
            <w:tcBorders>
              <w:bottom w:val="single" w:sz="8" w:color="BFA071"/>
            </w:tcBorders>
            <w:shd w:val="clear" w:color="auto" w:fill="EBE1D2"/>
          </w:tcPr>
          <w:p>
            <w:pPr>
              <w:spacing w:after="0"/>
              <w:rPr>
                <w:sz w:val="13"/>
                <w:szCs w:val="13"/>
                <w:color w:val="auto"/>
              </w:rPr>
            </w:pPr>
          </w:p>
        </w:tc>
        <w:tc>
          <w:tcPr>
            <w:tcW w:w="220" w:type="dxa"/>
            <w:vAlign w:val="bottom"/>
            <w:tcBorders>
              <w:bottom w:val="single" w:sz="8" w:color="BFA071"/>
            </w:tcBorders>
            <w:shd w:val="clear" w:color="auto" w:fill="EBE1D2"/>
          </w:tcPr>
          <w:p>
            <w:pPr>
              <w:spacing w:after="0"/>
              <w:rPr>
                <w:sz w:val="13"/>
                <w:szCs w:val="13"/>
                <w:color w:val="auto"/>
              </w:rPr>
            </w:pPr>
          </w:p>
        </w:tc>
        <w:tc>
          <w:tcPr>
            <w:tcW w:w="6920" w:type="dxa"/>
            <w:vAlign w:val="bottom"/>
            <w:tcBorders>
              <w:bottom w:val="single" w:sz="8" w:color="BFA071"/>
              <w:right w:val="single" w:sz="8" w:color="BFA071"/>
            </w:tcBorders>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100" w:type="dxa"/>
            <w:vAlign w:val="bottom"/>
            <w:shd w:val="clear" w:color="auto" w:fill="BFA071"/>
          </w:tcPr>
          <w:p>
            <w:pPr>
              <w:spacing w:after="0"/>
              <w:rPr>
                <w:sz w:val="23"/>
                <w:szCs w:val="23"/>
                <w:color w:val="auto"/>
              </w:rPr>
            </w:pPr>
          </w:p>
        </w:tc>
        <w:tc>
          <w:tcPr>
            <w:tcW w:w="1460" w:type="dxa"/>
            <w:vAlign w:val="bottom"/>
            <w:vMerge w:val="restart"/>
            <w:shd w:val="clear" w:color="auto" w:fill="BFA071"/>
          </w:tcPr>
          <w:p>
            <w:pPr>
              <w:ind w:left="60"/>
              <w:spacing w:after="0"/>
              <w:rPr>
                <w:sz w:val="20"/>
                <w:szCs w:val="20"/>
                <w:color w:val="auto"/>
              </w:rPr>
            </w:pPr>
            <w:r>
              <w:rPr>
                <w:rFonts w:ascii="Arial" w:cs="Arial" w:eastAsia="Arial" w:hAnsi="Arial"/>
                <w:sz w:val="18"/>
                <w:szCs w:val="18"/>
                <w:b w:val="1"/>
                <w:bCs w:val="1"/>
                <w:color w:val="FFFFFF"/>
              </w:rPr>
              <w:t> </w:t>
            </w:r>
          </w:p>
        </w:tc>
        <w:tc>
          <w:tcPr>
            <w:tcW w:w="100" w:type="dxa"/>
            <w:vAlign w:val="bottom"/>
            <w:shd w:val="clear" w:color="auto" w:fill="BFA071"/>
          </w:tcPr>
          <w:p>
            <w:pPr>
              <w:spacing w:after="0"/>
              <w:rPr>
                <w:sz w:val="23"/>
                <w:szCs w:val="23"/>
                <w:color w:val="auto"/>
              </w:rPr>
            </w:pPr>
          </w:p>
        </w:tc>
        <w:tc>
          <w:tcPr>
            <w:tcW w:w="120" w:type="dxa"/>
            <w:vAlign w:val="bottom"/>
            <w:shd w:val="clear" w:color="auto" w:fill="EBE1D2"/>
          </w:tcPr>
          <w:p>
            <w:pPr>
              <w:spacing w:after="0"/>
              <w:rPr>
                <w:sz w:val="23"/>
                <w:szCs w:val="23"/>
                <w:color w:val="auto"/>
              </w:rPr>
            </w:pPr>
          </w:p>
        </w:tc>
        <w:tc>
          <w:tcPr>
            <w:tcW w:w="260" w:type="dxa"/>
            <w:vAlign w:val="bottom"/>
            <w:shd w:val="clear" w:color="auto" w:fill="EBE1D2"/>
          </w:tcPr>
          <w:p>
            <w:pPr>
              <w:ind w:left="16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shd w:val="clear" w:color="auto" w:fill="EBE1D2"/>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tcBorders>
              <w:right w:val="single" w:sz="8" w:color="BFA071"/>
            </w:tcBorders>
            <w:vMerge w:val="restart"/>
          </w:tcPr>
          <w:p>
            <w:pPr>
              <w:ind w:left="120"/>
              <w:spacing w:after="0"/>
              <w:rPr>
                <w:sz w:val="20"/>
                <w:szCs w:val="20"/>
                <w:color w:val="auto"/>
              </w:rPr>
            </w:pPr>
            <w:r>
              <w:rPr>
                <w:rFonts w:ascii="Arial" w:cs="Arial" w:eastAsia="Arial" w:hAnsi="Arial"/>
                <w:sz w:val="14"/>
                <w:szCs w:val="14"/>
                <w:b w:val="1"/>
                <w:bCs w:val="1"/>
                <w:color w:val="001641"/>
              </w:rPr>
              <w:t>75% of Board is independent</w:t>
            </w:r>
          </w:p>
        </w:tc>
        <w:tc>
          <w:tcPr>
            <w:tcW w:w="0" w:type="dxa"/>
            <w:vAlign w:val="bottom"/>
          </w:tcPr>
          <w:p>
            <w:pPr>
              <w:spacing w:after="0"/>
              <w:rPr>
                <w:sz w:val="1"/>
                <w:szCs w:val="1"/>
                <w:color w:val="auto"/>
              </w:rPr>
            </w:pPr>
          </w:p>
        </w:tc>
      </w:tr>
      <w:tr>
        <w:trPr>
          <w:trHeight w:val="78"/>
        </w:trPr>
        <w:tc>
          <w:tcPr>
            <w:tcW w:w="100" w:type="dxa"/>
            <w:vAlign w:val="bottom"/>
            <w:shd w:val="clear" w:color="auto" w:fill="BFA071"/>
          </w:tcPr>
          <w:p>
            <w:pPr>
              <w:spacing w:after="0"/>
              <w:rPr>
                <w:sz w:val="6"/>
                <w:szCs w:val="6"/>
                <w:color w:val="auto"/>
              </w:rPr>
            </w:pPr>
          </w:p>
        </w:tc>
        <w:tc>
          <w:tcPr>
            <w:tcW w:w="1460" w:type="dxa"/>
            <w:vAlign w:val="bottom"/>
            <w:vMerge w:val="continue"/>
            <w:shd w:val="clear" w:color="auto" w:fill="BFA071"/>
          </w:tcPr>
          <w:p>
            <w:pPr>
              <w:spacing w:after="0"/>
              <w:rPr>
                <w:sz w:val="6"/>
                <w:szCs w:val="6"/>
                <w:color w:val="auto"/>
              </w:rPr>
            </w:pPr>
          </w:p>
        </w:tc>
        <w:tc>
          <w:tcPr>
            <w:tcW w:w="100" w:type="dxa"/>
            <w:vAlign w:val="bottom"/>
            <w:shd w:val="clear" w:color="auto" w:fill="BFA071"/>
          </w:tcPr>
          <w:p>
            <w:pPr>
              <w:spacing w:after="0"/>
              <w:rPr>
                <w:sz w:val="6"/>
                <w:szCs w:val="6"/>
                <w:color w:val="auto"/>
              </w:rPr>
            </w:pPr>
          </w:p>
        </w:tc>
        <w:tc>
          <w:tcPr>
            <w:tcW w:w="120" w:type="dxa"/>
            <w:vAlign w:val="bottom"/>
            <w:shd w:val="clear" w:color="auto" w:fill="EBE1D2"/>
          </w:tcPr>
          <w:p>
            <w:pPr>
              <w:spacing w:after="0"/>
              <w:rPr>
                <w:sz w:val="6"/>
                <w:szCs w:val="6"/>
                <w:color w:val="auto"/>
              </w:rPr>
            </w:pPr>
          </w:p>
        </w:tc>
        <w:tc>
          <w:tcPr>
            <w:tcW w:w="260" w:type="dxa"/>
            <w:vAlign w:val="bottom"/>
            <w:shd w:val="clear" w:color="auto" w:fill="EBE1D2"/>
          </w:tcPr>
          <w:p>
            <w:pPr>
              <w:spacing w:after="0"/>
              <w:rPr>
                <w:sz w:val="6"/>
                <w:szCs w:val="6"/>
                <w:color w:val="auto"/>
              </w:rPr>
            </w:pPr>
          </w:p>
        </w:tc>
        <w:tc>
          <w:tcPr>
            <w:tcW w:w="220" w:type="dxa"/>
            <w:vAlign w:val="bottom"/>
            <w:shd w:val="clear" w:color="auto" w:fill="EBE1D2"/>
          </w:tcPr>
          <w:p>
            <w:pPr>
              <w:spacing w:after="0"/>
              <w:rPr>
                <w:sz w:val="6"/>
                <w:szCs w:val="6"/>
                <w:color w:val="auto"/>
              </w:rPr>
            </w:pPr>
          </w:p>
        </w:tc>
        <w:tc>
          <w:tcPr>
            <w:tcW w:w="6920" w:type="dxa"/>
            <w:vAlign w:val="bottom"/>
            <w:tcBorders>
              <w:right w:val="single" w:sz="8" w:color="BFA071"/>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00" w:type="dxa"/>
            <w:vAlign w:val="bottom"/>
            <w:tcBorders>
              <w:bottom w:val="single" w:sz="8" w:color="BFA071"/>
            </w:tcBorders>
            <w:shd w:val="clear" w:color="auto" w:fill="BFA071"/>
          </w:tcPr>
          <w:p>
            <w:pPr>
              <w:spacing w:after="0"/>
              <w:rPr>
                <w:sz w:val="12"/>
                <w:szCs w:val="12"/>
                <w:color w:val="auto"/>
              </w:rPr>
            </w:pPr>
          </w:p>
        </w:tc>
        <w:tc>
          <w:tcPr>
            <w:tcW w:w="1460" w:type="dxa"/>
            <w:vAlign w:val="bottom"/>
            <w:tcBorders>
              <w:bottom w:val="single" w:sz="8" w:color="BFA071"/>
            </w:tcBorders>
            <w:vMerge w:val="restart"/>
            <w:shd w:val="clear" w:color="auto" w:fill="BFA071"/>
          </w:tcPr>
          <w:p>
            <w:pPr>
              <w:jc w:val="center"/>
              <w:spacing w:after="0" w:line="202" w:lineRule="exact"/>
              <w:rPr>
                <w:sz w:val="20"/>
                <w:szCs w:val="20"/>
                <w:color w:val="auto"/>
              </w:rPr>
            </w:pPr>
            <w:r>
              <w:rPr>
                <w:rFonts w:ascii="Arial" w:cs="Arial" w:eastAsia="Arial" w:hAnsi="Arial"/>
                <w:sz w:val="18"/>
                <w:szCs w:val="18"/>
                <w:b w:val="1"/>
                <w:bCs w:val="1"/>
                <w:color w:val="FFFFFF"/>
                <w:w w:val="99"/>
              </w:rPr>
              <w:t>Board</w:t>
            </w:r>
          </w:p>
        </w:tc>
        <w:tc>
          <w:tcPr>
            <w:tcW w:w="100" w:type="dxa"/>
            <w:vAlign w:val="bottom"/>
            <w:tcBorders>
              <w:bottom w:val="single" w:sz="8" w:color="BFA071"/>
            </w:tcBorders>
            <w:vMerge w:val="restart"/>
            <w:shd w:val="clear" w:color="auto" w:fill="BFA071"/>
          </w:tcPr>
          <w:p>
            <w:pPr>
              <w:spacing w:after="0"/>
              <w:rPr>
                <w:sz w:val="12"/>
                <w:szCs w:val="12"/>
                <w:color w:val="auto"/>
              </w:rPr>
            </w:pPr>
          </w:p>
        </w:tc>
        <w:tc>
          <w:tcPr>
            <w:tcW w:w="120" w:type="dxa"/>
            <w:vAlign w:val="bottom"/>
            <w:tcBorders>
              <w:bottom w:val="single" w:sz="8" w:color="BFA071"/>
            </w:tcBorders>
            <w:shd w:val="clear" w:color="auto" w:fill="EBE1D2"/>
          </w:tcPr>
          <w:p>
            <w:pPr>
              <w:spacing w:after="0"/>
              <w:rPr>
                <w:sz w:val="12"/>
                <w:szCs w:val="12"/>
                <w:color w:val="auto"/>
              </w:rPr>
            </w:pPr>
          </w:p>
        </w:tc>
        <w:tc>
          <w:tcPr>
            <w:tcW w:w="260" w:type="dxa"/>
            <w:vAlign w:val="bottom"/>
            <w:tcBorders>
              <w:bottom w:val="single" w:sz="8" w:color="BFA071"/>
            </w:tcBorders>
            <w:shd w:val="clear" w:color="auto" w:fill="EBE1D2"/>
          </w:tcPr>
          <w:p>
            <w:pPr>
              <w:spacing w:after="0"/>
              <w:rPr>
                <w:sz w:val="12"/>
                <w:szCs w:val="12"/>
                <w:color w:val="auto"/>
              </w:rPr>
            </w:pPr>
          </w:p>
        </w:tc>
        <w:tc>
          <w:tcPr>
            <w:tcW w:w="220" w:type="dxa"/>
            <w:vAlign w:val="bottom"/>
            <w:tcBorders>
              <w:bottom w:val="single" w:sz="8" w:color="BFA071"/>
            </w:tcBorders>
            <w:shd w:val="clear" w:color="auto" w:fill="EBE1D2"/>
          </w:tcPr>
          <w:p>
            <w:pPr>
              <w:spacing w:after="0"/>
              <w:rPr>
                <w:sz w:val="12"/>
                <w:szCs w:val="12"/>
                <w:color w:val="auto"/>
              </w:rPr>
            </w:pPr>
          </w:p>
        </w:tc>
        <w:tc>
          <w:tcPr>
            <w:tcW w:w="6920" w:type="dxa"/>
            <w:vAlign w:val="bottom"/>
            <w:tcBorders>
              <w:bottom w:val="single" w:sz="8" w:color="BFA071"/>
              <w:right w:val="single" w:sz="8" w:color="BFA071"/>
            </w:tcBorders>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100" w:type="dxa"/>
            <w:vAlign w:val="bottom"/>
            <w:shd w:val="clear" w:color="auto" w:fill="BFA071"/>
          </w:tcPr>
          <w:p>
            <w:pPr>
              <w:spacing w:after="0"/>
              <w:rPr>
                <w:sz w:val="3"/>
                <w:szCs w:val="3"/>
                <w:color w:val="auto"/>
              </w:rPr>
            </w:pPr>
          </w:p>
        </w:tc>
        <w:tc>
          <w:tcPr>
            <w:tcW w:w="1460" w:type="dxa"/>
            <w:vAlign w:val="bottom"/>
            <w:vMerge w:val="continue"/>
            <w:shd w:val="clear" w:color="auto" w:fill="BFA071"/>
          </w:tcPr>
          <w:p>
            <w:pPr>
              <w:spacing w:after="0"/>
              <w:rPr>
                <w:sz w:val="3"/>
                <w:szCs w:val="3"/>
                <w:color w:val="auto"/>
              </w:rPr>
            </w:pPr>
          </w:p>
        </w:tc>
        <w:tc>
          <w:tcPr>
            <w:tcW w:w="100" w:type="dxa"/>
            <w:vAlign w:val="bottom"/>
            <w:vMerge w:val="continue"/>
            <w:shd w:val="clear" w:color="auto" w:fill="BFA071"/>
          </w:tcPr>
          <w:p>
            <w:pPr>
              <w:spacing w:after="0"/>
              <w:rPr>
                <w:sz w:val="3"/>
                <w:szCs w:val="3"/>
                <w:color w:val="auto"/>
              </w:rPr>
            </w:pPr>
          </w:p>
        </w:tc>
        <w:tc>
          <w:tcPr>
            <w:tcW w:w="120" w:type="dxa"/>
            <w:vAlign w:val="bottom"/>
            <w:shd w:val="clear" w:color="auto" w:fill="EBE1D2"/>
          </w:tcPr>
          <w:p>
            <w:pPr>
              <w:spacing w:after="0"/>
              <w:rPr>
                <w:sz w:val="3"/>
                <w:szCs w:val="3"/>
                <w:color w:val="auto"/>
              </w:rPr>
            </w:pPr>
          </w:p>
        </w:tc>
        <w:tc>
          <w:tcPr>
            <w:tcW w:w="260" w:type="dxa"/>
            <w:vAlign w:val="bottom"/>
            <w:shd w:val="clear" w:color="auto" w:fill="EBE1D2"/>
          </w:tcPr>
          <w:p>
            <w:pPr>
              <w:spacing w:after="0"/>
              <w:rPr>
                <w:sz w:val="3"/>
                <w:szCs w:val="3"/>
                <w:color w:val="auto"/>
              </w:rPr>
            </w:pPr>
          </w:p>
        </w:tc>
        <w:tc>
          <w:tcPr>
            <w:tcW w:w="220" w:type="dxa"/>
            <w:vAlign w:val="bottom"/>
            <w:shd w:val="clear" w:color="auto" w:fill="EBE1D2"/>
          </w:tcPr>
          <w:p>
            <w:pPr>
              <w:spacing w:after="0"/>
              <w:rPr>
                <w:sz w:val="3"/>
                <w:szCs w:val="3"/>
                <w:color w:val="auto"/>
              </w:rPr>
            </w:pPr>
          </w:p>
        </w:tc>
        <w:tc>
          <w:tcPr>
            <w:tcW w:w="6920" w:type="dxa"/>
            <w:vAlign w:val="bottom"/>
            <w:tcBorders>
              <w:right w:val="single" w:sz="8" w:color="BFA071"/>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BFA071"/>
          </w:tcPr>
          <w:p>
            <w:pPr>
              <w:spacing w:after="0"/>
              <w:rPr>
                <w:sz w:val="17"/>
                <w:szCs w:val="17"/>
                <w:color w:val="auto"/>
              </w:rPr>
            </w:pPr>
          </w:p>
        </w:tc>
        <w:tc>
          <w:tcPr>
            <w:tcW w:w="1460" w:type="dxa"/>
            <w:vAlign w:val="bottom"/>
            <w:shd w:val="clear" w:color="auto" w:fill="BFA071"/>
          </w:tcPr>
          <w:p>
            <w:pPr>
              <w:jc w:val="center"/>
              <w:spacing w:after="0" w:line="202" w:lineRule="exact"/>
              <w:rPr>
                <w:sz w:val="20"/>
                <w:szCs w:val="20"/>
                <w:color w:val="auto"/>
              </w:rPr>
            </w:pPr>
            <w:r>
              <w:rPr>
                <w:rFonts w:ascii="Arial" w:cs="Arial" w:eastAsia="Arial" w:hAnsi="Arial"/>
                <w:sz w:val="18"/>
                <w:szCs w:val="18"/>
                <w:b w:val="1"/>
                <w:bCs w:val="1"/>
                <w:color w:val="FFFFFF"/>
                <w:w w:val="99"/>
              </w:rPr>
              <w:t>Composition,</w:t>
            </w:r>
          </w:p>
        </w:tc>
        <w:tc>
          <w:tcPr>
            <w:tcW w:w="100" w:type="dxa"/>
            <w:vAlign w:val="bottom"/>
            <w:shd w:val="clear" w:color="auto" w:fill="BFA071"/>
          </w:tcPr>
          <w:p>
            <w:pPr>
              <w:spacing w:after="0"/>
              <w:rPr>
                <w:sz w:val="17"/>
                <w:szCs w:val="17"/>
                <w:color w:val="auto"/>
              </w:rPr>
            </w:pPr>
          </w:p>
        </w:tc>
        <w:tc>
          <w:tcPr>
            <w:tcW w:w="120" w:type="dxa"/>
            <w:vAlign w:val="bottom"/>
            <w:shd w:val="clear" w:color="auto" w:fill="EBE1D2"/>
          </w:tcPr>
          <w:p>
            <w:pPr>
              <w:spacing w:after="0"/>
              <w:rPr>
                <w:sz w:val="17"/>
                <w:szCs w:val="17"/>
                <w:color w:val="auto"/>
              </w:rPr>
            </w:pPr>
          </w:p>
        </w:tc>
        <w:tc>
          <w:tcPr>
            <w:tcW w:w="260" w:type="dxa"/>
            <w:vAlign w:val="bottom"/>
            <w:shd w:val="clear" w:color="auto" w:fill="EBE1D2"/>
          </w:tcPr>
          <w:p>
            <w:pPr>
              <w:ind w:left="16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shd w:val="clear" w:color="auto" w:fill="EBE1D2"/>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tcBorders>
              <w:right w:val="single" w:sz="8" w:color="BFA071"/>
            </w:tcBorders>
            <w:vMerge w:val="restart"/>
          </w:tcPr>
          <w:p>
            <w:pPr>
              <w:ind w:left="120"/>
              <w:spacing w:after="0"/>
              <w:rPr>
                <w:sz w:val="20"/>
                <w:szCs w:val="20"/>
                <w:color w:val="auto"/>
              </w:rPr>
            </w:pPr>
            <w:r>
              <w:rPr>
                <w:rFonts w:ascii="Arial" w:cs="Arial" w:eastAsia="Arial" w:hAnsi="Arial"/>
                <w:sz w:val="14"/>
                <w:szCs w:val="14"/>
                <w:b w:val="1"/>
                <w:bCs w:val="1"/>
                <w:color w:val="001641"/>
              </w:rPr>
              <w:t>Board evolution efforts to align with corporate strategy plan</w:t>
            </w:r>
          </w:p>
        </w:tc>
        <w:tc>
          <w:tcPr>
            <w:tcW w:w="0" w:type="dxa"/>
            <w:vAlign w:val="bottom"/>
          </w:tcPr>
          <w:p>
            <w:pPr>
              <w:spacing w:after="0"/>
              <w:rPr>
                <w:sz w:val="1"/>
                <w:szCs w:val="1"/>
                <w:color w:val="auto"/>
              </w:rPr>
            </w:pPr>
          </w:p>
        </w:tc>
      </w:tr>
      <w:tr>
        <w:trPr>
          <w:trHeight w:val="98"/>
        </w:trPr>
        <w:tc>
          <w:tcPr>
            <w:tcW w:w="100" w:type="dxa"/>
            <w:vAlign w:val="bottom"/>
            <w:shd w:val="clear" w:color="auto" w:fill="BFA071"/>
          </w:tcPr>
          <w:p>
            <w:pPr>
              <w:spacing w:after="0"/>
              <w:rPr>
                <w:sz w:val="8"/>
                <w:szCs w:val="8"/>
                <w:color w:val="auto"/>
              </w:rPr>
            </w:pPr>
          </w:p>
        </w:tc>
        <w:tc>
          <w:tcPr>
            <w:tcW w:w="1460" w:type="dxa"/>
            <w:vAlign w:val="bottom"/>
            <w:vMerge w:val="restart"/>
            <w:shd w:val="clear" w:color="auto" w:fill="BFA071"/>
          </w:tcPr>
          <w:p>
            <w:pPr>
              <w:jc w:val="center"/>
              <w:spacing w:after="0" w:line="202" w:lineRule="exact"/>
              <w:rPr>
                <w:sz w:val="20"/>
                <w:szCs w:val="20"/>
                <w:color w:val="auto"/>
              </w:rPr>
            </w:pPr>
            <w:r>
              <w:rPr>
                <w:rFonts w:ascii="Arial" w:cs="Arial" w:eastAsia="Arial" w:hAnsi="Arial"/>
                <w:sz w:val="18"/>
                <w:szCs w:val="18"/>
                <w:b w:val="1"/>
                <w:bCs w:val="1"/>
                <w:color w:val="FFFFFF"/>
              </w:rPr>
              <w:t>Policies and</w:t>
            </w:r>
          </w:p>
        </w:tc>
        <w:tc>
          <w:tcPr>
            <w:tcW w:w="100" w:type="dxa"/>
            <w:vAlign w:val="bottom"/>
            <w:shd w:val="clear" w:color="auto" w:fill="BFA071"/>
          </w:tcPr>
          <w:p>
            <w:pPr>
              <w:spacing w:after="0"/>
              <w:rPr>
                <w:sz w:val="8"/>
                <w:szCs w:val="8"/>
                <w:color w:val="auto"/>
              </w:rPr>
            </w:pPr>
          </w:p>
        </w:tc>
        <w:tc>
          <w:tcPr>
            <w:tcW w:w="120" w:type="dxa"/>
            <w:vAlign w:val="bottom"/>
            <w:shd w:val="clear" w:color="auto" w:fill="EBE1D2"/>
          </w:tcPr>
          <w:p>
            <w:pPr>
              <w:spacing w:after="0"/>
              <w:rPr>
                <w:sz w:val="8"/>
                <w:szCs w:val="8"/>
                <w:color w:val="auto"/>
              </w:rPr>
            </w:pPr>
          </w:p>
        </w:tc>
        <w:tc>
          <w:tcPr>
            <w:tcW w:w="260" w:type="dxa"/>
            <w:vAlign w:val="bottom"/>
            <w:shd w:val="clear" w:color="auto" w:fill="EBE1D2"/>
          </w:tcPr>
          <w:p>
            <w:pPr>
              <w:spacing w:after="0"/>
              <w:rPr>
                <w:sz w:val="8"/>
                <w:szCs w:val="8"/>
                <w:color w:val="auto"/>
              </w:rPr>
            </w:pPr>
          </w:p>
        </w:tc>
        <w:tc>
          <w:tcPr>
            <w:tcW w:w="220" w:type="dxa"/>
            <w:vAlign w:val="bottom"/>
            <w:shd w:val="clear" w:color="auto" w:fill="EBE1D2"/>
          </w:tcPr>
          <w:p>
            <w:pPr>
              <w:spacing w:after="0"/>
              <w:rPr>
                <w:sz w:val="8"/>
                <w:szCs w:val="8"/>
                <w:color w:val="auto"/>
              </w:rPr>
            </w:pPr>
          </w:p>
        </w:tc>
        <w:tc>
          <w:tcPr>
            <w:tcW w:w="6920" w:type="dxa"/>
            <w:vAlign w:val="bottom"/>
            <w:tcBorders>
              <w:right w:val="single" w:sz="8" w:color="BFA071"/>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100" w:type="dxa"/>
            <w:vAlign w:val="bottom"/>
            <w:tcBorders>
              <w:bottom w:val="single" w:sz="8" w:color="BFA071"/>
            </w:tcBorders>
            <w:shd w:val="clear" w:color="auto" w:fill="BFA071"/>
          </w:tcPr>
          <w:p>
            <w:pPr>
              <w:spacing w:after="0"/>
              <w:rPr>
                <w:sz w:val="13"/>
                <w:szCs w:val="13"/>
                <w:color w:val="auto"/>
              </w:rPr>
            </w:pPr>
          </w:p>
        </w:tc>
        <w:tc>
          <w:tcPr>
            <w:tcW w:w="1460" w:type="dxa"/>
            <w:vAlign w:val="bottom"/>
            <w:tcBorders>
              <w:bottom w:val="single" w:sz="8" w:color="BFA071"/>
            </w:tcBorders>
            <w:vMerge w:val="continue"/>
            <w:shd w:val="clear" w:color="auto" w:fill="BFA071"/>
          </w:tcPr>
          <w:p>
            <w:pPr>
              <w:spacing w:after="0"/>
              <w:rPr>
                <w:sz w:val="13"/>
                <w:szCs w:val="13"/>
                <w:color w:val="auto"/>
              </w:rPr>
            </w:pPr>
          </w:p>
        </w:tc>
        <w:tc>
          <w:tcPr>
            <w:tcW w:w="100" w:type="dxa"/>
            <w:vAlign w:val="bottom"/>
            <w:tcBorders>
              <w:bottom w:val="single" w:sz="8" w:color="BFA071"/>
            </w:tcBorders>
            <w:shd w:val="clear" w:color="auto" w:fill="BFA071"/>
          </w:tcPr>
          <w:p>
            <w:pPr>
              <w:spacing w:after="0"/>
              <w:rPr>
                <w:sz w:val="13"/>
                <w:szCs w:val="13"/>
                <w:color w:val="auto"/>
              </w:rPr>
            </w:pPr>
          </w:p>
        </w:tc>
        <w:tc>
          <w:tcPr>
            <w:tcW w:w="120" w:type="dxa"/>
            <w:vAlign w:val="bottom"/>
            <w:tcBorders>
              <w:bottom w:val="single" w:sz="8" w:color="EBE1D2"/>
            </w:tcBorders>
            <w:shd w:val="clear" w:color="auto" w:fill="EBE1D2"/>
          </w:tcPr>
          <w:p>
            <w:pPr>
              <w:spacing w:after="0"/>
              <w:rPr>
                <w:sz w:val="13"/>
                <w:szCs w:val="13"/>
                <w:color w:val="auto"/>
              </w:rPr>
            </w:pPr>
          </w:p>
        </w:tc>
        <w:tc>
          <w:tcPr>
            <w:tcW w:w="260" w:type="dxa"/>
            <w:vAlign w:val="bottom"/>
            <w:tcBorders>
              <w:bottom w:val="single" w:sz="8" w:color="EBE1D2"/>
            </w:tcBorders>
            <w:shd w:val="clear" w:color="auto" w:fill="EBE1D2"/>
          </w:tcPr>
          <w:p>
            <w:pPr>
              <w:spacing w:after="0"/>
              <w:rPr>
                <w:sz w:val="13"/>
                <w:szCs w:val="13"/>
                <w:color w:val="auto"/>
              </w:rPr>
            </w:pPr>
          </w:p>
        </w:tc>
        <w:tc>
          <w:tcPr>
            <w:tcW w:w="220" w:type="dxa"/>
            <w:vAlign w:val="bottom"/>
            <w:tcBorders>
              <w:bottom w:val="single" w:sz="8" w:color="EBE1D2"/>
            </w:tcBorders>
            <w:shd w:val="clear" w:color="auto" w:fill="EBE1D2"/>
          </w:tcPr>
          <w:p>
            <w:pPr>
              <w:spacing w:after="0"/>
              <w:rPr>
                <w:sz w:val="13"/>
                <w:szCs w:val="13"/>
                <w:color w:val="auto"/>
              </w:rPr>
            </w:pPr>
          </w:p>
        </w:tc>
        <w:tc>
          <w:tcPr>
            <w:tcW w:w="6920" w:type="dxa"/>
            <w:vAlign w:val="bottom"/>
            <w:tcBorders>
              <w:right w:val="single" w:sz="8" w:color="BFA071"/>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00" w:type="dxa"/>
            <w:vAlign w:val="bottom"/>
            <w:tcBorders>
              <w:top w:val="single" w:sz="8" w:color="BFA071"/>
            </w:tcBorders>
            <w:shd w:val="clear" w:color="auto" w:fill="BFA071"/>
          </w:tcPr>
          <w:p>
            <w:pPr>
              <w:spacing w:after="0"/>
              <w:rPr>
                <w:sz w:val="15"/>
                <w:szCs w:val="15"/>
                <w:color w:val="auto"/>
              </w:rPr>
            </w:pPr>
          </w:p>
        </w:tc>
        <w:tc>
          <w:tcPr>
            <w:tcW w:w="1460" w:type="dxa"/>
            <w:vAlign w:val="bottom"/>
            <w:tcBorders>
              <w:top w:val="single" w:sz="8" w:color="BFA071"/>
            </w:tcBorders>
            <w:shd w:val="clear" w:color="auto" w:fill="BFA071"/>
          </w:tcPr>
          <w:p>
            <w:pPr>
              <w:jc w:val="center"/>
              <w:spacing w:after="0" w:line="181" w:lineRule="exact"/>
              <w:rPr>
                <w:sz w:val="20"/>
                <w:szCs w:val="20"/>
                <w:color w:val="auto"/>
              </w:rPr>
            </w:pPr>
            <w:r>
              <w:rPr>
                <w:rFonts w:ascii="Arial" w:cs="Arial" w:eastAsia="Arial" w:hAnsi="Arial"/>
                <w:sz w:val="18"/>
                <w:szCs w:val="18"/>
                <w:b w:val="1"/>
                <w:bCs w:val="1"/>
                <w:color w:val="FFFFFF"/>
                <w:w w:val="99"/>
              </w:rPr>
              <w:t>Practices</w:t>
            </w:r>
          </w:p>
        </w:tc>
        <w:tc>
          <w:tcPr>
            <w:tcW w:w="100" w:type="dxa"/>
            <w:vAlign w:val="bottom"/>
            <w:tcBorders>
              <w:top w:val="single" w:sz="8" w:color="BFA071"/>
            </w:tcBorders>
            <w:shd w:val="clear" w:color="auto" w:fill="BFA071"/>
          </w:tcPr>
          <w:p>
            <w:pPr>
              <w:spacing w:after="0"/>
              <w:rPr>
                <w:sz w:val="15"/>
                <w:szCs w:val="15"/>
                <w:color w:val="auto"/>
              </w:rPr>
            </w:pPr>
          </w:p>
        </w:tc>
        <w:tc>
          <w:tcPr>
            <w:tcW w:w="120" w:type="dxa"/>
            <w:vAlign w:val="bottom"/>
            <w:tcBorders>
              <w:top w:val="single" w:sz="8" w:color="BFA071"/>
            </w:tcBorders>
            <w:shd w:val="clear" w:color="auto" w:fill="EBE1D2"/>
          </w:tcPr>
          <w:p>
            <w:pPr>
              <w:spacing w:after="0"/>
              <w:rPr>
                <w:sz w:val="15"/>
                <w:szCs w:val="15"/>
                <w:color w:val="auto"/>
              </w:rPr>
            </w:pPr>
          </w:p>
        </w:tc>
        <w:tc>
          <w:tcPr>
            <w:tcW w:w="260" w:type="dxa"/>
            <w:vAlign w:val="bottom"/>
            <w:tcBorders>
              <w:top w:val="single" w:sz="8" w:color="BFA071"/>
            </w:tcBorders>
            <w:vMerge w:val="restart"/>
            <w:shd w:val="clear" w:color="auto" w:fill="EBE1D2"/>
          </w:tcPr>
          <w:p>
            <w:pPr>
              <w:ind w:left="16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tcBorders>
              <w:top w:val="single" w:sz="8" w:color="BFA071"/>
            </w:tcBorders>
            <w:vMerge w:val="restart"/>
            <w:shd w:val="clear" w:color="auto" w:fill="EBE1D2"/>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tcBorders>
              <w:top w:val="single" w:sz="8" w:color="BFA071"/>
              <w:right w:val="single" w:sz="8" w:color="BFA071"/>
            </w:tcBorders>
            <w:vMerge w:val="restart"/>
          </w:tcPr>
          <w:p>
            <w:pPr>
              <w:ind w:left="120"/>
              <w:spacing w:after="0"/>
              <w:rPr>
                <w:sz w:val="20"/>
                <w:szCs w:val="20"/>
                <w:color w:val="auto"/>
              </w:rPr>
            </w:pPr>
            <w:r>
              <w:rPr>
                <w:rFonts w:ascii="Arial" w:cs="Arial" w:eastAsia="Arial" w:hAnsi="Arial"/>
                <w:sz w:val="14"/>
                <w:szCs w:val="14"/>
                <w:b w:val="1"/>
                <w:bCs w:val="1"/>
                <w:color w:val="001641"/>
              </w:rPr>
              <w:t>Limits on outside board and audit committee service</w:t>
            </w:r>
          </w:p>
        </w:tc>
        <w:tc>
          <w:tcPr>
            <w:tcW w:w="0" w:type="dxa"/>
            <w:vAlign w:val="bottom"/>
          </w:tcPr>
          <w:p>
            <w:pPr>
              <w:spacing w:after="0"/>
              <w:rPr>
                <w:sz w:val="1"/>
                <w:szCs w:val="1"/>
                <w:color w:val="auto"/>
              </w:rPr>
            </w:pPr>
          </w:p>
        </w:tc>
      </w:tr>
      <w:tr>
        <w:trPr>
          <w:trHeight w:val="94"/>
        </w:trPr>
        <w:tc>
          <w:tcPr>
            <w:tcW w:w="100" w:type="dxa"/>
            <w:vAlign w:val="bottom"/>
            <w:shd w:val="clear" w:color="auto" w:fill="BFA071"/>
          </w:tcPr>
          <w:p>
            <w:pPr>
              <w:spacing w:after="0"/>
              <w:rPr>
                <w:sz w:val="8"/>
                <w:szCs w:val="8"/>
                <w:color w:val="auto"/>
              </w:rPr>
            </w:pPr>
          </w:p>
        </w:tc>
        <w:tc>
          <w:tcPr>
            <w:tcW w:w="1460" w:type="dxa"/>
            <w:vAlign w:val="bottom"/>
            <w:shd w:val="clear" w:color="auto" w:fill="BFA071"/>
          </w:tcPr>
          <w:p>
            <w:pPr>
              <w:spacing w:after="0"/>
              <w:rPr>
                <w:sz w:val="8"/>
                <w:szCs w:val="8"/>
                <w:color w:val="auto"/>
              </w:rPr>
            </w:pPr>
          </w:p>
        </w:tc>
        <w:tc>
          <w:tcPr>
            <w:tcW w:w="100" w:type="dxa"/>
            <w:vAlign w:val="bottom"/>
            <w:shd w:val="clear" w:color="auto" w:fill="BFA071"/>
          </w:tcPr>
          <w:p>
            <w:pPr>
              <w:spacing w:after="0"/>
              <w:rPr>
                <w:sz w:val="8"/>
                <w:szCs w:val="8"/>
                <w:color w:val="auto"/>
              </w:rPr>
            </w:pPr>
          </w:p>
        </w:tc>
        <w:tc>
          <w:tcPr>
            <w:tcW w:w="120" w:type="dxa"/>
            <w:vAlign w:val="bottom"/>
            <w:shd w:val="clear" w:color="auto" w:fill="EBE1D2"/>
          </w:tcPr>
          <w:p>
            <w:pPr>
              <w:spacing w:after="0"/>
              <w:rPr>
                <w:sz w:val="8"/>
                <w:szCs w:val="8"/>
                <w:color w:val="auto"/>
              </w:rPr>
            </w:pPr>
          </w:p>
        </w:tc>
        <w:tc>
          <w:tcPr>
            <w:tcW w:w="260" w:type="dxa"/>
            <w:vAlign w:val="bottom"/>
            <w:vMerge w:val="continue"/>
            <w:shd w:val="clear" w:color="auto" w:fill="EBE1D2"/>
          </w:tcPr>
          <w:p>
            <w:pPr>
              <w:spacing w:after="0"/>
              <w:rPr>
                <w:sz w:val="8"/>
                <w:szCs w:val="8"/>
                <w:color w:val="auto"/>
              </w:rPr>
            </w:pPr>
          </w:p>
        </w:tc>
        <w:tc>
          <w:tcPr>
            <w:tcW w:w="220" w:type="dxa"/>
            <w:vAlign w:val="bottom"/>
            <w:vMerge w:val="continue"/>
            <w:shd w:val="clear" w:color="auto" w:fill="EBE1D2"/>
          </w:tcPr>
          <w:p>
            <w:pPr>
              <w:spacing w:after="0"/>
              <w:rPr>
                <w:sz w:val="8"/>
                <w:szCs w:val="8"/>
                <w:color w:val="auto"/>
              </w:rPr>
            </w:pPr>
          </w:p>
        </w:tc>
        <w:tc>
          <w:tcPr>
            <w:tcW w:w="6920" w:type="dxa"/>
            <w:vAlign w:val="bottom"/>
            <w:tcBorders>
              <w:right w:val="single" w:sz="8" w:color="BFA071"/>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00" w:type="dxa"/>
            <w:vAlign w:val="bottom"/>
            <w:shd w:val="clear" w:color="auto" w:fill="BFA071"/>
          </w:tcPr>
          <w:p>
            <w:pPr>
              <w:spacing w:after="0"/>
              <w:rPr>
                <w:sz w:val="5"/>
                <w:szCs w:val="5"/>
                <w:color w:val="auto"/>
              </w:rPr>
            </w:pPr>
          </w:p>
        </w:tc>
        <w:tc>
          <w:tcPr>
            <w:tcW w:w="1460" w:type="dxa"/>
            <w:vAlign w:val="bottom"/>
            <w:shd w:val="clear" w:color="auto" w:fill="BFA071"/>
          </w:tcPr>
          <w:p>
            <w:pPr>
              <w:spacing w:after="0"/>
              <w:rPr>
                <w:sz w:val="5"/>
                <w:szCs w:val="5"/>
                <w:color w:val="auto"/>
              </w:rPr>
            </w:pPr>
          </w:p>
        </w:tc>
        <w:tc>
          <w:tcPr>
            <w:tcW w:w="100" w:type="dxa"/>
            <w:vAlign w:val="bottom"/>
            <w:shd w:val="clear" w:color="auto" w:fill="BFA071"/>
          </w:tcPr>
          <w:p>
            <w:pPr>
              <w:spacing w:after="0"/>
              <w:rPr>
                <w:sz w:val="5"/>
                <w:szCs w:val="5"/>
                <w:color w:val="auto"/>
              </w:rPr>
            </w:pPr>
          </w:p>
        </w:tc>
        <w:tc>
          <w:tcPr>
            <w:tcW w:w="120" w:type="dxa"/>
            <w:vAlign w:val="bottom"/>
            <w:shd w:val="clear" w:color="auto" w:fill="EBE1D2"/>
          </w:tcPr>
          <w:p>
            <w:pPr>
              <w:spacing w:after="0"/>
              <w:rPr>
                <w:sz w:val="5"/>
                <w:szCs w:val="5"/>
                <w:color w:val="auto"/>
              </w:rPr>
            </w:pPr>
          </w:p>
        </w:tc>
        <w:tc>
          <w:tcPr>
            <w:tcW w:w="260" w:type="dxa"/>
            <w:vAlign w:val="bottom"/>
            <w:shd w:val="clear" w:color="auto" w:fill="EBE1D2"/>
          </w:tcPr>
          <w:p>
            <w:pPr>
              <w:spacing w:after="0"/>
              <w:rPr>
                <w:sz w:val="5"/>
                <w:szCs w:val="5"/>
                <w:color w:val="auto"/>
              </w:rPr>
            </w:pPr>
          </w:p>
        </w:tc>
        <w:tc>
          <w:tcPr>
            <w:tcW w:w="220" w:type="dxa"/>
            <w:vAlign w:val="bottom"/>
            <w:shd w:val="clear" w:color="auto" w:fill="EBE1D2"/>
          </w:tcPr>
          <w:p>
            <w:pPr>
              <w:spacing w:after="0"/>
              <w:rPr>
                <w:sz w:val="5"/>
                <w:szCs w:val="5"/>
                <w:color w:val="auto"/>
              </w:rPr>
            </w:pPr>
          </w:p>
        </w:tc>
        <w:tc>
          <w:tcPr>
            <w:tcW w:w="6920" w:type="dxa"/>
            <w:vAlign w:val="bottom"/>
            <w:tcBorders>
              <w:right w:val="single" w:sz="8" w:color="BFA071"/>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00" w:type="dxa"/>
            <w:vAlign w:val="bottom"/>
            <w:tcBorders>
              <w:bottom w:val="single" w:sz="8" w:color="BFA071"/>
            </w:tcBorders>
            <w:shd w:val="clear" w:color="auto" w:fill="BFA071"/>
          </w:tcPr>
          <w:p>
            <w:pPr>
              <w:spacing w:after="0"/>
              <w:rPr>
                <w:sz w:val="13"/>
                <w:szCs w:val="13"/>
                <w:color w:val="auto"/>
              </w:rPr>
            </w:pPr>
          </w:p>
        </w:tc>
        <w:tc>
          <w:tcPr>
            <w:tcW w:w="1460" w:type="dxa"/>
            <w:vAlign w:val="bottom"/>
            <w:tcBorders>
              <w:bottom w:val="single" w:sz="8" w:color="BFA071"/>
            </w:tcBorders>
            <w:shd w:val="clear" w:color="auto" w:fill="BFA071"/>
          </w:tcPr>
          <w:p>
            <w:pPr>
              <w:spacing w:after="0"/>
              <w:rPr>
                <w:sz w:val="13"/>
                <w:szCs w:val="13"/>
                <w:color w:val="auto"/>
              </w:rPr>
            </w:pPr>
          </w:p>
        </w:tc>
        <w:tc>
          <w:tcPr>
            <w:tcW w:w="100" w:type="dxa"/>
            <w:vAlign w:val="bottom"/>
            <w:tcBorders>
              <w:bottom w:val="single" w:sz="8" w:color="BFA071"/>
            </w:tcBorders>
            <w:shd w:val="clear" w:color="auto" w:fill="BFA071"/>
          </w:tcPr>
          <w:p>
            <w:pPr>
              <w:spacing w:after="0"/>
              <w:rPr>
                <w:sz w:val="13"/>
                <w:szCs w:val="13"/>
                <w:color w:val="auto"/>
              </w:rPr>
            </w:pPr>
          </w:p>
        </w:tc>
        <w:tc>
          <w:tcPr>
            <w:tcW w:w="120" w:type="dxa"/>
            <w:vAlign w:val="bottom"/>
            <w:tcBorders>
              <w:bottom w:val="single" w:sz="8" w:color="BFA071"/>
            </w:tcBorders>
            <w:shd w:val="clear" w:color="auto" w:fill="EBE1D2"/>
          </w:tcPr>
          <w:p>
            <w:pPr>
              <w:spacing w:after="0"/>
              <w:rPr>
                <w:sz w:val="13"/>
                <w:szCs w:val="13"/>
                <w:color w:val="auto"/>
              </w:rPr>
            </w:pPr>
          </w:p>
        </w:tc>
        <w:tc>
          <w:tcPr>
            <w:tcW w:w="260" w:type="dxa"/>
            <w:vAlign w:val="bottom"/>
            <w:tcBorders>
              <w:bottom w:val="single" w:sz="8" w:color="BFA071"/>
            </w:tcBorders>
            <w:shd w:val="clear" w:color="auto" w:fill="EBE1D2"/>
          </w:tcPr>
          <w:p>
            <w:pPr>
              <w:spacing w:after="0"/>
              <w:rPr>
                <w:sz w:val="13"/>
                <w:szCs w:val="13"/>
                <w:color w:val="auto"/>
              </w:rPr>
            </w:pPr>
          </w:p>
        </w:tc>
        <w:tc>
          <w:tcPr>
            <w:tcW w:w="220" w:type="dxa"/>
            <w:vAlign w:val="bottom"/>
            <w:tcBorders>
              <w:bottom w:val="single" w:sz="8" w:color="BFA071"/>
            </w:tcBorders>
            <w:shd w:val="clear" w:color="auto" w:fill="EBE1D2"/>
          </w:tcPr>
          <w:p>
            <w:pPr>
              <w:spacing w:after="0"/>
              <w:rPr>
                <w:sz w:val="13"/>
                <w:szCs w:val="13"/>
                <w:color w:val="auto"/>
              </w:rPr>
            </w:pPr>
          </w:p>
        </w:tc>
        <w:tc>
          <w:tcPr>
            <w:tcW w:w="6920" w:type="dxa"/>
            <w:vAlign w:val="bottom"/>
            <w:tcBorders>
              <w:bottom w:val="single" w:sz="8" w:color="BFA071"/>
              <w:right w:val="single" w:sz="8" w:color="BFA071"/>
            </w:tcBorders>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100" w:type="dxa"/>
            <w:vAlign w:val="bottom"/>
            <w:shd w:val="clear" w:color="auto" w:fill="BFA071"/>
          </w:tcPr>
          <w:p>
            <w:pPr>
              <w:spacing w:after="0"/>
              <w:rPr>
                <w:sz w:val="23"/>
                <w:szCs w:val="23"/>
                <w:color w:val="auto"/>
              </w:rPr>
            </w:pPr>
          </w:p>
        </w:tc>
        <w:tc>
          <w:tcPr>
            <w:tcW w:w="1460" w:type="dxa"/>
            <w:vAlign w:val="bottom"/>
            <w:shd w:val="clear" w:color="auto" w:fill="BFA071"/>
          </w:tcPr>
          <w:p>
            <w:pPr>
              <w:spacing w:after="0"/>
              <w:rPr>
                <w:sz w:val="23"/>
                <w:szCs w:val="23"/>
                <w:color w:val="auto"/>
              </w:rPr>
            </w:pPr>
          </w:p>
        </w:tc>
        <w:tc>
          <w:tcPr>
            <w:tcW w:w="100" w:type="dxa"/>
            <w:vAlign w:val="bottom"/>
            <w:shd w:val="clear" w:color="auto" w:fill="BFA071"/>
          </w:tcPr>
          <w:p>
            <w:pPr>
              <w:spacing w:after="0"/>
              <w:rPr>
                <w:sz w:val="23"/>
                <w:szCs w:val="23"/>
                <w:color w:val="auto"/>
              </w:rPr>
            </w:pPr>
          </w:p>
        </w:tc>
        <w:tc>
          <w:tcPr>
            <w:tcW w:w="120" w:type="dxa"/>
            <w:vAlign w:val="bottom"/>
            <w:shd w:val="clear" w:color="auto" w:fill="EBE1D2"/>
          </w:tcPr>
          <w:p>
            <w:pPr>
              <w:spacing w:after="0"/>
              <w:rPr>
                <w:sz w:val="23"/>
                <w:szCs w:val="23"/>
                <w:color w:val="auto"/>
              </w:rPr>
            </w:pPr>
          </w:p>
        </w:tc>
        <w:tc>
          <w:tcPr>
            <w:tcW w:w="260" w:type="dxa"/>
            <w:vAlign w:val="bottom"/>
            <w:shd w:val="clear" w:color="auto" w:fill="EBE1D2"/>
          </w:tcPr>
          <w:p>
            <w:pPr>
              <w:ind w:left="16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shd w:val="clear" w:color="auto" w:fill="EBE1D2"/>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tcBorders>
              <w:right w:val="single" w:sz="8" w:color="BFA071"/>
            </w:tcBorders>
            <w:vMerge w:val="restart"/>
          </w:tcPr>
          <w:p>
            <w:pPr>
              <w:ind w:left="120"/>
              <w:spacing w:after="0"/>
              <w:rPr>
                <w:sz w:val="20"/>
                <w:szCs w:val="20"/>
                <w:color w:val="auto"/>
              </w:rPr>
            </w:pPr>
            <w:r>
              <w:rPr>
                <w:rFonts w:ascii="Arial" w:cs="Arial" w:eastAsia="Arial" w:hAnsi="Arial"/>
                <w:sz w:val="14"/>
                <w:szCs w:val="14"/>
                <w:b w:val="1"/>
                <w:bCs w:val="1"/>
                <w:color w:val="001641"/>
              </w:rPr>
              <w:t>Annual evaluation of each director’s skill sets and experience before nomination</w:t>
            </w:r>
          </w:p>
        </w:tc>
        <w:tc>
          <w:tcPr>
            <w:tcW w:w="0" w:type="dxa"/>
            <w:vAlign w:val="bottom"/>
          </w:tcPr>
          <w:p>
            <w:pPr>
              <w:spacing w:after="0"/>
              <w:rPr>
                <w:sz w:val="1"/>
                <w:szCs w:val="1"/>
                <w:color w:val="auto"/>
              </w:rPr>
            </w:pPr>
          </w:p>
        </w:tc>
      </w:tr>
      <w:tr>
        <w:trPr>
          <w:trHeight w:val="68"/>
        </w:trPr>
        <w:tc>
          <w:tcPr>
            <w:tcW w:w="100" w:type="dxa"/>
            <w:vAlign w:val="bottom"/>
            <w:shd w:val="clear" w:color="auto" w:fill="BFA071"/>
          </w:tcPr>
          <w:p>
            <w:pPr>
              <w:spacing w:after="0"/>
              <w:rPr>
                <w:sz w:val="5"/>
                <w:szCs w:val="5"/>
                <w:color w:val="auto"/>
              </w:rPr>
            </w:pPr>
          </w:p>
        </w:tc>
        <w:tc>
          <w:tcPr>
            <w:tcW w:w="1460" w:type="dxa"/>
            <w:vAlign w:val="bottom"/>
            <w:shd w:val="clear" w:color="auto" w:fill="BFA071"/>
          </w:tcPr>
          <w:p>
            <w:pPr>
              <w:spacing w:after="0"/>
              <w:rPr>
                <w:sz w:val="5"/>
                <w:szCs w:val="5"/>
                <w:color w:val="auto"/>
              </w:rPr>
            </w:pPr>
          </w:p>
        </w:tc>
        <w:tc>
          <w:tcPr>
            <w:tcW w:w="100" w:type="dxa"/>
            <w:vAlign w:val="bottom"/>
            <w:shd w:val="clear" w:color="auto" w:fill="BFA071"/>
          </w:tcPr>
          <w:p>
            <w:pPr>
              <w:spacing w:after="0"/>
              <w:rPr>
                <w:sz w:val="5"/>
                <w:szCs w:val="5"/>
                <w:color w:val="auto"/>
              </w:rPr>
            </w:pPr>
          </w:p>
        </w:tc>
        <w:tc>
          <w:tcPr>
            <w:tcW w:w="120" w:type="dxa"/>
            <w:vAlign w:val="bottom"/>
            <w:shd w:val="clear" w:color="auto" w:fill="EBE1D2"/>
          </w:tcPr>
          <w:p>
            <w:pPr>
              <w:spacing w:after="0"/>
              <w:rPr>
                <w:sz w:val="5"/>
                <w:szCs w:val="5"/>
                <w:color w:val="auto"/>
              </w:rPr>
            </w:pPr>
          </w:p>
        </w:tc>
        <w:tc>
          <w:tcPr>
            <w:tcW w:w="260" w:type="dxa"/>
            <w:vAlign w:val="bottom"/>
            <w:shd w:val="clear" w:color="auto" w:fill="EBE1D2"/>
          </w:tcPr>
          <w:p>
            <w:pPr>
              <w:spacing w:after="0"/>
              <w:rPr>
                <w:sz w:val="5"/>
                <w:szCs w:val="5"/>
                <w:color w:val="auto"/>
              </w:rPr>
            </w:pPr>
          </w:p>
        </w:tc>
        <w:tc>
          <w:tcPr>
            <w:tcW w:w="220" w:type="dxa"/>
            <w:vAlign w:val="bottom"/>
            <w:shd w:val="clear" w:color="auto" w:fill="EBE1D2"/>
          </w:tcPr>
          <w:p>
            <w:pPr>
              <w:spacing w:after="0"/>
              <w:rPr>
                <w:sz w:val="5"/>
                <w:szCs w:val="5"/>
                <w:color w:val="auto"/>
              </w:rPr>
            </w:pPr>
          </w:p>
        </w:tc>
        <w:tc>
          <w:tcPr>
            <w:tcW w:w="6920" w:type="dxa"/>
            <w:vAlign w:val="bottom"/>
            <w:tcBorders>
              <w:right w:val="single" w:sz="8" w:color="BFA071"/>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00" w:type="dxa"/>
            <w:vAlign w:val="bottom"/>
            <w:tcBorders>
              <w:bottom w:val="single" w:sz="8" w:color="BFA071"/>
            </w:tcBorders>
            <w:shd w:val="clear" w:color="auto" w:fill="BFA071"/>
          </w:tcPr>
          <w:p>
            <w:pPr>
              <w:spacing w:after="0"/>
              <w:rPr>
                <w:sz w:val="11"/>
                <w:szCs w:val="11"/>
                <w:color w:val="auto"/>
              </w:rPr>
            </w:pPr>
          </w:p>
        </w:tc>
        <w:tc>
          <w:tcPr>
            <w:tcW w:w="1460" w:type="dxa"/>
            <w:vAlign w:val="bottom"/>
            <w:tcBorders>
              <w:bottom w:val="single" w:sz="8" w:color="BFA071"/>
            </w:tcBorders>
            <w:shd w:val="clear" w:color="auto" w:fill="BFA071"/>
          </w:tcPr>
          <w:p>
            <w:pPr>
              <w:spacing w:after="0"/>
              <w:rPr>
                <w:sz w:val="11"/>
                <w:szCs w:val="11"/>
                <w:color w:val="auto"/>
              </w:rPr>
            </w:pPr>
          </w:p>
        </w:tc>
        <w:tc>
          <w:tcPr>
            <w:tcW w:w="100" w:type="dxa"/>
            <w:vAlign w:val="bottom"/>
            <w:tcBorders>
              <w:bottom w:val="single" w:sz="8" w:color="BFA071"/>
            </w:tcBorders>
            <w:shd w:val="clear" w:color="auto" w:fill="BFA071"/>
          </w:tcPr>
          <w:p>
            <w:pPr>
              <w:spacing w:after="0"/>
              <w:rPr>
                <w:sz w:val="11"/>
                <w:szCs w:val="11"/>
                <w:color w:val="auto"/>
              </w:rPr>
            </w:pPr>
          </w:p>
        </w:tc>
        <w:tc>
          <w:tcPr>
            <w:tcW w:w="120" w:type="dxa"/>
            <w:vAlign w:val="bottom"/>
            <w:tcBorders>
              <w:bottom w:val="single" w:sz="8" w:color="BFA071"/>
            </w:tcBorders>
            <w:shd w:val="clear" w:color="auto" w:fill="EBE1D2"/>
          </w:tcPr>
          <w:p>
            <w:pPr>
              <w:spacing w:after="0"/>
              <w:rPr>
                <w:sz w:val="11"/>
                <w:szCs w:val="11"/>
                <w:color w:val="auto"/>
              </w:rPr>
            </w:pPr>
          </w:p>
        </w:tc>
        <w:tc>
          <w:tcPr>
            <w:tcW w:w="260" w:type="dxa"/>
            <w:vAlign w:val="bottom"/>
            <w:tcBorders>
              <w:bottom w:val="single" w:sz="8" w:color="BFA071"/>
            </w:tcBorders>
            <w:shd w:val="clear" w:color="auto" w:fill="EBE1D2"/>
          </w:tcPr>
          <w:p>
            <w:pPr>
              <w:spacing w:after="0"/>
              <w:rPr>
                <w:sz w:val="11"/>
                <w:szCs w:val="11"/>
                <w:color w:val="auto"/>
              </w:rPr>
            </w:pPr>
          </w:p>
        </w:tc>
        <w:tc>
          <w:tcPr>
            <w:tcW w:w="220" w:type="dxa"/>
            <w:vAlign w:val="bottom"/>
            <w:tcBorders>
              <w:bottom w:val="single" w:sz="8" w:color="BFA071"/>
            </w:tcBorders>
            <w:shd w:val="clear" w:color="auto" w:fill="EBE1D2"/>
          </w:tcPr>
          <w:p>
            <w:pPr>
              <w:spacing w:after="0"/>
              <w:rPr>
                <w:sz w:val="11"/>
                <w:szCs w:val="11"/>
                <w:color w:val="auto"/>
              </w:rPr>
            </w:pPr>
          </w:p>
        </w:tc>
        <w:tc>
          <w:tcPr>
            <w:tcW w:w="6920" w:type="dxa"/>
            <w:vAlign w:val="bottom"/>
            <w:tcBorders>
              <w:bottom w:val="single" w:sz="8" w:color="BFA071"/>
              <w:right w:val="single" w:sz="8" w:color="BFA071"/>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00" w:type="dxa"/>
            <w:vAlign w:val="bottom"/>
            <w:shd w:val="clear" w:color="auto" w:fill="BFA071"/>
          </w:tcPr>
          <w:p>
            <w:pPr>
              <w:spacing w:after="0"/>
              <w:rPr>
                <w:sz w:val="10"/>
                <w:szCs w:val="10"/>
                <w:color w:val="auto"/>
              </w:rPr>
            </w:pPr>
          </w:p>
        </w:tc>
        <w:tc>
          <w:tcPr>
            <w:tcW w:w="1460" w:type="dxa"/>
            <w:vAlign w:val="bottom"/>
            <w:shd w:val="clear" w:color="auto" w:fill="BFA071"/>
          </w:tcPr>
          <w:p>
            <w:pPr>
              <w:spacing w:after="0"/>
              <w:rPr>
                <w:sz w:val="10"/>
                <w:szCs w:val="10"/>
                <w:color w:val="auto"/>
              </w:rPr>
            </w:pPr>
          </w:p>
        </w:tc>
        <w:tc>
          <w:tcPr>
            <w:tcW w:w="100" w:type="dxa"/>
            <w:vAlign w:val="bottom"/>
            <w:shd w:val="clear" w:color="auto" w:fill="BFA071"/>
          </w:tcPr>
          <w:p>
            <w:pPr>
              <w:spacing w:after="0"/>
              <w:rPr>
                <w:sz w:val="10"/>
                <w:szCs w:val="10"/>
                <w:color w:val="auto"/>
              </w:rPr>
            </w:pPr>
          </w:p>
        </w:tc>
        <w:tc>
          <w:tcPr>
            <w:tcW w:w="120" w:type="dxa"/>
            <w:vAlign w:val="bottom"/>
            <w:shd w:val="clear" w:color="auto" w:fill="EBE1D2"/>
          </w:tcPr>
          <w:p>
            <w:pPr>
              <w:spacing w:after="0"/>
              <w:rPr>
                <w:sz w:val="10"/>
                <w:szCs w:val="10"/>
                <w:color w:val="auto"/>
              </w:rPr>
            </w:pPr>
          </w:p>
        </w:tc>
        <w:tc>
          <w:tcPr>
            <w:tcW w:w="260" w:type="dxa"/>
            <w:vAlign w:val="bottom"/>
            <w:shd w:val="clear" w:color="auto" w:fill="EBE1D2"/>
          </w:tcPr>
          <w:p>
            <w:pPr>
              <w:spacing w:after="0"/>
              <w:rPr>
                <w:sz w:val="10"/>
                <w:szCs w:val="10"/>
                <w:color w:val="auto"/>
              </w:rPr>
            </w:pPr>
          </w:p>
        </w:tc>
        <w:tc>
          <w:tcPr>
            <w:tcW w:w="220" w:type="dxa"/>
            <w:vAlign w:val="bottom"/>
            <w:shd w:val="clear" w:color="auto" w:fill="EBE1D2"/>
          </w:tcPr>
          <w:p>
            <w:pPr>
              <w:spacing w:after="0"/>
              <w:rPr>
                <w:sz w:val="10"/>
                <w:szCs w:val="10"/>
                <w:color w:val="auto"/>
              </w:rPr>
            </w:pPr>
          </w:p>
        </w:tc>
        <w:tc>
          <w:tcPr>
            <w:tcW w:w="6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-1542415</wp:posOffset>
            </wp:positionV>
            <wp:extent cx="231140" cy="2311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-2022475</wp:posOffset>
            </wp:positionV>
            <wp:extent cx="137160" cy="1028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-1696720</wp:posOffset>
            </wp:positionV>
            <wp:extent cx="137160" cy="1028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-1370965</wp:posOffset>
            </wp:positionV>
            <wp:extent cx="137160" cy="1028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-1045210</wp:posOffset>
            </wp:positionV>
            <wp:extent cx="137160" cy="1028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-719455</wp:posOffset>
            </wp:positionV>
            <wp:extent cx="137160" cy="1028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5833110" cy="34055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33110" cy="340550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FFFFFF"/>
        </w:rPr>
        <w:t>Actively</w:t>
      </w:r>
    </w:p>
    <w:p>
      <w:pPr>
        <w:ind w:left="160"/>
        <w:spacing w:after="0"/>
        <w:rPr>
          <w:sz w:val="20"/>
          <w:szCs w:val="20"/>
          <w:color w:val="auto"/>
        </w:rPr>
      </w:pPr>
      <w:r>
        <w:rPr>
          <w:rFonts w:ascii="Arial" w:cs="Arial" w:eastAsia="Arial" w:hAnsi="Arial"/>
          <w:sz w:val="18"/>
          <w:szCs w:val="18"/>
          <w:b w:val="1"/>
          <w:bCs w:val="1"/>
          <w:color w:val="FFFFFF"/>
        </w:rPr>
        <w:t>Engaged Board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440" w:right="200" w:hanging="435"/>
        <w:spacing w:after="0" w:line="294" w:lineRule="auto"/>
        <w:tabs>
          <w:tab w:leader="none" w:pos="159" w:val="left"/>
        </w:tabs>
        <w:numPr>
          <w:ilvl w:val="0"/>
          <w:numId w:val="17"/>
        </w:numPr>
        <w:rPr>
          <w:rFonts w:ascii="Arial" w:cs="Arial" w:eastAsia="Arial" w:hAnsi="Arial"/>
          <w:sz w:val="14"/>
          <w:szCs w:val="14"/>
          <w:b w:val="1"/>
          <w:bCs w:val="1"/>
          <w:color w:val="001641"/>
        </w:rPr>
      </w:pPr>
      <w:r>
        <w:rPr>
          <w:rFonts w:ascii="Arial" w:cs="Arial" w:eastAsia="Arial" w:hAnsi="Arial"/>
          <w:sz w:val="14"/>
          <w:szCs w:val="14"/>
          <w:b w:val="1"/>
          <w:bCs w:val="1"/>
          <w:color w:val="001641"/>
        </w:rPr>
        <w:t>   Regular executive sessions of independent directors, with executive sessions scheduled both at the start and the end of each regular Board meeting</w:t>
      </w:r>
    </w:p>
    <w:p>
      <w:pPr>
        <w:spacing w:after="0" w:line="199" w:lineRule="exact"/>
        <w:rPr>
          <w:rFonts w:ascii="Arial" w:cs="Arial" w:eastAsia="Arial" w:hAnsi="Arial"/>
          <w:sz w:val="14"/>
          <w:szCs w:val="14"/>
          <w:b w:val="1"/>
          <w:bCs w:val="1"/>
          <w:color w:val="001641"/>
        </w:rPr>
      </w:pPr>
    </w:p>
    <w:p>
      <w:pPr>
        <w:ind w:left="440" w:right="800" w:hanging="435"/>
        <w:spacing w:after="0" w:line="294" w:lineRule="auto"/>
        <w:tabs>
          <w:tab w:leader="none" w:pos="159" w:val="left"/>
        </w:tabs>
        <w:numPr>
          <w:ilvl w:val="0"/>
          <w:numId w:val="17"/>
        </w:numPr>
        <w:rPr>
          <w:rFonts w:ascii="Arial" w:cs="Arial" w:eastAsia="Arial" w:hAnsi="Arial"/>
          <w:sz w:val="14"/>
          <w:szCs w:val="14"/>
          <w:b w:val="1"/>
          <w:bCs w:val="1"/>
          <w:color w:val="001641"/>
        </w:rPr>
      </w:pPr>
      <w:r>
        <w:rPr>
          <w:rFonts w:ascii="Arial" w:cs="Arial" w:eastAsia="Arial" w:hAnsi="Arial"/>
          <w:sz w:val="14"/>
          <w:szCs w:val="14"/>
          <w:b w:val="1"/>
          <w:bCs w:val="1"/>
          <w:color w:val="001641"/>
        </w:rPr>
        <w:t>   Annual Board and Committee self-evaluations led by the Lead Independent Director and independent Committee Chairs</w:t>
      </w:r>
    </w:p>
    <w:p>
      <w:pPr>
        <w:spacing w:after="0" w:line="159" w:lineRule="exact"/>
        <w:rPr>
          <w:rFonts w:ascii="Arial" w:cs="Arial" w:eastAsia="Arial" w:hAnsi="Arial"/>
          <w:sz w:val="14"/>
          <w:szCs w:val="14"/>
          <w:b w:val="1"/>
          <w:bCs w:val="1"/>
          <w:color w:val="001641"/>
        </w:rPr>
      </w:pPr>
    </w:p>
    <w:p>
      <w:pPr>
        <w:ind w:left="440" w:right="380" w:hanging="435"/>
        <w:spacing w:after="0" w:line="294" w:lineRule="auto"/>
        <w:tabs>
          <w:tab w:leader="none" w:pos="159" w:val="left"/>
        </w:tabs>
        <w:numPr>
          <w:ilvl w:val="0"/>
          <w:numId w:val="17"/>
        </w:numPr>
        <w:rPr>
          <w:rFonts w:ascii="Arial" w:cs="Arial" w:eastAsia="Arial" w:hAnsi="Arial"/>
          <w:sz w:val="14"/>
          <w:szCs w:val="14"/>
          <w:b w:val="1"/>
          <w:bCs w:val="1"/>
          <w:color w:val="001641"/>
        </w:rPr>
      </w:pPr>
      <w:r>
        <w:rPr>
          <w:rFonts w:ascii="Arial" w:cs="Arial" w:eastAsia="Arial" w:hAnsi="Arial"/>
          <w:sz w:val="14"/>
          <w:szCs w:val="14"/>
          <w:b w:val="1"/>
          <w:bCs w:val="1"/>
          <w:color w:val="001641"/>
        </w:rPr>
        <w:t>   Independent third-party evaluation of Board effectiveness at least every three years, including most recently in Fiscal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 w:type="dxa"/>
            <w:vAlign w:val="bottom"/>
          </w:tcPr>
          <w:p>
            <w:pPr>
              <w:spacing w:after="0"/>
              <w:rPr>
                <w:sz w:val="20"/>
                <w:szCs w:val="20"/>
                <w:color w:val="auto"/>
              </w:rPr>
            </w:pPr>
            <w:r>
              <w:rPr>
                <w:rFonts w:ascii="Arial" w:cs="Arial" w:eastAsia="Arial" w:hAnsi="Arial"/>
                <w:sz w:val="14"/>
                <w:szCs w:val="14"/>
                <w:b w:val="1"/>
                <w:bCs w:val="1"/>
                <w:color w:val="001641"/>
              </w:rPr>
              <w:t>     </w:t>
            </w:r>
          </w:p>
        </w:tc>
        <w:tc>
          <w:tcPr>
            <w:tcW w:w="6000" w:type="dxa"/>
            <w:vAlign w:val="bottom"/>
            <w:vMerge w:val="restart"/>
          </w:tcPr>
          <w:p>
            <w:pPr>
              <w:ind w:left="120"/>
              <w:spacing w:after="0"/>
              <w:rPr>
                <w:sz w:val="20"/>
                <w:szCs w:val="20"/>
                <w:color w:val="auto"/>
              </w:rPr>
            </w:pPr>
            <w:r>
              <w:rPr>
                <w:rFonts w:ascii="Arial" w:cs="Arial" w:eastAsia="Arial" w:hAnsi="Arial"/>
                <w:sz w:val="14"/>
                <w:szCs w:val="14"/>
                <w:b w:val="1"/>
                <w:bCs w:val="1"/>
                <w:color w:val="001641"/>
              </w:rPr>
              <w:t>Annual review of dual-class structure to align with stockholder interests and feedback</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6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001641"/>
        </w:rPr>
        <w:t>Enhanced engagement in strategy, including periodic strategic special meetings to provide</w:t>
      </w:r>
    </w:p>
    <w:p>
      <w:pPr>
        <w:spacing w:after="0" w:line="15" w:lineRule="exact"/>
        <w:rPr>
          <w:sz w:val="20"/>
          <w:szCs w:val="20"/>
          <w:color w:val="auto"/>
        </w:rPr>
      </w:pPr>
    </w:p>
    <w:p>
      <w:pPr>
        <w:ind w:left="440" w:right="300" w:hanging="435"/>
        <w:spacing w:after="0" w:line="257" w:lineRule="auto"/>
        <w:tabs>
          <w:tab w:leader="none" w:pos="159" w:val="left"/>
        </w:tabs>
        <w:numPr>
          <w:ilvl w:val="0"/>
          <w:numId w:val="18"/>
        </w:numPr>
        <w:rPr>
          <w:rFonts w:ascii="Arial" w:cs="Arial" w:eastAsia="Arial" w:hAnsi="Arial"/>
          <w:sz w:val="14"/>
          <w:szCs w:val="14"/>
          <w:b w:val="1"/>
          <w:bCs w:val="1"/>
          <w:color w:val="001641"/>
        </w:rPr>
      </w:pPr>
      <w:r>
        <w:rPr>
          <w:rFonts w:ascii="Arial" w:cs="Arial" w:eastAsia="Arial" w:hAnsi="Arial"/>
          <w:sz w:val="14"/>
          <w:szCs w:val="14"/>
          <w:b w:val="1"/>
          <w:bCs w:val="1"/>
          <w:color w:val="001641"/>
        </w:rPr>
        <w:t>   oversight on strategic priorities and growth drivers, with increased access to various levels of management and regional ecosystem immersion field tours across all regions, most recently in North America and Europe</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001641"/>
        </w:rPr>
        <w:t>Active engagement with human capital management as part of corporate culture and active</w:t>
      </w:r>
    </w:p>
    <w:p>
      <w:pPr>
        <w:spacing w:after="0"/>
        <w:tabs>
          <w:tab w:leader="none" w:pos="420" w:val="left"/>
        </w:tabs>
        <w:rPr>
          <w:sz w:val="20"/>
          <w:szCs w:val="20"/>
          <w:color w:val="auto"/>
        </w:rPr>
      </w:pPr>
      <w:r>
        <w:rPr>
          <w:rFonts w:ascii="Arial" w:cs="Arial" w:eastAsia="Arial" w:hAnsi="Arial"/>
          <w:sz w:val="20"/>
          <w:szCs w:val="20"/>
          <w:b w:val="1"/>
          <w:bCs w:val="1"/>
          <w:color w:val="001641"/>
          <w:vertAlign w:val="superscript"/>
        </w:rPr>
        <w:t xml:space="preserve">     </w:t>
      </w:r>
      <w:r>
        <w:rPr>
          <w:sz w:val="20"/>
          <w:szCs w:val="20"/>
          <w:color w:val="auto"/>
        </w:rPr>
        <w:tab/>
      </w:r>
      <w:r>
        <w:rPr>
          <w:rFonts w:ascii="Arial" w:cs="Arial" w:eastAsia="Arial" w:hAnsi="Arial"/>
          <w:sz w:val="14"/>
          <w:szCs w:val="14"/>
          <w:b w:val="1"/>
          <w:bCs w:val="1"/>
          <w:color w:val="001641"/>
        </w:rPr>
        <w:t>engagement with citizenship and sustainability initiatives, and related impact assessment, as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001641"/>
        </w:rPr>
        <w:t>part of the Board’s oversight</w:t>
      </w:r>
    </w:p>
    <w:p>
      <w:pPr>
        <w:spacing w:after="0" w:line="190" w:lineRule="exact"/>
        <w:rPr>
          <w:sz w:val="20"/>
          <w:szCs w:val="20"/>
          <w:color w:val="auto"/>
        </w:rPr>
      </w:pPr>
    </w:p>
    <w:p>
      <w:pPr>
        <w:ind w:left="440" w:right="560" w:hanging="435"/>
        <w:spacing w:after="0" w:line="294" w:lineRule="auto"/>
        <w:tabs>
          <w:tab w:leader="none" w:pos="159" w:val="left"/>
        </w:tabs>
        <w:numPr>
          <w:ilvl w:val="0"/>
          <w:numId w:val="19"/>
        </w:numPr>
        <w:rPr>
          <w:rFonts w:ascii="Arial" w:cs="Arial" w:eastAsia="Arial" w:hAnsi="Arial"/>
          <w:sz w:val="14"/>
          <w:szCs w:val="14"/>
          <w:b w:val="1"/>
          <w:bCs w:val="1"/>
          <w:color w:val="001641"/>
        </w:rPr>
      </w:pPr>
      <w:r>
        <w:rPr>
          <w:rFonts w:ascii="Arial" w:cs="Arial" w:eastAsia="Arial" w:hAnsi="Arial"/>
          <w:sz w:val="14"/>
          <w:szCs w:val="14"/>
          <w:b w:val="1"/>
          <w:bCs w:val="1"/>
          <w:color w:val="001641"/>
        </w:rPr>
        <w:t>   Active engagement on enterprise risk management involving identification and oversight of areas of risk, including emerging risk areas</w:t>
      </w:r>
    </w:p>
    <w:p>
      <w:pPr>
        <w:spacing w:after="0" w:line="145" w:lineRule="exact"/>
        <w:rPr>
          <w:rFonts w:ascii="Arial" w:cs="Arial" w:eastAsia="Arial" w:hAnsi="Arial"/>
          <w:sz w:val="14"/>
          <w:szCs w:val="14"/>
          <w:b w:val="1"/>
          <w:bCs w:val="1"/>
          <w:color w:val="001641"/>
        </w:rPr>
      </w:pPr>
    </w:p>
    <w:p>
      <w:pPr>
        <w:ind w:left="440" w:right="500" w:hanging="435"/>
        <w:spacing w:after="0" w:line="294" w:lineRule="auto"/>
        <w:tabs>
          <w:tab w:leader="none" w:pos="159" w:val="left"/>
        </w:tabs>
        <w:numPr>
          <w:ilvl w:val="0"/>
          <w:numId w:val="19"/>
        </w:numPr>
        <w:rPr>
          <w:rFonts w:ascii="Arial" w:cs="Arial" w:eastAsia="Arial" w:hAnsi="Arial"/>
          <w:sz w:val="14"/>
          <w:szCs w:val="14"/>
          <w:b w:val="1"/>
          <w:bCs w:val="1"/>
          <w:color w:val="001641"/>
        </w:rPr>
      </w:pPr>
      <w:r>
        <w:rPr>
          <w:rFonts w:ascii="Arial" w:cs="Arial" w:eastAsia="Arial" w:hAnsi="Arial"/>
          <w:sz w:val="14"/>
          <w:szCs w:val="14"/>
          <w:b w:val="1"/>
          <w:bCs w:val="1"/>
          <w:color w:val="001641"/>
        </w:rPr>
        <w:t>   Dedicated session at each regular Board meeting for open discussion and Q&amp;A between the Board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62230</wp:posOffset>
            </wp:positionV>
            <wp:extent cx="5833110" cy="20612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33110" cy="2061210"/>
                    </a:xfrm>
                    <a:prstGeom prst="rect">
                      <a:avLst/>
                    </a:prstGeom>
                    <a:noFill/>
                  </pic:spPr>
                </pic:pic>
              </a:graphicData>
            </a:graphic>
          </wp:anchor>
        </w:drawing>
      </w:r>
    </w:p>
    <w:p>
      <w:pPr>
        <w:spacing w:after="0" w:line="98" w:lineRule="exact"/>
        <w:rPr>
          <w:sz w:val="20"/>
          <w:szCs w:val="20"/>
          <w:color w:val="auto"/>
        </w:rPr>
      </w:pPr>
    </w:p>
    <w:p>
      <w:pPr>
        <w:sectPr>
          <w:pgSz w:w="11900" w:h="16838" w:orient="portrait"/>
          <w:cols w:equalWidth="0" w:num="2">
            <w:col w:w="1500" w:space="440"/>
            <w:col w:w="7240"/>
          </w:cols>
          <w:pgMar w:left="1360" w:top="114"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 </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FFFFFF"/>
        </w:rPr>
        <w:t>Board</w:t>
      </w:r>
    </w:p>
    <w:p>
      <w:pPr>
        <w:jc w:val="right"/>
        <w:spacing w:after="0"/>
        <w:rPr>
          <w:sz w:val="20"/>
          <w:szCs w:val="20"/>
          <w:color w:val="auto"/>
        </w:rPr>
      </w:pPr>
      <w:r>
        <w:rPr>
          <w:rFonts w:ascii="Arial" w:cs="Arial" w:eastAsia="Arial" w:hAnsi="Arial"/>
          <w:sz w:val="18"/>
          <w:szCs w:val="18"/>
          <w:b w:val="1"/>
          <w:bCs w:val="1"/>
          <w:color w:val="FFFFFF"/>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128905" cy="1117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2"/>
        </w:trPr>
        <w:tc>
          <w:tcPr>
            <w:tcW w:w="120" w:type="dxa"/>
            <w:vAlign w:val="bottom"/>
            <w:shd w:val="clear" w:color="auto" w:fill="EBE1D2"/>
          </w:tcPr>
          <w:p>
            <w:pPr>
              <w:spacing w:after="0"/>
              <w:rPr>
                <w:sz w:val="24"/>
                <w:szCs w:val="24"/>
                <w:color w:val="auto"/>
              </w:rPr>
            </w:pPr>
          </w:p>
        </w:tc>
        <w:tc>
          <w:tcPr>
            <w:tcW w:w="260" w:type="dxa"/>
            <w:vAlign w:val="bottom"/>
            <w:shd w:val="clear" w:color="auto" w:fill="EBE1D2"/>
          </w:tcPr>
          <w:p>
            <w:pPr>
              <w:ind w:left="16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shd w:val="clear" w:color="auto" w:fill="EBE1D2"/>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tcBorders>
              <w:right w:val="single" w:sz="8" w:color="BFA071"/>
            </w:tcBorders>
            <w:vMerge w:val="restart"/>
          </w:tcPr>
          <w:p>
            <w:pPr>
              <w:ind w:left="120"/>
              <w:spacing w:after="0"/>
              <w:rPr>
                <w:sz w:val="20"/>
                <w:szCs w:val="20"/>
                <w:color w:val="auto"/>
              </w:rPr>
            </w:pPr>
            <w:r>
              <w:rPr>
                <w:rFonts w:ascii="Arial" w:cs="Arial" w:eastAsia="Arial" w:hAnsi="Arial"/>
                <w:sz w:val="14"/>
                <w:szCs w:val="14"/>
                <w:b w:val="1"/>
                <w:bCs w:val="1"/>
                <w:color w:val="001641"/>
              </w:rPr>
              <w:t>Board Committees are entirely independent</w:t>
            </w:r>
          </w:p>
        </w:tc>
        <w:tc>
          <w:tcPr>
            <w:tcW w:w="0" w:type="dxa"/>
            <w:vAlign w:val="bottom"/>
          </w:tcPr>
          <w:p>
            <w:pPr>
              <w:spacing w:after="0"/>
              <w:rPr>
                <w:sz w:val="1"/>
                <w:szCs w:val="1"/>
                <w:color w:val="auto"/>
              </w:rPr>
            </w:pPr>
          </w:p>
        </w:tc>
      </w:tr>
      <w:tr>
        <w:trPr>
          <w:trHeight w:val="54"/>
        </w:trPr>
        <w:tc>
          <w:tcPr>
            <w:tcW w:w="120" w:type="dxa"/>
            <w:vAlign w:val="bottom"/>
            <w:shd w:val="clear" w:color="auto" w:fill="EBE1D2"/>
          </w:tcPr>
          <w:p>
            <w:pPr>
              <w:spacing w:after="0"/>
              <w:rPr>
                <w:sz w:val="4"/>
                <w:szCs w:val="4"/>
                <w:color w:val="auto"/>
              </w:rPr>
            </w:pPr>
          </w:p>
        </w:tc>
        <w:tc>
          <w:tcPr>
            <w:tcW w:w="260" w:type="dxa"/>
            <w:vAlign w:val="bottom"/>
            <w:shd w:val="clear" w:color="auto" w:fill="EBE1D2"/>
          </w:tcPr>
          <w:p>
            <w:pPr>
              <w:spacing w:after="0"/>
              <w:rPr>
                <w:sz w:val="4"/>
                <w:szCs w:val="4"/>
                <w:color w:val="auto"/>
              </w:rPr>
            </w:pPr>
          </w:p>
        </w:tc>
        <w:tc>
          <w:tcPr>
            <w:tcW w:w="220" w:type="dxa"/>
            <w:vAlign w:val="bottom"/>
            <w:shd w:val="clear" w:color="auto" w:fill="EBE1D2"/>
          </w:tcPr>
          <w:p>
            <w:pPr>
              <w:spacing w:after="0"/>
              <w:rPr>
                <w:sz w:val="4"/>
                <w:szCs w:val="4"/>
                <w:color w:val="auto"/>
              </w:rPr>
            </w:pPr>
          </w:p>
        </w:tc>
        <w:tc>
          <w:tcPr>
            <w:tcW w:w="6920" w:type="dxa"/>
            <w:vAlign w:val="bottom"/>
            <w:tcBorders>
              <w:right w:val="single" w:sz="8" w:color="BFA071"/>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20" w:type="dxa"/>
            <w:vAlign w:val="bottom"/>
            <w:tcBorders>
              <w:bottom w:val="single" w:sz="8" w:color="EBE1D2"/>
            </w:tcBorders>
            <w:shd w:val="clear" w:color="auto" w:fill="EBE1D2"/>
          </w:tcPr>
          <w:p>
            <w:pPr>
              <w:spacing w:after="0"/>
              <w:rPr>
                <w:sz w:val="13"/>
                <w:szCs w:val="13"/>
                <w:color w:val="auto"/>
              </w:rPr>
            </w:pPr>
          </w:p>
        </w:tc>
        <w:tc>
          <w:tcPr>
            <w:tcW w:w="260" w:type="dxa"/>
            <w:vAlign w:val="bottom"/>
            <w:tcBorders>
              <w:bottom w:val="single" w:sz="8" w:color="BFA071"/>
            </w:tcBorders>
            <w:shd w:val="clear" w:color="auto" w:fill="EBE1D2"/>
          </w:tcPr>
          <w:p>
            <w:pPr>
              <w:spacing w:after="0"/>
              <w:rPr>
                <w:sz w:val="13"/>
                <w:szCs w:val="13"/>
                <w:color w:val="auto"/>
              </w:rPr>
            </w:pPr>
          </w:p>
        </w:tc>
        <w:tc>
          <w:tcPr>
            <w:tcW w:w="220" w:type="dxa"/>
            <w:vAlign w:val="bottom"/>
            <w:tcBorders>
              <w:bottom w:val="single" w:sz="8" w:color="BFA071"/>
            </w:tcBorders>
            <w:shd w:val="clear" w:color="auto" w:fill="EBE1D2"/>
          </w:tcPr>
          <w:p>
            <w:pPr>
              <w:spacing w:after="0"/>
              <w:rPr>
                <w:sz w:val="13"/>
                <w:szCs w:val="13"/>
                <w:color w:val="auto"/>
              </w:rPr>
            </w:pPr>
          </w:p>
        </w:tc>
        <w:tc>
          <w:tcPr>
            <w:tcW w:w="6920" w:type="dxa"/>
            <w:vAlign w:val="bottom"/>
            <w:tcBorders>
              <w:bottom w:val="single" w:sz="8" w:color="BFA071"/>
              <w:right w:val="single" w:sz="8" w:color="BFA071"/>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20" w:type="dxa"/>
            <w:vAlign w:val="bottom"/>
            <w:shd w:val="clear" w:color="auto" w:fill="EBE1D2"/>
          </w:tcPr>
          <w:p>
            <w:pPr>
              <w:spacing w:after="0"/>
              <w:rPr>
                <w:sz w:val="21"/>
                <w:szCs w:val="21"/>
                <w:color w:val="auto"/>
              </w:rPr>
            </w:pPr>
          </w:p>
        </w:tc>
        <w:tc>
          <w:tcPr>
            <w:tcW w:w="260" w:type="dxa"/>
            <w:vAlign w:val="bottom"/>
            <w:shd w:val="clear" w:color="auto" w:fill="EBE1D2"/>
          </w:tcPr>
          <w:p>
            <w:pPr>
              <w:ind w:left="16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shd w:val="clear" w:color="auto" w:fill="EBE1D2"/>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tcBorders>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All members of the Audit Committee are financially literate, and three of four members qualify as</w:t>
            </w:r>
          </w:p>
        </w:tc>
        <w:tc>
          <w:tcPr>
            <w:tcW w:w="0" w:type="dxa"/>
            <w:vAlign w:val="bottom"/>
          </w:tcPr>
          <w:p>
            <w:pPr>
              <w:spacing w:after="0"/>
              <w:rPr>
                <w:sz w:val="1"/>
                <w:szCs w:val="1"/>
                <w:color w:val="auto"/>
              </w:rPr>
            </w:pPr>
          </w:p>
        </w:tc>
      </w:tr>
      <w:tr>
        <w:trPr>
          <w:trHeight w:val="196"/>
        </w:trPr>
        <w:tc>
          <w:tcPr>
            <w:tcW w:w="120" w:type="dxa"/>
            <w:vAlign w:val="bottom"/>
            <w:shd w:val="clear" w:color="auto" w:fill="EBE1D2"/>
          </w:tcPr>
          <w:p>
            <w:pPr>
              <w:spacing w:after="0"/>
              <w:rPr>
                <w:sz w:val="17"/>
                <w:szCs w:val="17"/>
                <w:color w:val="auto"/>
              </w:rPr>
            </w:pPr>
          </w:p>
        </w:tc>
        <w:tc>
          <w:tcPr>
            <w:tcW w:w="260" w:type="dxa"/>
            <w:vAlign w:val="bottom"/>
            <w:shd w:val="clear" w:color="auto" w:fill="EBE1D2"/>
          </w:tcPr>
          <w:p>
            <w:pPr>
              <w:spacing w:after="0"/>
              <w:rPr>
                <w:sz w:val="17"/>
                <w:szCs w:val="17"/>
                <w:color w:val="auto"/>
              </w:rPr>
            </w:pPr>
          </w:p>
        </w:tc>
        <w:tc>
          <w:tcPr>
            <w:tcW w:w="220" w:type="dxa"/>
            <w:vAlign w:val="bottom"/>
            <w:shd w:val="clear" w:color="auto" w:fill="EBE1D2"/>
          </w:tcPr>
          <w:p>
            <w:pPr>
              <w:spacing w:after="0"/>
              <w:rPr>
                <w:sz w:val="17"/>
                <w:szCs w:val="17"/>
                <w:color w:val="auto"/>
              </w:rPr>
            </w:pPr>
          </w:p>
        </w:tc>
        <w:tc>
          <w:tcPr>
            <w:tcW w:w="6920" w:type="dxa"/>
            <w:vAlign w:val="bottom"/>
            <w:tcBorders>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audit committee financial experts</w:t>
            </w:r>
          </w:p>
        </w:tc>
        <w:tc>
          <w:tcPr>
            <w:tcW w:w="0" w:type="dxa"/>
            <w:vAlign w:val="bottom"/>
          </w:tcPr>
          <w:p>
            <w:pPr>
              <w:spacing w:after="0"/>
              <w:rPr>
                <w:sz w:val="1"/>
                <w:szCs w:val="1"/>
                <w:color w:val="auto"/>
              </w:rPr>
            </w:pPr>
          </w:p>
        </w:tc>
      </w:tr>
      <w:tr>
        <w:trPr>
          <w:trHeight w:val="87"/>
        </w:trPr>
        <w:tc>
          <w:tcPr>
            <w:tcW w:w="120" w:type="dxa"/>
            <w:vAlign w:val="bottom"/>
            <w:tcBorders>
              <w:bottom w:val="single" w:sz="8" w:color="EBE1D2"/>
            </w:tcBorders>
            <w:shd w:val="clear" w:color="auto" w:fill="EBE1D2"/>
          </w:tcPr>
          <w:p>
            <w:pPr>
              <w:spacing w:after="0"/>
              <w:rPr>
                <w:sz w:val="7"/>
                <w:szCs w:val="7"/>
                <w:color w:val="auto"/>
              </w:rPr>
            </w:pPr>
          </w:p>
        </w:tc>
        <w:tc>
          <w:tcPr>
            <w:tcW w:w="260" w:type="dxa"/>
            <w:vAlign w:val="bottom"/>
            <w:tcBorders>
              <w:bottom w:val="single" w:sz="8" w:color="BFA071"/>
            </w:tcBorders>
            <w:shd w:val="clear" w:color="auto" w:fill="EBE1D2"/>
          </w:tcPr>
          <w:p>
            <w:pPr>
              <w:spacing w:after="0"/>
              <w:rPr>
                <w:sz w:val="7"/>
                <w:szCs w:val="7"/>
                <w:color w:val="auto"/>
              </w:rPr>
            </w:pPr>
          </w:p>
        </w:tc>
        <w:tc>
          <w:tcPr>
            <w:tcW w:w="220" w:type="dxa"/>
            <w:vAlign w:val="bottom"/>
            <w:tcBorders>
              <w:bottom w:val="single" w:sz="8" w:color="BFA071"/>
            </w:tcBorders>
            <w:shd w:val="clear" w:color="auto" w:fill="EBE1D2"/>
          </w:tcPr>
          <w:p>
            <w:pPr>
              <w:spacing w:after="0"/>
              <w:rPr>
                <w:sz w:val="7"/>
                <w:szCs w:val="7"/>
                <w:color w:val="auto"/>
              </w:rPr>
            </w:pPr>
          </w:p>
        </w:tc>
        <w:tc>
          <w:tcPr>
            <w:tcW w:w="6920" w:type="dxa"/>
            <w:vAlign w:val="bottom"/>
            <w:tcBorders>
              <w:bottom w:val="single" w:sz="8" w:color="BFA071"/>
              <w:right w:val="single" w:sz="8" w:color="BFA071"/>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20" w:type="dxa"/>
            <w:vAlign w:val="bottom"/>
            <w:shd w:val="clear" w:color="auto" w:fill="EBE1D2"/>
          </w:tcPr>
          <w:p>
            <w:pPr>
              <w:spacing w:after="0"/>
              <w:rPr>
                <w:sz w:val="21"/>
                <w:szCs w:val="21"/>
                <w:color w:val="auto"/>
              </w:rPr>
            </w:pPr>
          </w:p>
        </w:tc>
        <w:tc>
          <w:tcPr>
            <w:tcW w:w="260" w:type="dxa"/>
            <w:vAlign w:val="bottom"/>
            <w:shd w:val="clear" w:color="auto" w:fill="EBE1D2"/>
          </w:tcPr>
          <w:p>
            <w:pPr>
              <w:ind w:left="16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shd w:val="clear" w:color="auto" w:fill="EBE1D2"/>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tcBorders>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Established 5-year rotation schedule for Committee Chairs; new Chairs of majority of</w:t>
            </w:r>
          </w:p>
        </w:tc>
        <w:tc>
          <w:tcPr>
            <w:tcW w:w="0" w:type="dxa"/>
            <w:vAlign w:val="bottom"/>
          </w:tcPr>
          <w:p>
            <w:pPr>
              <w:spacing w:after="0"/>
              <w:rPr>
                <w:sz w:val="1"/>
                <w:szCs w:val="1"/>
                <w:color w:val="auto"/>
              </w:rPr>
            </w:pPr>
          </w:p>
        </w:tc>
      </w:tr>
      <w:tr>
        <w:trPr>
          <w:trHeight w:val="196"/>
        </w:trPr>
        <w:tc>
          <w:tcPr>
            <w:tcW w:w="120" w:type="dxa"/>
            <w:vAlign w:val="bottom"/>
            <w:shd w:val="clear" w:color="auto" w:fill="EBE1D2"/>
          </w:tcPr>
          <w:p>
            <w:pPr>
              <w:spacing w:after="0"/>
              <w:rPr>
                <w:sz w:val="17"/>
                <w:szCs w:val="17"/>
                <w:color w:val="auto"/>
              </w:rPr>
            </w:pPr>
          </w:p>
        </w:tc>
        <w:tc>
          <w:tcPr>
            <w:tcW w:w="260" w:type="dxa"/>
            <w:vAlign w:val="bottom"/>
            <w:shd w:val="clear" w:color="auto" w:fill="EBE1D2"/>
          </w:tcPr>
          <w:p>
            <w:pPr>
              <w:spacing w:after="0"/>
              <w:rPr>
                <w:sz w:val="17"/>
                <w:szCs w:val="17"/>
                <w:color w:val="auto"/>
              </w:rPr>
            </w:pPr>
          </w:p>
        </w:tc>
        <w:tc>
          <w:tcPr>
            <w:tcW w:w="220" w:type="dxa"/>
            <w:vAlign w:val="bottom"/>
            <w:shd w:val="clear" w:color="auto" w:fill="EBE1D2"/>
          </w:tcPr>
          <w:p>
            <w:pPr>
              <w:spacing w:after="0"/>
              <w:rPr>
                <w:sz w:val="17"/>
                <w:szCs w:val="17"/>
                <w:color w:val="auto"/>
              </w:rPr>
            </w:pPr>
          </w:p>
        </w:tc>
        <w:tc>
          <w:tcPr>
            <w:tcW w:w="6920" w:type="dxa"/>
            <w:vAlign w:val="bottom"/>
            <w:tcBorders>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Committees appointed in August 2023</w:t>
            </w:r>
          </w:p>
        </w:tc>
        <w:tc>
          <w:tcPr>
            <w:tcW w:w="0" w:type="dxa"/>
            <w:vAlign w:val="bottom"/>
          </w:tcPr>
          <w:p>
            <w:pPr>
              <w:spacing w:after="0"/>
              <w:rPr>
                <w:sz w:val="1"/>
                <w:szCs w:val="1"/>
                <w:color w:val="auto"/>
              </w:rPr>
            </w:pPr>
          </w:p>
        </w:tc>
      </w:tr>
      <w:tr>
        <w:trPr>
          <w:trHeight w:val="87"/>
        </w:trPr>
        <w:tc>
          <w:tcPr>
            <w:tcW w:w="120" w:type="dxa"/>
            <w:vAlign w:val="bottom"/>
            <w:tcBorders>
              <w:bottom w:val="single" w:sz="8" w:color="EBE1D2"/>
            </w:tcBorders>
            <w:shd w:val="clear" w:color="auto" w:fill="EBE1D2"/>
          </w:tcPr>
          <w:p>
            <w:pPr>
              <w:spacing w:after="0"/>
              <w:rPr>
                <w:sz w:val="7"/>
                <w:szCs w:val="7"/>
                <w:color w:val="auto"/>
              </w:rPr>
            </w:pPr>
          </w:p>
        </w:tc>
        <w:tc>
          <w:tcPr>
            <w:tcW w:w="260" w:type="dxa"/>
            <w:vAlign w:val="bottom"/>
            <w:tcBorders>
              <w:bottom w:val="single" w:sz="8" w:color="BFA071"/>
            </w:tcBorders>
            <w:shd w:val="clear" w:color="auto" w:fill="EBE1D2"/>
          </w:tcPr>
          <w:p>
            <w:pPr>
              <w:spacing w:after="0"/>
              <w:rPr>
                <w:sz w:val="7"/>
                <w:szCs w:val="7"/>
                <w:color w:val="auto"/>
              </w:rPr>
            </w:pPr>
          </w:p>
        </w:tc>
        <w:tc>
          <w:tcPr>
            <w:tcW w:w="220" w:type="dxa"/>
            <w:vAlign w:val="bottom"/>
            <w:tcBorders>
              <w:bottom w:val="single" w:sz="8" w:color="BFA071"/>
            </w:tcBorders>
            <w:shd w:val="clear" w:color="auto" w:fill="EBE1D2"/>
          </w:tcPr>
          <w:p>
            <w:pPr>
              <w:spacing w:after="0"/>
              <w:rPr>
                <w:sz w:val="7"/>
                <w:szCs w:val="7"/>
                <w:color w:val="auto"/>
              </w:rPr>
            </w:pPr>
          </w:p>
        </w:tc>
        <w:tc>
          <w:tcPr>
            <w:tcW w:w="6920" w:type="dxa"/>
            <w:vAlign w:val="bottom"/>
            <w:tcBorders>
              <w:bottom w:val="single" w:sz="8" w:color="BFA071"/>
              <w:right w:val="single" w:sz="8" w:color="BFA071"/>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20" w:type="dxa"/>
            <w:vAlign w:val="bottom"/>
            <w:shd w:val="clear" w:color="auto" w:fill="EBE1D2"/>
          </w:tcPr>
          <w:p>
            <w:pPr>
              <w:spacing w:after="0"/>
              <w:rPr>
                <w:sz w:val="20"/>
                <w:szCs w:val="20"/>
                <w:color w:val="auto"/>
              </w:rPr>
            </w:pPr>
          </w:p>
        </w:tc>
        <w:tc>
          <w:tcPr>
            <w:tcW w:w="260" w:type="dxa"/>
            <w:vAlign w:val="bottom"/>
            <w:shd w:val="clear" w:color="auto" w:fill="EBE1D2"/>
          </w:tcPr>
          <w:p>
            <w:pPr>
              <w:ind w:left="16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shd w:val="clear" w:color="auto" w:fill="EBE1D2"/>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tcBorders>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All current independent directors serving on the Board for more than one year serve on at least</w:t>
            </w:r>
          </w:p>
        </w:tc>
        <w:tc>
          <w:tcPr>
            <w:tcW w:w="0" w:type="dxa"/>
            <w:vAlign w:val="bottom"/>
          </w:tcPr>
          <w:p>
            <w:pPr>
              <w:spacing w:after="0"/>
              <w:rPr>
                <w:sz w:val="1"/>
                <w:szCs w:val="1"/>
                <w:color w:val="auto"/>
              </w:rPr>
            </w:pPr>
          </w:p>
        </w:tc>
      </w:tr>
      <w:tr>
        <w:trPr>
          <w:trHeight w:val="196"/>
        </w:trPr>
        <w:tc>
          <w:tcPr>
            <w:tcW w:w="120" w:type="dxa"/>
            <w:vAlign w:val="bottom"/>
            <w:shd w:val="clear" w:color="auto" w:fill="EBE1D2"/>
          </w:tcPr>
          <w:p>
            <w:pPr>
              <w:spacing w:after="0"/>
              <w:rPr>
                <w:sz w:val="17"/>
                <w:szCs w:val="17"/>
                <w:color w:val="auto"/>
              </w:rPr>
            </w:pPr>
          </w:p>
        </w:tc>
        <w:tc>
          <w:tcPr>
            <w:tcW w:w="260" w:type="dxa"/>
            <w:vAlign w:val="bottom"/>
            <w:shd w:val="clear" w:color="auto" w:fill="EBE1D2"/>
          </w:tcPr>
          <w:p>
            <w:pPr>
              <w:spacing w:after="0"/>
              <w:rPr>
                <w:sz w:val="17"/>
                <w:szCs w:val="17"/>
                <w:color w:val="auto"/>
              </w:rPr>
            </w:pPr>
          </w:p>
        </w:tc>
        <w:tc>
          <w:tcPr>
            <w:tcW w:w="220" w:type="dxa"/>
            <w:vAlign w:val="bottom"/>
            <w:shd w:val="clear" w:color="auto" w:fill="EBE1D2"/>
          </w:tcPr>
          <w:p>
            <w:pPr>
              <w:spacing w:after="0"/>
              <w:rPr>
                <w:sz w:val="17"/>
                <w:szCs w:val="17"/>
                <w:color w:val="auto"/>
              </w:rPr>
            </w:pPr>
          </w:p>
        </w:tc>
        <w:tc>
          <w:tcPr>
            <w:tcW w:w="6920" w:type="dxa"/>
            <w:vAlign w:val="bottom"/>
            <w:tcBorders>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one Committee</w:t>
            </w:r>
          </w:p>
        </w:tc>
        <w:tc>
          <w:tcPr>
            <w:tcW w:w="0" w:type="dxa"/>
            <w:vAlign w:val="bottom"/>
          </w:tcPr>
          <w:p>
            <w:pPr>
              <w:spacing w:after="0"/>
              <w:rPr>
                <w:sz w:val="1"/>
                <w:szCs w:val="1"/>
                <w:color w:val="auto"/>
              </w:rPr>
            </w:pPr>
          </w:p>
        </w:tc>
      </w:tr>
      <w:tr>
        <w:trPr>
          <w:trHeight w:val="60"/>
        </w:trPr>
        <w:tc>
          <w:tcPr>
            <w:tcW w:w="120" w:type="dxa"/>
            <w:vAlign w:val="bottom"/>
            <w:tcBorders>
              <w:bottom w:val="single" w:sz="8" w:color="EBE1D2"/>
            </w:tcBorders>
            <w:shd w:val="clear" w:color="auto" w:fill="EBE1D2"/>
          </w:tcPr>
          <w:p>
            <w:pPr>
              <w:spacing w:after="0"/>
              <w:rPr>
                <w:sz w:val="5"/>
                <w:szCs w:val="5"/>
                <w:color w:val="auto"/>
              </w:rPr>
            </w:pPr>
          </w:p>
        </w:tc>
        <w:tc>
          <w:tcPr>
            <w:tcW w:w="260" w:type="dxa"/>
            <w:vAlign w:val="bottom"/>
            <w:tcBorders>
              <w:bottom w:val="single" w:sz="8" w:color="BFA071"/>
            </w:tcBorders>
            <w:shd w:val="clear" w:color="auto" w:fill="EBE1D2"/>
          </w:tcPr>
          <w:p>
            <w:pPr>
              <w:spacing w:after="0"/>
              <w:rPr>
                <w:sz w:val="5"/>
                <w:szCs w:val="5"/>
                <w:color w:val="auto"/>
              </w:rPr>
            </w:pPr>
          </w:p>
        </w:tc>
        <w:tc>
          <w:tcPr>
            <w:tcW w:w="220" w:type="dxa"/>
            <w:vAlign w:val="bottom"/>
            <w:tcBorders>
              <w:bottom w:val="single" w:sz="8" w:color="BFA071"/>
            </w:tcBorders>
            <w:shd w:val="clear" w:color="auto" w:fill="EBE1D2"/>
          </w:tcPr>
          <w:p>
            <w:pPr>
              <w:spacing w:after="0"/>
              <w:rPr>
                <w:sz w:val="5"/>
                <w:szCs w:val="5"/>
                <w:color w:val="auto"/>
              </w:rPr>
            </w:pPr>
          </w:p>
        </w:tc>
        <w:tc>
          <w:tcPr>
            <w:tcW w:w="6920" w:type="dxa"/>
            <w:vAlign w:val="bottom"/>
            <w:tcBorders>
              <w:bottom w:val="single" w:sz="8" w:color="BFA071"/>
              <w:right w:val="single" w:sz="8" w:color="BFA071"/>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20" w:type="dxa"/>
            <w:vAlign w:val="bottom"/>
            <w:shd w:val="clear" w:color="auto" w:fill="EBE1D2"/>
          </w:tcPr>
          <w:p>
            <w:pPr>
              <w:spacing w:after="0"/>
              <w:rPr>
                <w:sz w:val="21"/>
                <w:szCs w:val="21"/>
                <w:color w:val="auto"/>
              </w:rPr>
            </w:pPr>
          </w:p>
        </w:tc>
        <w:tc>
          <w:tcPr>
            <w:tcW w:w="260" w:type="dxa"/>
            <w:vAlign w:val="bottom"/>
            <w:shd w:val="clear" w:color="auto" w:fill="EBE1D2"/>
          </w:tcPr>
          <w:p>
            <w:pPr>
              <w:ind w:left="16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shd w:val="clear" w:color="auto" w:fill="EBE1D2"/>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tcBorders>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Nominating Committee oversees corporate governance, citizenship, sustainability, social and</w:t>
            </w:r>
          </w:p>
        </w:tc>
        <w:tc>
          <w:tcPr>
            <w:tcW w:w="0" w:type="dxa"/>
            <w:vAlign w:val="bottom"/>
          </w:tcPr>
          <w:p>
            <w:pPr>
              <w:spacing w:after="0"/>
              <w:rPr>
                <w:sz w:val="1"/>
                <w:szCs w:val="1"/>
                <w:color w:val="auto"/>
              </w:rPr>
            </w:pPr>
          </w:p>
        </w:tc>
      </w:tr>
      <w:tr>
        <w:trPr>
          <w:trHeight w:val="196"/>
        </w:trPr>
        <w:tc>
          <w:tcPr>
            <w:tcW w:w="120" w:type="dxa"/>
            <w:vAlign w:val="bottom"/>
            <w:shd w:val="clear" w:color="auto" w:fill="EBE1D2"/>
          </w:tcPr>
          <w:p>
            <w:pPr>
              <w:spacing w:after="0"/>
              <w:rPr>
                <w:sz w:val="17"/>
                <w:szCs w:val="17"/>
                <w:color w:val="auto"/>
              </w:rPr>
            </w:pPr>
          </w:p>
        </w:tc>
        <w:tc>
          <w:tcPr>
            <w:tcW w:w="260" w:type="dxa"/>
            <w:vAlign w:val="bottom"/>
            <w:shd w:val="clear" w:color="auto" w:fill="EBE1D2"/>
          </w:tcPr>
          <w:p>
            <w:pPr>
              <w:spacing w:after="0"/>
              <w:rPr>
                <w:sz w:val="17"/>
                <w:szCs w:val="17"/>
                <w:color w:val="auto"/>
              </w:rPr>
            </w:pPr>
          </w:p>
        </w:tc>
        <w:tc>
          <w:tcPr>
            <w:tcW w:w="220" w:type="dxa"/>
            <w:vAlign w:val="bottom"/>
            <w:shd w:val="clear" w:color="auto" w:fill="EBE1D2"/>
          </w:tcPr>
          <w:p>
            <w:pPr>
              <w:spacing w:after="0"/>
              <w:rPr>
                <w:sz w:val="17"/>
                <w:szCs w:val="17"/>
                <w:color w:val="auto"/>
              </w:rPr>
            </w:pPr>
          </w:p>
        </w:tc>
        <w:tc>
          <w:tcPr>
            <w:tcW w:w="6920" w:type="dxa"/>
            <w:vAlign w:val="bottom"/>
            <w:tcBorders>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environmental issues, impacts, risks, and opportunities</w:t>
            </w:r>
          </w:p>
        </w:tc>
        <w:tc>
          <w:tcPr>
            <w:tcW w:w="0" w:type="dxa"/>
            <w:vAlign w:val="bottom"/>
          </w:tcPr>
          <w:p>
            <w:pPr>
              <w:spacing w:after="0"/>
              <w:rPr>
                <w:sz w:val="1"/>
                <w:szCs w:val="1"/>
                <w:color w:val="auto"/>
              </w:rPr>
            </w:pPr>
          </w:p>
        </w:tc>
      </w:tr>
      <w:tr>
        <w:trPr>
          <w:trHeight w:val="87"/>
        </w:trPr>
        <w:tc>
          <w:tcPr>
            <w:tcW w:w="120" w:type="dxa"/>
            <w:vAlign w:val="bottom"/>
            <w:tcBorders>
              <w:bottom w:val="single" w:sz="8" w:color="EBE1D2"/>
            </w:tcBorders>
            <w:shd w:val="clear" w:color="auto" w:fill="EBE1D2"/>
          </w:tcPr>
          <w:p>
            <w:pPr>
              <w:spacing w:after="0"/>
              <w:rPr>
                <w:sz w:val="7"/>
                <w:szCs w:val="7"/>
                <w:color w:val="auto"/>
              </w:rPr>
            </w:pPr>
          </w:p>
        </w:tc>
        <w:tc>
          <w:tcPr>
            <w:tcW w:w="260" w:type="dxa"/>
            <w:vAlign w:val="bottom"/>
            <w:tcBorders>
              <w:bottom w:val="single" w:sz="8" w:color="BFA071"/>
            </w:tcBorders>
            <w:shd w:val="clear" w:color="auto" w:fill="EBE1D2"/>
          </w:tcPr>
          <w:p>
            <w:pPr>
              <w:spacing w:after="0"/>
              <w:rPr>
                <w:sz w:val="7"/>
                <w:szCs w:val="7"/>
                <w:color w:val="auto"/>
              </w:rPr>
            </w:pPr>
          </w:p>
        </w:tc>
        <w:tc>
          <w:tcPr>
            <w:tcW w:w="220" w:type="dxa"/>
            <w:vAlign w:val="bottom"/>
            <w:tcBorders>
              <w:bottom w:val="single" w:sz="8" w:color="BFA071"/>
            </w:tcBorders>
            <w:shd w:val="clear" w:color="auto" w:fill="EBE1D2"/>
          </w:tcPr>
          <w:p>
            <w:pPr>
              <w:spacing w:after="0"/>
              <w:rPr>
                <w:sz w:val="7"/>
                <w:szCs w:val="7"/>
                <w:color w:val="auto"/>
              </w:rPr>
            </w:pPr>
          </w:p>
        </w:tc>
        <w:tc>
          <w:tcPr>
            <w:tcW w:w="6920" w:type="dxa"/>
            <w:vAlign w:val="bottom"/>
            <w:tcBorders>
              <w:bottom w:val="single" w:sz="8" w:color="BFA071"/>
              <w:right w:val="single" w:sz="8" w:color="BFA071"/>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20" w:type="dxa"/>
            <w:vAlign w:val="bottom"/>
            <w:shd w:val="clear" w:color="auto" w:fill="EBE1D2"/>
          </w:tcPr>
          <w:p>
            <w:pPr>
              <w:spacing w:after="0"/>
              <w:rPr>
                <w:sz w:val="20"/>
                <w:szCs w:val="20"/>
                <w:color w:val="auto"/>
              </w:rPr>
            </w:pPr>
          </w:p>
        </w:tc>
        <w:tc>
          <w:tcPr>
            <w:tcW w:w="260" w:type="dxa"/>
            <w:vAlign w:val="bottom"/>
            <w:shd w:val="clear" w:color="auto" w:fill="EBE1D2"/>
          </w:tcPr>
          <w:p>
            <w:pPr>
              <w:ind w:left="16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shd w:val="clear" w:color="auto" w:fill="EBE1D2"/>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tcBorders>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Talent Committee oversight includes executive compensation, talent development and retention,</w:t>
            </w:r>
          </w:p>
        </w:tc>
        <w:tc>
          <w:tcPr>
            <w:tcW w:w="0" w:type="dxa"/>
            <w:vAlign w:val="bottom"/>
          </w:tcPr>
          <w:p>
            <w:pPr>
              <w:spacing w:after="0"/>
              <w:rPr>
                <w:sz w:val="1"/>
                <w:szCs w:val="1"/>
                <w:color w:val="auto"/>
              </w:rPr>
            </w:pPr>
          </w:p>
        </w:tc>
      </w:tr>
      <w:tr>
        <w:trPr>
          <w:trHeight w:val="162"/>
        </w:trPr>
        <w:tc>
          <w:tcPr>
            <w:tcW w:w="120" w:type="dxa"/>
            <w:vAlign w:val="bottom"/>
            <w:shd w:val="clear" w:color="auto" w:fill="EBE1D2"/>
          </w:tcPr>
          <w:p>
            <w:pPr>
              <w:spacing w:after="0"/>
              <w:rPr>
                <w:sz w:val="14"/>
                <w:szCs w:val="14"/>
                <w:color w:val="auto"/>
              </w:rPr>
            </w:pPr>
          </w:p>
        </w:tc>
        <w:tc>
          <w:tcPr>
            <w:tcW w:w="260" w:type="dxa"/>
            <w:vAlign w:val="bottom"/>
            <w:shd w:val="clear" w:color="auto" w:fill="EBE1D2"/>
          </w:tcPr>
          <w:p>
            <w:pPr>
              <w:spacing w:after="0"/>
              <w:rPr>
                <w:sz w:val="14"/>
                <w:szCs w:val="14"/>
                <w:color w:val="auto"/>
              </w:rPr>
            </w:pPr>
          </w:p>
        </w:tc>
        <w:tc>
          <w:tcPr>
            <w:tcW w:w="220" w:type="dxa"/>
            <w:vAlign w:val="bottom"/>
            <w:shd w:val="clear" w:color="auto" w:fill="EBE1D2"/>
          </w:tcPr>
          <w:p>
            <w:pPr>
              <w:spacing w:after="0"/>
              <w:rPr>
                <w:sz w:val="14"/>
                <w:szCs w:val="14"/>
                <w:color w:val="auto"/>
              </w:rPr>
            </w:pPr>
          </w:p>
        </w:tc>
        <w:tc>
          <w:tcPr>
            <w:tcW w:w="6920" w:type="dxa"/>
            <w:vAlign w:val="bottom"/>
            <w:tcBorders>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human capital, and succession planning and leadership development</w:t>
            </w:r>
          </w:p>
        </w:tc>
        <w:tc>
          <w:tcPr>
            <w:tcW w:w="0" w:type="dxa"/>
            <w:vAlign w:val="bottom"/>
          </w:tcPr>
          <w:p>
            <w:pPr>
              <w:spacing w:after="0"/>
              <w:rPr>
                <w:sz w:val="1"/>
                <w:szCs w:val="1"/>
                <w:color w:val="auto"/>
              </w:rPr>
            </w:pPr>
          </w:p>
        </w:tc>
      </w:tr>
      <w:tr>
        <w:trPr>
          <w:trHeight w:val="98"/>
        </w:trPr>
        <w:tc>
          <w:tcPr>
            <w:tcW w:w="120" w:type="dxa"/>
            <w:vAlign w:val="bottom"/>
            <w:shd w:val="clear" w:color="auto" w:fill="EBE1D2"/>
          </w:tcPr>
          <w:p>
            <w:pPr>
              <w:spacing w:after="0"/>
              <w:rPr>
                <w:sz w:val="8"/>
                <w:szCs w:val="8"/>
                <w:color w:val="auto"/>
              </w:rPr>
            </w:pPr>
          </w:p>
        </w:tc>
        <w:tc>
          <w:tcPr>
            <w:tcW w:w="260" w:type="dxa"/>
            <w:vAlign w:val="bottom"/>
            <w:shd w:val="clear" w:color="auto" w:fill="EBE1D2"/>
          </w:tcPr>
          <w:p>
            <w:pPr>
              <w:spacing w:after="0"/>
              <w:rPr>
                <w:sz w:val="8"/>
                <w:szCs w:val="8"/>
                <w:color w:val="auto"/>
              </w:rPr>
            </w:pPr>
          </w:p>
        </w:tc>
        <w:tc>
          <w:tcPr>
            <w:tcW w:w="220" w:type="dxa"/>
            <w:vAlign w:val="bottom"/>
            <w:shd w:val="clear" w:color="auto" w:fill="EBE1D2"/>
          </w:tcPr>
          <w:p>
            <w:pPr>
              <w:spacing w:after="0"/>
              <w:rPr>
                <w:sz w:val="8"/>
                <w:szCs w:val="8"/>
                <w:color w:val="auto"/>
              </w:rPr>
            </w:pPr>
          </w:p>
        </w:tc>
        <w:tc>
          <w:tcPr>
            <w:tcW w:w="6920" w:type="dxa"/>
            <w:vAlign w:val="bottom"/>
            <w:tcBorders>
              <w:right w:val="single" w:sz="8" w:color="BFA071"/>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-1057275</wp:posOffset>
            </wp:positionH>
            <wp:positionV relativeFrom="paragraph">
              <wp:posOffset>135255</wp:posOffset>
            </wp:positionV>
            <wp:extent cx="58293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40" w:space="320"/>
            <w:col w:w="7520"/>
          </w:cols>
          <w:pgMar w:left="1360" w:top="114" w:right="1359" w:bottom="1440" w:gutter="0" w:footer="0" w:header="0"/>
          <w:type w:val="continuous"/>
        </w:sectPr>
      </w:pPr>
    </w:p>
    <w:p>
      <w:pPr>
        <w:spacing w:after="0" w:line="233" w:lineRule="exact"/>
        <w:rPr>
          <w:sz w:val="20"/>
          <w:szCs w:val="20"/>
          <w:color w:val="auto"/>
        </w:rPr>
      </w:pPr>
    </w:p>
    <w:p>
      <w:pPr>
        <w:ind w:left="6540"/>
        <w:spacing w:after="0"/>
        <w:tabs>
          <w:tab w:leader="none" w:pos="900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126365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40" w:name="page41"/>
    <w:bookmarkEnd w:id="4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53340</wp:posOffset>
            </wp:positionV>
            <wp:extent cx="5833110" cy="45713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33110" cy="457136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6"/>
        <w:spacing w:after="0"/>
        <w:rPr>
          <w:sz w:val="20"/>
          <w:szCs w:val="20"/>
          <w:color w:val="auto"/>
        </w:rPr>
      </w:pPr>
      <w:r>
        <w:rPr>
          <w:rFonts w:ascii="Arial" w:cs="Arial" w:eastAsia="Arial" w:hAnsi="Arial"/>
          <w:sz w:val="18"/>
          <w:szCs w:val="18"/>
          <w:b w:val="1"/>
          <w:bCs w:val="1"/>
          <w:color w:val="FFFFFF"/>
        </w:rPr>
        <w:t> </w:t>
      </w:r>
    </w:p>
    <w:p>
      <w:pPr>
        <w:spacing w:after="0" w:line="14" w:lineRule="exact"/>
        <w:rPr>
          <w:sz w:val="20"/>
          <w:szCs w:val="20"/>
          <w:color w:val="auto"/>
        </w:rPr>
      </w:pPr>
    </w:p>
    <w:p>
      <w:pPr>
        <w:ind w:left="166" w:firstLine="60"/>
        <w:spacing w:after="0" w:line="289" w:lineRule="auto"/>
        <w:rPr>
          <w:sz w:val="20"/>
          <w:szCs w:val="20"/>
          <w:color w:val="auto"/>
        </w:rPr>
      </w:pPr>
      <w:r>
        <w:rPr>
          <w:rFonts w:ascii="Arial" w:cs="Arial" w:eastAsia="Arial" w:hAnsi="Arial"/>
          <w:sz w:val="17"/>
          <w:szCs w:val="17"/>
          <w:b w:val="1"/>
          <w:bCs w:val="1"/>
          <w:color w:val="FFFFFF"/>
        </w:rPr>
        <w:t>Accountability to Stockholders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380" w:type="dxa"/>
            <w:vAlign w:val="bottom"/>
            <w:shd w:val="clear" w:color="auto" w:fill="EBE1D2"/>
          </w:tcPr>
          <w:p>
            <w:pPr>
              <w:spacing w:after="0"/>
              <w:rPr>
                <w:sz w:val="10"/>
                <w:szCs w:val="10"/>
                <w:color w:val="auto"/>
              </w:rPr>
            </w:pPr>
          </w:p>
        </w:tc>
        <w:tc>
          <w:tcPr>
            <w:tcW w:w="220" w:type="dxa"/>
            <w:vAlign w:val="bottom"/>
            <w:shd w:val="clear" w:color="auto" w:fill="EBE1D2"/>
          </w:tcPr>
          <w:p>
            <w:pPr>
              <w:spacing w:after="0"/>
              <w:rPr>
                <w:sz w:val="10"/>
                <w:szCs w:val="10"/>
                <w:color w:val="auto"/>
              </w:rPr>
            </w:pPr>
          </w:p>
        </w:tc>
        <w:tc>
          <w:tcPr>
            <w:tcW w:w="6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80" w:type="dxa"/>
            <w:vAlign w:val="bottom"/>
          </w:tcPr>
          <w:p>
            <w:pPr>
              <w:ind w:left="28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vMerge w:val="restart"/>
          </w:tcPr>
          <w:p>
            <w:pPr>
              <w:ind w:left="120"/>
              <w:spacing w:after="0"/>
              <w:rPr>
                <w:sz w:val="20"/>
                <w:szCs w:val="20"/>
                <w:color w:val="auto"/>
              </w:rPr>
            </w:pPr>
            <w:r>
              <w:rPr>
                <w:rFonts w:ascii="Arial" w:cs="Arial" w:eastAsia="Arial" w:hAnsi="Arial"/>
                <w:sz w:val="14"/>
                <w:szCs w:val="14"/>
                <w:b w:val="1"/>
                <w:bCs w:val="1"/>
                <w:color w:val="001641"/>
              </w:rPr>
              <w:t>All directors are elected annually</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380" w:type="dxa"/>
            <w:vAlign w:val="bottom"/>
            <w:tcBorders>
              <w:bottom w:val="single" w:sz="8" w:color="BFA071"/>
            </w:tcBorders>
          </w:tcPr>
          <w:p>
            <w:pPr>
              <w:spacing w:after="0"/>
              <w:rPr>
                <w:sz w:val="8"/>
                <w:szCs w:val="8"/>
                <w:color w:val="auto"/>
              </w:rPr>
            </w:pPr>
          </w:p>
        </w:tc>
        <w:tc>
          <w:tcPr>
            <w:tcW w:w="220" w:type="dxa"/>
            <w:vAlign w:val="bottom"/>
            <w:tcBorders>
              <w:bottom w:val="single" w:sz="8" w:color="BFA071"/>
            </w:tcBorders>
          </w:tcPr>
          <w:p>
            <w:pPr>
              <w:spacing w:after="0"/>
              <w:rPr>
                <w:sz w:val="8"/>
                <w:szCs w:val="8"/>
                <w:color w:val="auto"/>
              </w:rPr>
            </w:pPr>
          </w:p>
        </w:tc>
        <w:tc>
          <w:tcPr>
            <w:tcW w:w="6920" w:type="dxa"/>
            <w:vAlign w:val="bottom"/>
            <w:tcBorders>
              <w:bottom w:val="single" w:sz="8" w:color="BFA071"/>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80" w:type="dxa"/>
            <w:vAlign w:val="bottom"/>
          </w:tcPr>
          <w:p>
            <w:pPr>
              <w:ind w:left="28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vMerge w:val="restart"/>
          </w:tcPr>
          <w:p>
            <w:pPr>
              <w:ind w:left="120"/>
              <w:spacing w:after="0"/>
              <w:rPr>
                <w:sz w:val="20"/>
                <w:szCs w:val="20"/>
                <w:color w:val="auto"/>
              </w:rPr>
            </w:pPr>
            <w:r>
              <w:rPr>
                <w:rFonts w:ascii="Arial" w:cs="Arial" w:eastAsia="Arial" w:hAnsi="Arial"/>
                <w:sz w:val="14"/>
                <w:szCs w:val="14"/>
                <w:b w:val="1"/>
                <w:bCs w:val="1"/>
                <w:color w:val="001641"/>
              </w:rPr>
              <w:t>Stockholder advisory vote on executive compensation held annually</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720" w:right="240" w:hanging="435"/>
        <w:spacing w:after="0" w:line="294" w:lineRule="auto"/>
        <w:tabs>
          <w:tab w:leader="none" w:pos="439" w:val="left"/>
        </w:tabs>
        <w:numPr>
          <w:ilvl w:val="0"/>
          <w:numId w:val="20"/>
        </w:numPr>
        <w:rPr>
          <w:rFonts w:ascii="Arial" w:cs="Arial" w:eastAsia="Arial" w:hAnsi="Arial"/>
          <w:sz w:val="14"/>
          <w:szCs w:val="14"/>
          <w:b w:val="1"/>
          <w:bCs w:val="1"/>
          <w:color w:val="001641"/>
        </w:rPr>
      </w:pPr>
      <w:r>
        <w:rPr>
          <w:rFonts w:ascii="Arial" w:cs="Arial" w:eastAsia="Arial" w:hAnsi="Arial"/>
          <w:sz w:val="14"/>
          <w:szCs w:val="14"/>
          <w:b w:val="1"/>
          <w:bCs w:val="1"/>
          <w:color w:val="001641"/>
        </w:rPr>
        <w:t>   Class A directors are elected solely by the Class A stockholders as a class and may be removed by Class A stockholders with or without cause</w:t>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001641"/>
        </w:rPr>
        <w:t>Comprehensive Code of Business Conduct and Ethics that is designed to provide directors,</w:t>
      </w:r>
    </w:p>
    <w:p>
      <w:pPr>
        <w:spacing w:after="0" w:line="15" w:lineRule="exact"/>
        <w:rPr>
          <w:sz w:val="20"/>
          <w:szCs w:val="20"/>
          <w:color w:val="auto"/>
        </w:rPr>
      </w:pPr>
    </w:p>
    <w:p>
      <w:pPr>
        <w:ind w:left="720" w:right="200" w:hanging="435"/>
        <w:spacing w:after="0" w:line="257" w:lineRule="auto"/>
        <w:tabs>
          <w:tab w:leader="none" w:pos="439" w:val="left"/>
        </w:tabs>
        <w:numPr>
          <w:ilvl w:val="0"/>
          <w:numId w:val="21"/>
        </w:numPr>
        <w:rPr>
          <w:rFonts w:ascii="Arial" w:cs="Arial" w:eastAsia="Arial" w:hAnsi="Arial"/>
          <w:sz w:val="14"/>
          <w:szCs w:val="14"/>
          <w:b w:val="1"/>
          <w:bCs w:val="1"/>
          <w:color w:val="001641"/>
        </w:rPr>
      </w:pPr>
      <w:r>
        <w:rPr>
          <w:rFonts w:ascii="Arial" w:cs="Arial" w:eastAsia="Arial" w:hAnsi="Arial"/>
          <w:sz w:val="14"/>
          <w:szCs w:val="14"/>
          <w:b w:val="1"/>
          <w:bCs w:val="1"/>
          <w:color w:val="001641"/>
        </w:rPr>
        <w:t>   senior management and employees with guidance on our Company’s compliance policies. Directors, members of the Company’s Executive Leadership Team and all employees receive annual training on the Code of Business Conduct and Ethics with an annual training certification</w:t>
      </w:r>
    </w:p>
    <w:p>
      <w:pPr>
        <w:spacing w:after="0" w:line="103" w:lineRule="exact"/>
        <w:rPr>
          <w:rFonts w:ascii="Arial" w:cs="Arial" w:eastAsia="Arial" w:hAnsi="Arial"/>
          <w:sz w:val="14"/>
          <w:szCs w:val="14"/>
          <w:b w:val="1"/>
          <w:bCs w:val="1"/>
          <w:color w:val="001641"/>
        </w:rPr>
      </w:pPr>
    </w:p>
    <w:p>
      <w:pPr>
        <w:ind w:left="720" w:right="420" w:hanging="435"/>
        <w:spacing w:after="0" w:line="294" w:lineRule="auto"/>
        <w:tabs>
          <w:tab w:leader="none" w:pos="439" w:val="left"/>
        </w:tabs>
        <w:numPr>
          <w:ilvl w:val="0"/>
          <w:numId w:val="21"/>
        </w:numPr>
        <w:rPr>
          <w:rFonts w:ascii="Arial" w:cs="Arial" w:eastAsia="Arial" w:hAnsi="Arial"/>
          <w:sz w:val="14"/>
          <w:szCs w:val="14"/>
          <w:b w:val="1"/>
          <w:bCs w:val="1"/>
          <w:color w:val="001641"/>
        </w:rPr>
      </w:pPr>
      <w:r>
        <w:rPr>
          <w:rFonts w:ascii="Arial" w:cs="Arial" w:eastAsia="Arial" w:hAnsi="Arial"/>
          <w:sz w:val="14"/>
          <w:szCs w:val="14"/>
          <w:b w:val="1"/>
          <w:bCs w:val="1"/>
          <w:color w:val="001641"/>
        </w:rPr>
        <w:t>   Independent directors meet in Executive Session without management present at each Board and Committee meeting</w:t>
      </w:r>
    </w:p>
    <w:p>
      <w:pPr>
        <w:spacing w:after="0" w:line="38" w:lineRule="exact"/>
        <w:rPr>
          <w:sz w:val="20"/>
          <w:szCs w:val="20"/>
          <w:color w:val="auto"/>
        </w:rPr>
      </w:pPr>
    </w:p>
    <w:p>
      <w:pPr>
        <w:ind w:left="720" w:right="600"/>
        <w:spacing w:after="0" w:line="228" w:lineRule="auto"/>
        <w:rPr>
          <w:sz w:val="20"/>
          <w:szCs w:val="20"/>
          <w:color w:val="auto"/>
        </w:rPr>
      </w:pPr>
      <w:r>
        <w:rPr>
          <w:rFonts w:ascii="Arial" w:cs="Arial" w:eastAsia="Arial" w:hAnsi="Arial"/>
          <w:sz w:val="14"/>
          <w:szCs w:val="14"/>
          <w:b w:val="1"/>
          <w:bCs w:val="1"/>
          <w:color w:val="001641"/>
        </w:rPr>
        <w:t>Board maintains oversight of citizenship and sustainability so it can effectively govern and manage the citizenship and sustainability risks and opportunities that are integral to our</w:t>
      </w:r>
    </w:p>
    <w:p>
      <w:pPr>
        <w:ind w:left="720" w:right="320" w:hanging="424"/>
        <w:spacing w:after="0" w:line="267" w:lineRule="auto"/>
        <w:tabs>
          <w:tab w:leader="none" w:pos="700" w:val="left"/>
        </w:tabs>
        <w:rPr>
          <w:sz w:val="20"/>
          <w:szCs w:val="20"/>
          <w:color w:val="auto"/>
        </w:rPr>
      </w:pPr>
      <w:r>
        <w:rPr>
          <w:rFonts w:ascii="Arial" w:cs="Arial" w:eastAsia="Arial" w:hAnsi="Arial"/>
          <w:sz w:val="28"/>
          <w:szCs w:val="28"/>
          <w:b w:val="1"/>
          <w:bCs w:val="1"/>
          <w:color w:val="001641"/>
          <w:vertAlign w:val="superscript"/>
        </w:rPr>
        <w:t xml:space="preserve">    </w:t>
      </w:r>
      <w:r>
        <w:rPr>
          <w:rFonts w:ascii="Arial" w:cs="Arial" w:eastAsia="Arial" w:hAnsi="Arial"/>
          <w:sz w:val="14"/>
          <w:szCs w:val="14"/>
          <w:b w:val="1"/>
          <w:bCs w:val="1"/>
          <w:color w:val="001641"/>
        </w:rPr>
        <w:tab/>
        <w:t>corporate mission and business strategy. Significant citizenship and sustainability risks are reviewed and evaluated by the Board and its Committees quarterly as part of their ongoing risk oversight of our Company</w:t>
      </w:r>
    </w:p>
    <w:p>
      <w:pPr>
        <w:spacing w:after="0" w:line="74" w:lineRule="exact"/>
        <w:rPr>
          <w:sz w:val="20"/>
          <w:szCs w:val="20"/>
          <w:color w:val="auto"/>
        </w:rPr>
      </w:pPr>
    </w:p>
    <w:p>
      <w:pPr>
        <w:ind w:left="720" w:right="180" w:hanging="435"/>
        <w:spacing w:after="0" w:line="294" w:lineRule="auto"/>
        <w:tabs>
          <w:tab w:leader="none" w:pos="439" w:val="left"/>
        </w:tabs>
        <w:numPr>
          <w:ilvl w:val="0"/>
          <w:numId w:val="22"/>
        </w:numPr>
        <w:rPr>
          <w:rFonts w:ascii="Arial" w:cs="Arial" w:eastAsia="Arial" w:hAnsi="Arial"/>
          <w:sz w:val="14"/>
          <w:szCs w:val="14"/>
          <w:b w:val="1"/>
          <w:bCs w:val="1"/>
          <w:color w:val="001641"/>
        </w:rPr>
      </w:pPr>
      <w:r>
        <w:rPr>
          <w:rFonts w:ascii="Arial" w:cs="Arial" w:eastAsia="Arial" w:hAnsi="Arial"/>
          <w:sz w:val="14"/>
          <w:szCs w:val="14"/>
          <w:b w:val="1"/>
          <w:bCs w:val="1"/>
          <w:color w:val="001641"/>
        </w:rPr>
        <w:t>   Each of the Board and its Committees annually evaluates its performance in a process led by the Lead Independent Director and the Nominating Committee</w:t>
      </w:r>
    </w:p>
    <w:p>
      <w:pPr>
        <w:spacing w:after="0" w:line="51" w:lineRule="exact"/>
        <w:rPr>
          <w:rFonts w:ascii="Arial" w:cs="Arial" w:eastAsia="Arial" w:hAnsi="Arial"/>
          <w:sz w:val="14"/>
          <w:szCs w:val="14"/>
          <w:b w:val="1"/>
          <w:bCs w:val="1"/>
          <w:color w:val="001641"/>
        </w:rPr>
      </w:pPr>
    </w:p>
    <w:p>
      <w:pPr>
        <w:ind w:left="720" w:right="220" w:hanging="435"/>
        <w:spacing w:after="0" w:line="294" w:lineRule="auto"/>
        <w:tabs>
          <w:tab w:leader="none" w:pos="439" w:val="left"/>
        </w:tabs>
        <w:numPr>
          <w:ilvl w:val="0"/>
          <w:numId w:val="22"/>
        </w:numPr>
        <w:rPr>
          <w:rFonts w:ascii="Arial" w:cs="Arial" w:eastAsia="Arial" w:hAnsi="Arial"/>
          <w:sz w:val="14"/>
          <w:szCs w:val="14"/>
          <w:b w:val="1"/>
          <w:bCs w:val="1"/>
          <w:color w:val="001641"/>
        </w:rPr>
      </w:pPr>
      <w:r>
        <w:rPr>
          <w:rFonts w:ascii="Arial" w:cs="Arial" w:eastAsia="Arial" w:hAnsi="Arial"/>
          <w:sz w:val="14"/>
          <w:szCs w:val="14"/>
          <w:b w:val="1"/>
          <w:bCs w:val="1"/>
          <w:color w:val="001641"/>
        </w:rPr>
        <w:t>   Evolved approach to CEO evaluation and succession planning led by Lead Independent Director in partnership with independent Chairs of Nominating Committee and Talent Committee</w:t>
      </w:r>
    </w:p>
    <w:p>
      <w:pPr>
        <w:spacing w:after="0" w:line="38" w:lineRule="exact"/>
        <w:rPr>
          <w:sz w:val="20"/>
          <w:szCs w:val="20"/>
          <w:color w:val="auto"/>
        </w:rPr>
      </w:pPr>
    </w:p>
    <w:p>
      <w:pPr>
        <w:ind w:left="720" w:right="220"/>
        <w:spacing w:after="0" w:line="228" w:lineRule="auto"/>
        <w:rPr>
          <w:sz w:val="20"/>
          <w:szCs w:val="20"/>
          <w:color w:val="auto"/>
        </w:rPr>
      </w:pPr>
      <w:r>
        <w:rPr>
          <w:rFonts w:ascii="Arial" w:cs="Arial" w:eastAsia="Arial" w:hAnsi="Arial"/>
          <w:sz w:val="14"/>
          <w:szCs w:val="14"/>
          <w:b w:val="1"/>
          <w:bCs w:val="1"/>
          <w:color w:val="001641"/>
        </w:rPr>
        <w:t>Stock ownership guidelines require our CEO, independent directors, named executive officers and certain other members of the Company’s senior management team to own shares equal to a</w:t>
      </w:r>
    </w:p>
    <w:p>
      <w:pPr>
        <w:ind w:left="720" w:right="520" w:hanging="424"/>
        <w:spacing w:after="0" w:line="267" w:lineRule="auto"/>
        <w:tabs>
          <w:tab w:leader="none" w:pos="700" w:val="left"/>
        </w:tabs>
        <w:rPr>
          <w:sz w:val="20"/>
          <w:szCs w:val="20"/>
          <w:color w:val="auto"/>
        </w:rPr>
      </w:pPr>
      <w:r>
        <w:rPr>
          <w:rFonts w:ascii="Arial" w:cs="Arial" w:eastAsia="Arial" w:hAnsi="Arial"/>
          <w:sz w:val="28"/>
          <w:szCs w:val="28"/>
          <w:b w:val="1"/>
          <w:bCs w:val="1"/>
          <w:color w:val="001641"/>
          <w:vertAlign w:val="superscript"/>
        </w:rPr>
        <w:t xml:space="preserve">    </w:t>
      </w:r>
      <w:r>
        <w:rPr>
          <w:rFonts w:ascii="Arial" w:cs="Arial" w:eastAsia="Arial" w:hAnsi="Arial"/>
          <w:sz w:val="14"/>
          <w:szCs w:val="14"/>
          <w:b w:val="1"/>
          <w:bCs w:val="1"/>
          <w:color w:val="001641"/>
        </w:rPr>
        <w:tab/>
        <w:t>specified multiple of applicable annual retainer or base salary as discussed in “Director Compensation – Stock Ownership Guidelines” and “Compensation Discussion &amp; Analysis – Executive Stock Ownership Guidelines”</w:t>
      </w:r>
    </w:p>
    <w:p>
      <w:pPr>
        <w:spacing w:after="0" w:line="74" w:lineRule="exact"/>
        <w:rPr>
          <w:sz w:val="20"/>
          <w:szCs w:val="20"/>
          <w:color w:val="auto"/>
        </w:rPr>
      </w:pPr>
    </w:p>
    <w:p>
      <w:pPr>
        <w:ind w:left="720" w:right="340" w:hanging="435"/>
        <w:spacing w:after="0" w:line="294" w:lineRule="auto"/>
        <w:tabs>
          <w:tab w:leader="none" w:pos="439" w:val="left"/>
        </w:tabs>
        <w:numPr>
          <w:ilvl w:val="0"/>
          <w:numId w:val="23"/>
        </w:numPr>
        <w:rPr>
          <w:rFonts w:ascii="Arial" w:cs="Arial" w:eastAsia="Arial" w:hAnsi="Arial"/>
          <w:sz w:val="14"/>
          <w:szCs w:val="14"/>
          <w:b w:val="1"/>
          <w:bCs w:val="1"/>
          <w:color w:val="001641"/>
        </w:rPr>
      </w:pPr>
      <w:r>
        <w:rPr>
          <w:rFonts w:ascii="Arial" w:cs="Arial" w:eastAsia="Arial" w:hAnsi="Arial"/>
          <w:sz w:val="14"/>
          <w:szCs w:val="14"/>
          <w:b w:val="1"/>
          <w:bCs w:val="1"/>
          <w:color w:val="001641"/>
        </w:rPr>
        <w:t>   NEOs subject to a clawback policy that provides for the mandatory recoupment of erroneously awarded incentive-based compensation in the event of an accounting restatement</w:t>
      </w:r>
    </w:p>
    <w:p>
      <w:pPr>
        <w:spacing w:after="0" w:line="37" w:lineRule="exact"/>
        <w:rPr>
          <w:rFonts w:ascii="Arial" w:cs="Arial" w:eastAsia="Arial" w:hAnsi="Arial"/>
          <w:sz w:val="14"/>
          <w:szCs w:val="14"/>
          <w:b w:val="1"/>
          <w:bCs w:val="1"/>
          <w:color w:val="001641"/>
        </w:rPr>
      </w:pPr>
    </w:p>
    <w:p>
      <w:pPr>
        <w:ind w:left="720" w:right="340" w:hanging="435"/>
        <w:spacing w:after="0" w:line="294" w:lineRule="auto"/>
        <w:tabs>
          <w:tab w:leader="none" w:pos="439" w:val="left"/>
        </w:tabs>
        <w:numPr>
          <w:ilvl w:val="0"/>
          <w:numId w:val="23"/>
        </w:numPr>
        <w:rPr>
          <w:rFonts w:ascii="Arial" w:cs="Arial" w:eastAsia="Arial" w:hAnsi="Arial"/>
          <w:sz w:val="14"/>
          <w:szCs w:val="14"/>
          <w:b w:val="1"/>
          <w:bCs w:val="1"/>
          <w:color w:val="001641"/>
        </w:rPr>
      </w:pPr>
      <w:r>
        <w:rPr>
          <w:rFonts w:ascii="Arial" w:cs="Arial" w:eastAsia="Arial" w:hAnsi="Arial"/>
          <w:sz w:val="14"/>
          <w:szCs w:val="14"/>
          <w:b w:val="1"/>
          <w:bCs w:val="1"/>
          <w:color w:val="001641"/>
        </w:rPr>
        <w:t>   Policy prohibiting all directors, officers and employees from pledging, hedging or short selling Company stock</w:t>
      </w:r>
    </w:p>
    <w:p>
      <w:pPr>
        <w:spacing w:after="0" w:line="37" w:lineRule="exact"/>
        <w:rPr>
          <w:rFonts w:ascii="Arial" w:cs="Arial" w:eastAsia="Arial" w:hAnsi="Arial"/>
          <w:sz w:val="14"/>
          <w:szCs w:val="14"/>
          <w:b w:val="1"/>
          <w:bCs w:val="1"/>
          <w:color w:val="001641"/>
        </w:rPr>
      </w:pPr>
    </w:p>
    <w:p>
      <w:pPr>
        <w:ind w:left="720" w:right="660" w:hanging="435"/>
        <w:spacing w:after="0" w:line="294" w:lineRule="auto"/>
        <w:tabs>
          <w:tab w:leader="none" w:pos="439" w:val="left"/>
        </w:tabs>
        <w:numPr>
          <w:ilvl w:val="0"/>
          <w:numId w:val="23"/>
        </w:numPr>
        <w:rPr>
          <w:rFonts w:ascii="Arial" w:cs="Arial" w:eastAsia="Arial" w:hAnsi="Arial"/>
          <w:sz w:val="14"/>
          <w:szCs w:val="14"/>
          <w:b w:val="1"/>
          <w:bCs w:val="1"/>
          <w:color w:val="001641"/>
        </w:rPr>
      </w:pPr>
      <w:r>
        <w:rPr>
          <w:rFonts w:ascii="Arial" w:cs="Arial" w:eastAsia="Arial" w:hAnsi="Arial"/>
          <w:sz w:val="14"/>
          <w:szCs w:val="14"/>
          <w:b w:val="1"/>
          <w:bCs w:val="1"/>
          <w:color w:val="001641"/>
        </w:rPr>
        <w:t>   Board’s balanced approach to Board evolution results in an effective mix of directors with historical context and new directors with complementary skills and expertise</w:t>
      </w:r>
    </w:p>
    <w:p>
      <w:pPr>
        <w:spacing w:after="0" w:line="37" w:lineRule="exact"/>
        <w:rPr>
          <w:rFonts w:ascii="Arial" w:cs="Arial" w:eastAsia="Arial" w:hAnsi="Arial"/>
          <w:sz w:val="14"/>
          <w:szCs w:val="14"/>
          <w:b w:val="1"/>
          <w:bCs w:val="1"/>
          <w:color w:val="001641"/>
        </w:rPr>
      </w:pPr>
    </w:p>
    <w:p>
      <w:pPr>
        <w:ind w:left="720" w:right="920" w:hanging="435"/>
        <w:spacing w:after="0" w:line="294" w:lineRule="auto"/>
        <w:tabs>
          <w:tab w:leader="none" w:pos="439" w:val="left"/>
        </w:tabs>
        <w:numPr>
          <w:ilvl w:val="0"/>
          <w:numId w:val="23"/>
        </w:numPr>
        <w:rPr>
          <w:rFonts w:ascii="Arial" w:cs="Arial" w:eastAsia="Arial" w:hAnsi="Arial"/>
          <w:sz w:val="14"/>
          <w:szCs w:val="14"/>
          <w:b w:val="1"/>
          <w:bCs w:val="1"/>
          <w:color w:val="001641"/>
        </w:rPr>
      </w:pPr>
      <w:r>
        <w:rPr>
          <w:rFonts w:ascii="Arial" w:cs="Arial" w:eastAsia="Arial" w:hAnsi="Arial"/>
          <w:sz w:val="14"/>
          <w:szCs w:val="14"/>
          <w:b w:val="1"/>
          <w:bCs w:val="1"/>
          <w:color w:val="001641"/>
        </w:rPr>
        <w:t>   Diverse Board, representing differences in skills, industry and geographic experience, background, and other unique characteristics</w:t>
      </w:r>
    </w:p>
    <w:p>
      <w:pPr>
        <w:spacing w:after="0" w:line="78" w:lineRule="exact"/>
        <w:rPr>
          <w:sz w:val="20"/>
          <w:szCs w:val="20"/>
          <w:color w:val="auto"/>
        </w:rPr>
      </w:pPr>
    </w:p>
    <w:p>
      <w:pPr>
        <w:sectPr>
          <w:pgSz w:w="11900" w:h="16838" w:orient="portrait"/>
          <w:cols w:equalWidth="0" w:num="2">
            <w:col w:w="1526" w:space="140"/>
            <w:col w:w="7520"/>
          </w:cols>
          <w:pgMar w:left="1354" w:top="114" w:right="1359" w:bottom="1440" w:gutter="0" w:footer="0" w:header="0"/>
          <w:type w:val="continuous"/>
        </w:sectPr>
      </w:pPr>
    </w:p>
    <w:tbl>
      <w:tblPr>
        <w:tblLayout w:type="fixed"/>
        <w:tblInd w:w="6" w:type="dxa"/>
        <w:tblCellMar>
          <w:top w:w="0" w:type="dxa"/>
          <w:left w:w="0" w:type="dxa"/>
          <w:bottom w:w="0" w:type="dxa"/>
          <w:right w:w="0" w:type="dxa"/>
        </w:tblCellMar>
      </w:tblPr>
      <w:tr>
        <w:trPr>
          <w:trHeight w:val="332"/>
        </w:trPr>
        <w:tc>
          <w:tcPr>
            <w:tcW w:w="100" w:type="dxa"/>
            <w:vAlign w:val="bottom"/>
            <w:tcBorders>
              <w:top w:val="single" w:sz="8" w:color="BFA071"/>
            </w:tcBorders>
            <w:shd w:val="clear" w:color="auto" w:fill="BFA071"/>
          </w:tcPr>
          <w:p>
            <w:pPr>
              <w:spacing w:after="0"/>
              <w:rPr>
                <w:sz w:val="24"/>
                <w:szCs w:val="24"/>
                <w:color w:val="auto"/>
              </w:rPr>
            </w:pPr>
          </w:p>
        </w:tc>
        <w:tc>
          <w:tcPr>
            <w:tcW w:w="1460" w:type="dxa"/>
            <w:vAlign w:val="bottom"/>
            <w:tcBorders>
              <w:top w:val="single" w:sz="8" w:color="BFA071"/>
            </w:tcBorders>
            <w:shd w:val="clear" w:color="auto" w:fill="BFA071"/>
          </w:tcPr>
          <w:p>
            <w:pPr>
              <w:spacing w:after="0"/>
              <w:rPr>
                <w:sz w:val="24"/>
                <w:szCs w:val="24"/>
                <w:color w:val="auto"/>
              </w:rPr>
            </w:pPr>
          </w:p>
        </w:tc>
        <w:tc>
          <w:tcPr>
            <w:tcW w:w="100" w:type="dxa"/>
            <w:vAlign w:val="bottom"/>
            <w:tcBorders>
              <w:top w:val="single" w:sz="8" w:color="BFA071"/>
            </w:tcBorders>
            <w:shd w:val="clear" w:color="auto" w:fill="BFA071"/>
          </w:tcPr>
          <w:p>
            <w:pPr>
              <w:spacing w:after="0"/>
              <w:rPr>
                <w:sz w:val="24"/>
                <w:szCs w:val="24"/>
                <w:color w:val="auto"/>
              </w:rPr>
            </w:pPr>
          </w:p>
        </w:tc>
        <w:tc>
          <w:tcPr>
            <w:tcW w:w="120" w:type="dxa"/>
            <w:vAlign w:val="bottom"/>
            <w:tcBorders>
              <w:top w:val="single" w:sz="8" w:color="BFA071"/>
            </w:tcBorders>
            <w:shd w:val="clear" w:color="auto" w:fill="EBE1D2"/>
          </w:tcPr>
          <w:p>
            <w:pPr>
              <w:spacing w:after="0"/>
              <w:rPr>
                <w:sz w:val="24"/>
                <w:szCs w:val="24"/>
                <w:color w:val="auto"/>
              </w:rPr>
            </w:pPr>
          </w:p>
        </w:tc>
        <w:tc>
          <w:tcPr>
            <w:tcW w:w="260" w:type="dxa"/>
            <w:vAlign w:val="bottom"/>
            <w:tcBorders>
              <w:top w:val="single" w:sz="8" w:color="BFA071"/>
            </w:tcBorders>
            <w:shd w:val="clear" w:color="auto" w:fill="EBE1D2"/>
          </w:tcPr>
          <w:p>
            <w:pPr>
              <w:spacing w:after="0"/>
              <w:rPr>
                <w:sz w:val="24"/>
                <w:szCs w:val="24"/>
                <w:color w:val="auto"/>
              </w:rPr>
            </w:pPr>
          </w:p>
        </w:tc>
        <w:tc>
          <w:tcPr>
            <w:tcW w:w="220" w:type="dxa"/>
            <w:vAlign w:val="bottom"/>
            <w:tcBorders>
              <w:top w:val="single" w:sz="8" w:color="BFA071"/>
            </w:tcBorders>
            <w:shd w:val="clear" w:color="auto" w:fill="EBE1D2"/>
          </w:tcPr>
          <w:p>
            <w:pPr>
              <w:spacing w:after="0"/>
              <w:rPr>
                <w:sz w:val="24"/>
                <w:szCs w:val="24"/>
                <w:color w:val="auto"/>
              </w:rPr>
            </w:pPr>
          </w:p>
        </w:tc>
        <w:tc>
          <w:tcPr>
            <w:tcW w:w="6920" w:type="dxa"/>
            <w:vAlign w:val="bottom"/>
            <w:tcBorders>
              <w:top w:val="single" w:sz="8" w:color="BFA071"/>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In​ Fiscal 2026, the Company contacted over 70% of our top 25 Class A stockholders, and held</w:t>
            </w:r>
          </w:p>
        </w:tc>
        <w:tc>
          <w:tcPr>
            <w:tcW w:w="0" w:type="dxa"/>
            <w:vAlign w:val="bottom"/>
          </w:tcPr>
          <w:p>
            <w:pPr>
              <w:spacing w:after="0"/>
              <w:rPr>
                <w:sz w:val="1"/>
                <w:szCs w:val="1"/>
                <w:color w:val="auto"/>
              </w:rPr>
            </w:pPr>
          </w:p>
        </w:tc>
      </w:tr>
      <w:tr>
        <w:trPr>
          <w:trHeight w:val="189"/>
        </w:trPr>
        <w:tc>
          <w:tcPr>
            <w:tcW w:w="100" w:type="dxa"/>
            <w:vAlign w:val="bottom"/>
            <w:shd w:val="clear" w:color="auto" w:fill="BFA071"/>
          </w:tcPr>
          <w:p>
            <w:pPr>
              <w:spacing w:after="0"/>
              <w:rPr>
                <w:sz w:val="16"/>
                <w:szCs w:val="16"/>
                <w:color w:val="auto"/>
              </w:rPr>
            </w:pPr>
          </w:p>
        </w:tc>
        <w:tc>
          <w:tcPr>
            <w:tcW w:w="1460" w:type="dxa"/>
            <w:vAlign w:val="bottom"/>
            <w:shd w:val="clear" w:color="auto" w:fill="BFA071"/>
          </w:tcPr>
          <w:p>
            <w:pPr>
              <w:spacing w:after="0"/>
              <w:rPr>
                <w:sz w:val="16"/>
                <w:szCs w:val="16"/>
                <w:color w:val="auto"/>
              </w:rPr>
            </w:pPr>
          </w:p>
        </w:tc>
        <w:tc>
          <w:tcPr>
            <w:tcW w:w="100" w:type="dxa"/>
            <w:vAlign w:val="bottom"/>
            <w:shd w:val="clear" w:color="auto" w:fill="BFA071"/>
          </w:tcPr>
          <w:p>
            <w:pPr>
              <w:spacing w:after="0"/>
              <w:rPr>
                <w:sz w:val="16"/>
                <w:szCs w:val="16"/>
                <w:color w:val="auto"/>
              </w:rPr>
            </w:pPr>
          </w:p>
        </w:tc>
        <w:tc>
          <w:tcPr>
            <w:tcW w:w="120" w:type="dxa"/>
            <w:vAlign w:val="bottom"/>
            <w:shd w:val="clear" w:color="auto" w:fill="EBE1D2"/>
          </w:tcPr>
          <w:p>
            <w:pPr>
              <w:spacing w:after="0"/>
              <w:rPr>
                <w:sz w:val="16"/>
                <w:szCs w:val="16"/>
                <w:color w:val="auto"/>
              </w:rPr>
            </w:pPr>
          </w:p>
        </w:tc>
        <w:tc>
          <w:tcPr>
            <w:tcW w:w="260" w:type="dxa"/>
            <w:vAlign w:val="bottom"/>
            <w:shd w:val="clear" w:color="auto" w:fill="EBE1D2"/>
          </w:tcPr>
          <w:p>
            <w:pPr>
              <w:ind w:left="16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shd w:val="clear" w:color="auto" w:fill="EBE1D2"/>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tcBorders>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meetings with all stockholders that accepted our invitation representing approximately 17% of</w:t>
            </w:r>
          </w:p>
        </w:tc>
        <w:tc>
          <w:tcPr>
            <w:tcW w:w="0" w:type="dxa"/>
            <w:vAlign w:val="bottom"/>
          </w:tcPr>
          <w:p>
            <w:pPr>
              <w:spacing w:after="0"/>
              <w:rPr>
                <w:sz w:val="1"/>
                <w:szCs w:val="1"/>
                <w:color w:val="auto"/>
              </w:rPr>
            </w:pPr>
          </w:p>
        </w:tc>
      </w:tr>
      <w:tr>
        <w:trPr>
          <w:trHeight w:val="189"/>
        </w:trPr>
        <w:tc>
          <w:tcPr>
            <w:tcW w:w="100" w:type="dxa"/>
            <w:vAlign w:val="bottom"/>
            <w:shd w:val="clear" w:color="auto" w:fill="BFA071"/>
          </w:tcPr>
          <w:p>
            <w:pPr>
              <w:spacing w:after="0"/>
              <w:rPr>
                <w:sz w:val="16"/>
                <w:szCs w:val="16"/>
                <w:color w:val="auto"/>
              </w:rPr>
            </w:pPr>
          </w:p>
        </w:tc>
        <w:tc>
          <w:tcPr>
            <w:tcW w:w="1460" w:type="dxa"/>
            <w:vAlign w:val="bottom"/>
            <w:shd w:val="clear" w:color="auto" w:fill="BFA071"/>
          </w:tcPr>
          <w:p>
            <w:pPr>
              <w:spacing w:after="0"/>
              <w:rPr>
                <w:sz w:val="16"/>
                <w:szCs w:val="16"/>
                <w:color w:val="auto"/>
              </w:rPr>
            </w:pPr>
          </w:p>
        </w:tc>
        <w:tc>
          <w:tcPr>
            <w:tcW w:w="100" w:type="dxa"/>
            <w:vAlign w:val="bottom"/>
            <w:shd w:val="clear" w:color="auto" w:fill="BFA071"/>
          </w:tcPr>
          <w:p>
            <w:pPr>
              <w:spacing w:after="0"/>
              <w:rPr>
                <w:sz w:val="16"/>
                <w:szCs w:val="16"/>
                <w:color w:val="auto"/>
              </w:rPr>
            </w:pPr>
          </w:p>
        </w:tc>
        <w:tc>
          <w:tcPr>
            <w:tcW w:w="120" w:type="dxa"/>
            <w:vAlign w:val="bottom"/>
            <w:shd w:val="clear" w:color="auto" w:fill="EBE1D2"/>
          </w:tcPr>
          <w:p>
            <w:pPr>
              <w:spacing w:after="0"/>
              <w:rPr>
                <w:sz w:val="16"/>
                <w:szCs w:val="16"/>
                <w:color w:val="auto"/>
              </w:rPr>
            </w:pPr>
          </w:p>
        </w:tc>
        <w:tc>
          <w:tcPr>
            <w:tcW w:w="260" w:type="dxa"/>
            <w:vAlign w:val="bottom"/>
            <w:shd w:val="clear" w:color="auto" w:fill="EBE1D2"/>
          </w:tcPr>
          <w:p>
            <w:pPr>
              <w:spacing w:after="0"/>
              <w:rPr>
                <w:sz w:val="16"/>
                <w:szCs w:val="16"/>
                <w:color w:val="auto"/>
              </w:rPr>
            </w:pPr>
          </w:p>
        </w:tc>
        <w:tc>
          <w:tcPr>
            <w:tcW w:w="220" w:type="dxa"/>
            <w:vAlign w:val="bottom"/>
            <w:shd w:val="clear" w:color="auto" w:fill="EBE1D2"/>
          </w:tcPr>
          <w:p>
            <w:pPr>
              <w:spacing w:after="0"/>
              <w:rPr>
                <w:sz w:val="16"/>
                <w:szCs w:val="16"/>
                <w:color w:val="auto"/>
              </w:rPr>
            </w:pPr>
          </w:p>
        </w:tc>
        <w:tc>
          <w:tcPr>
            <w:tcW w:w="6920" w:type="dxa"/>
            <w:vAlign w:val="bottom"/>
            <w:tcBorders>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our Class A Common Stock outstanding. Our Lead Independent Director participated in certain</w:t>
            </w:r>
          </w:p>
        </w:tc>
        <w:tc>
          <w:tcPr>
            <w:tcW w:w="0" w:type="dxa"/>
            <w:vAlign w:val="bottom"/>
          </w:tcPr>
          <w:p>
            <w:pPr>
              <w:spacing w:after="0"/>
              <w:rPr>
                <w:sz w:val="1"/>
                <w:szCs w:val="1"/>
                <w:color w:val="auto"/>
              </w:rPr>
            </w:pPr>
          </w:p>
        </w:tc>
      </w:tr>
      <w:tr>
        <w:trPr>
          <w:trHeight w:val="225"/>
        </w:trPr>
        <w:tc>
          <w:tcPr>
            <w:tcW w:w="100" w:type="dxa"/>
            <w:vAlign w:val="bottom"/>
            <w:tcBorders>
              <w:bottom w:val="single" w:sz="8" w:color="BFA071"/>
            </w:tcBorders>
            <w:shd w:val="clear" w:color="auto" w:fill="BFA071"/>
          </w:tcPr>
          <w:p>
            <w:pPr>
              <w:spacing w:after="0"/>
              <w:rPr>
                <w:sz w:val="19"/>
                <w:szCs w:val="19"/>
                <w:color w:val="auto"/>
              </w:rPr>
            </w:pPr>
          </w:p>
        </w:tc>
        <w:tc>
          <w:tcPr>
            <w:tcW w:w="1460" w:type="dxa"/>
            <w:vAlign w:val="bottom"/>
            <w:tcBorders>
              <w:bottom w:val="single" w:sz="8" w:color="BFA071"/>
            </w:tcBorders>
            <w:shd w:val="clear" w:color="auto" w:fill="BFA071"/>
          </w:tcPr>
          <w:p>
            <w:pPr>
              <w:spacing w:after="0"/>
              <w:rPr>
                <w:sz w:val="19"/>
                <w:szCs w:val="19"/>
                <w:color w:val="auto"/>
              </w:rPr>
            </w:pPr>
          </w:p>
        </w:tc>
        <w:tc>
          <w:tcPr>
            <w:tcW w:w="100" w:type="dxa"/>
            <w:vAlign w:val="bottom"/>
            <w:tcBorders>
              <w:bottom w:val="single" w:sz="8" w:color="BFA071"/>
            </w:tcBorders>
            <w:shd w:val="clear" w:color="auto" w:fill="BFA071"/>
          </w:tcPr>
          <w:p>
            <w:pPr>
              <w:spacing w:after="0"/>
              <w:rPr>
                <w:sz w:val="19"/>
                <w:szCs w:val="19"/>
                <w:color w:val="auto"/>
              </w:rPr>
            </w:pPr>
          </w:p>
        </w:tc>
        <w:tc>
          <w:tcPr>
            <w:tcW w:w="120" w:type="dxa"/>
            <w:vAlign w:val="bottom"/>
            <w:tcBorders>
              <w:bottom w:val="single" w:sz="8" w:color="EBE1D2"/>
            </w:tcBorders>
            <w:shd w:val="clear" w:color="auto" w:fill="EBE1D2"/>
          </w:tcPr>
          <w:p>
            <w:pPr>
              <w:spacing w:after="0"/>
              <w:rPr>
                <w:sz w:val="19"/>
                <w:szCs w:val="19"/>
                <w:color w:val="auto"/>
              </w:rPr>
            </w:pPr>
          </w:p>
        </w:tc>
        <w:tc>
          <w:tcPr>
            <w:tcW w:w="260" w:type="dxa"/>
            <w:vAlign w:val="bottom"/>
            <w:tcBorders>
              <w:bottom w:val="single" w:sz="8" w:color="EBE1D2"/>
            </w:tcBorders>
            <w:shd w:val="clear" w:color="auto" w:fill="EBE1D2"/>
          </w:tcPr>
          <w:p>
            <w:pPr>
              <w:spacing w:after="0"/>
              <w:rPr>
                <w:sz w:val="19"/>
                <w:szCs w:val="19"/>
                <w:color w:val="auto"/>
              </w:rPr>
            </w:pPr>
          </w:p>
        </w:tc>
        <w:tc>
          <w:tcPr>
            <w:tcW w:w="220" w:type="dxa"/>
            <w:vAlign w:val="bottom"/>
            <w:tcBorders>
              <w:bottom w:val="single" w:sz="8" w:color="EBE1D2"/>
            </w:tcBorders>
            <w:shd w:val="clear" w:color="auto" w:fill="EBE1D2"/>
          </w:tcPr>
          <w:p>
            <w:pPr>
              <w:spacing w:after="0"/>
              <w:rPr>
                <w:sz w:val="19"/>
                <w:szCs w:val="19"/>
                <w:color w:val="auto"/>
              </w:rPr>
            </w:pPr>
          </w:p>
        </w:tc>
        <w:tc>
          <w:tcPr>
            <w:tcW w:w="6920" w:type="dxa"/>
            <w:vAlign w:val="bottom"/>
            <w:tcBorders>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of these calls</w:t>
            </w:r>
          </w:p>
        </w:tc>
        <w:tc>
          <w:tcPr>
            <w:tcW w:w="0" w:type="dxa"/>
            <w:vAlign w:val="bottom"/>
          </w:tcPr>
          <w:p>
            <w:pPr>
              <w:spacing w:after="0"/>
              <w:rPr>
                <w:sz w:val="1"/>
                <w:szCs w:val="1"/>
                <w:color w:val="auto"/>
              </w:rPr>
            </w:pPr>
          </w:p>
        </w:tc>
      </w:tr>
      <w:tr>
        <w:trPr>
          <w:trHeight w:val="248"/>
        </w:trPr>
        <w:tc>
          <w:tcPr>
            <w:tcW w:w="100" w:type="dxa"/>
            <w:vAlign w:val="bottom"/>
            <w:tcBorders>
              <w:top w:val="single" w:sz="8" w:color="BFA071"/>
            </w:tcBorders>
            <w:shd w:val="clear" w:color="auto" w:fill="BFA071"/>
          </w:tcPr>
          <w:p>
            <w:pPr>
              <w:spacing w:after="0"/>
              <w:rPr>
                <w:sz w:val="21"/>
                <w:szCs w:val="21"/>
                <w:color w:val="auto"/>
              </w:rPr>
            </w:pPr>
          </w:p>
        </w:tc>
        <w:tc>
          <w:tcPr>
            <w:tcW w:w="1460" w:type="dxa"/>
            <w:vAlign w:val="bottom"/>
            <w:tcBorders>
              <w:top w:val="single" w:sz="8" w:color="BFA071"/>
            </w:tcBorders>
            <w:shd w:val="clear" w:color="auto" w:fill="BFA071"/>
          </w:tcPr>
          <w:p>
            <w:pPr>
              <w:spacing w:after="0"/>
              <w:rPr>
                <w:sz w:val="21"/>
                <w:szCs w:val="21"/>
                <w:color w:val="auto"/>
              </w:rPr>
            </w:pPr>
          </w:p>
        </w:tc>
        <w:tc>
          <w:tcPr>
            <w:tcW w:w="100" w:type="dxa"/>
            <w:vAlign w:val="bottom"/>
            <w:tcBorders>
              <w:top w:val="single" w:sz="8" w:color="BFA071"/>
            </w:tcBorders>
            <w:shd w:val="clear" w:color="auto" w:fill="BFA071"/>
          </w:tcPr>
          <w:p>
            <w:pPr>
              <w:spacing w:after="0"/>
              <w:rPr>
                <w:sz w:val="21"/>
                <w:szCs w:val="21"/>
                <w:color w:val="auto"/>
              </w:rPr>
            </w:pPr>
          </w:p>
        </w:tc>
        <w:tc>
          <w:tcPr>
            <w:tcW w:w="120" w:type="dxa"/>
            <w:vAlign w:val="bottom"/>
            <w:tcBorders>
              <w:top w:val="single" w:sz="8" w:color="BFA071"/>
            </w:tcBorders>
            <w:shd w:val="clear" w:color="auto" w:fill="EBE1D2"/>
          </w:tcPr>
          <w:p>
            <w:pPr>
              <w:spacing w:after="0"/>
              <w:rPr>
                <w:sz w:val="21"/>
                <w:szCs w:val="21"/>
                <w:color w:val="auto"/>
              </w:rPr>
            </w:pPr>
          </w:p>
        </w:tc>
        <w:tc>
          <w:tcPr>
            <w:tcW w:w="260" w:type="dxa"/>
            <w:vAlign w:val="bottom"/>
            <w:tcBorders>
              <w:top w:val="single" w:sz="8" w:color="BFA071"/>
            </w:tcBorders>
            <w:shd w:val="clear" w:color="auto" w:fill="EBE1D2"/>
          </w:tcPr>
          <w:p>
            <w:pPr>
              <w:ind w:left="16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tcBorders>
              <w:top w:val="single" w:sz="8" w:color="BFA071"/>
            </w:tcBorders>
            <w:shd w:val="clear" w:color="auto" w:fill="EBE1D2"/>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tcBorders>
              <w:top w:val="single" w:sz="8" w:color="BFA071"/>
              <w:right w:val="single" w:sz="8" w:color="BFA071"/>
            </w:tcBorders>
            <w:vMerge w:val="restart"/>
          </w:tcPr>
          <w:p>
            <w:pPr>
              <w:ind w:left="120"/>
              <w:spacing w:after="0"/>
              <w:rPr>
                <w:sz w:val="20"/>
                <w:szCs w:val="20"/>
                <w:color w:val="auto"/>
              </w:rPr>
            </w:pPr>
            <w:r>
              <w:rPr>
                <w:rFonts w:ascii="Arial" w:cs="Arial" w:eastAsia="Arial" w:hAnsi="Arial"/>
                <w:sz w:val="14"/>
                <w:szCs w:val="14"/>
                <w:b w:val="1"/>
                <w:bCs w:val="1"/>
                <w:color w:val="001641"/>
              </w:rPr>
              <w:t>Stockholder engagement actively informs corporate policies and practices</w:t>
            </w:r>
          </w:p>
        </w:tc>
        <w:tc>
          <w:tcPr>
            <w:tcW w:w="0" w:type="dxa"/>
            <w:vAlign w:val="bottom"/>
          </w:tcPr>
          <w:p>
            <w:pPr>
              <w:spacing w:after="0"/>
              <w:rPr>
                <w:sz w:val="1"/>
                <w:szCs w:val="1"/>
                <w:color w:val="auto"/>
              </w:rPr>
            </w:pPr>
          </w:p>
        </w:tc>
      </w:tr>
      <w:tr>
        <w:trPr>
          <w:trHeight w:val="54"/>
        </w:trPr>
        <w:tc>
          <w:tcPr>
            <w:tcW w:w="100" w:type="dxa"/>
            <w:vAlign w:val="bottom"/>
            <w:shd w:val="clear" w:color="auto" w:fill="BFA071"/>
          </w:tcPr>
          <w:p>
            <w:pPr>
              <w:spacing w:after="0"/>
              <w:rPr>
                <w:sz w:val="4"/>
                <w:szCs w:val="4"/>
                <w:color w:val="auto"/>
              </w:rPr>
            </w:pPr>
          </w:p>
        </w:tc>
        <w:tc>
          <w:tcPr>
            <w:tcW w:w="1460" w:type="dxa"/>
            <w:vAlign w:val="bottom"/>
            <w:vMerge w:val="restart"/>
            <w:shd w:val="clear" w:color="auto" w:fill="BFA071"/>
          </w:tcPr>
          <w:p>
            <w:pPr>
              <w:ind w:left="60"/>
              <w:spacing w:after="0"/>
              <w:rPr>
                <w:sz w:val="20"/>
                <w:szCs w:val="20"/>
                <w:color w:val="auto"/>
              </w:rPr>
            </w:pPr>
            <w:r>
              <w:rPr>
                <w:rFonts w:ascii="Arial" w:cs="Arial" w:eastAsia="Arial" w:hAnsi="Arial"/>
                <w:sz w:val="18"/>
                <w:szCs w:val="18"/>
                <w:b w:val="1"/>
                <w:bCs w:val="1"/>
                <w:color w:val="FFFFFF"/>
              </w:rPr>
              <w:t> </w:t>
            </w:r>
          </w:p>
        </w:tc>
        <w:tc>
          <w:tcPr>
            <w:tcW w:w="100" w:type="dxa"/>
            <w:vAlign w:val="bottom"/>
            <w:shd w:val="clear" w:color="auto" w:fill="BFA071"/>
          </w:tcPr>
          <w:p>
            <w:pPr>
              <w:spacing w:after="0"/>
              <w:rPr>
                <w:sz w:val="4"/>
                <w:szCs w:val="4"/>
                <w:color w:val="auto"/>
              </w:rPr>
            </w:pPr>
          </w:p>
        </w:tc>
        <w:tc>
          <w:tcPr>
            <w:tcW w:w="120" w:type="dxa"/>
            <w:vAlign w:val="bottom"/>
            <w:shd w:val="clear" w:color="auto" w:fill="EBE1D2"/>
          </w:tcPr>
          <w:p>
            <w:pPr>
              <w:spacing w:after="0"/>
              <w:rPr>
                <w:sz w:val="4"/>
                <w:szCs w:val="4"/>
                <w:color w:val="auto"/>
              </w:rPr>
            </w:pPr>
          </w:p>
        </w:tc>
        <w:tc>
          <w:tcPr>
            <w:tcW w:w="260" w:type="dxa"/>
            <w:vAlign w:val="bottom"/>
            <w:shd w:val="clear" w:color="auto" w:fill="EBE1D2"/>
          </w:tcPr>
          <w:p>
            <w:pPr>
              <w:spacing w:after="0"/>
              <w:rPr>
                <w:sz w:val="4"/>
                <w:szCs w:val="4"/>
                <w:color w:val="auto"/>
              </w:rPr>
            </w:pPr>
          </w:p>
        </w:tc>
        <w:tc>
          <w:tcPr>
            <w:tcW w:w="220" w:type="dxa"/>
            <w:vAlign w:val="bottom"/>
            <w:shd w:val="clear" w:color="auto" w:fill="EBE1D2"/>
          </w:tcPr>
          <w:p>
            <w:pPr>
              <w:spacing w:after="0"/>
              <w:rPr>
                <w:sz w:val="4"/>
                <w:szCs w:val="4"/>
                <w:color w:val="auto"/>
              </w:rPr>
            </w:pPr>
          </w:p>
        </w:tc>
        <w:tc>
          <w:tcPr>
            <w:tcW w:w="6920" w:type="dxa"/>
            <w:vAlign w:val="bottom"/>
            <w:tcBorders>
              <w:right w:val="single" w:sz="8" w:color="BFA071"/>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100" w:type="dxa"/>
            <w:vAlign w:val="bottom"/>
            <w:tcBorders>
              <w:bottom w:val="single" w:sz="8" w:color="BFA071"/>
            </w:tcBorders>
            <w:shd w:val="clear" w:color="auto" w:fill="BFA071"/>
          </w:tcPr>
          <w:p>
            <w:pPr>
              <w:spacing w:after="0"/>
              <w:rPr>
                <w:sz w:val="8"/>
                <w:szCs w:val="8"/>
                <w:color w:val="auto"/>
              </w:rPr>
            </w:pPr>
          </w:p>
        </w:tc>
        <w:tc>
          <w:tcPr>
            <w:tcW w:w="1460" w:type="dxa"/>
            <w:vAlign w:val="bottom"/>
            <w:tcBorders>
              <w:bottom w:val="single" w:sz="8" w:color="BFA071"/>
            </w:tcBorders>
            <w:vMerge w:val="continue"/>
            <w:shd w:val="clear" w:color="auto" w:fill="BFA071"/>
          </w:tcPr>
          <w:p>
            <w:pPr>
              <w:spacing w:after="0"/>
              <w:rPr>
                <w:sz w:val="8"/>
                <w:szCs w:val="8"/>
                <w:color w:val="auto"/>
              </w:rPr>
            </w:pPr>
          </w:p>
        </w:tc>
        <w:tc>
          <w:tcPr>
            <w:tcW w:w="100" w:type="dxa"/>
            <w:vAlign w:val="bottom"/>
            <w:tcBorders>
              <w:bottom w:val="single" w:sz="8" w:color="BFA071"/>
            </w:tcBorders>
            <w:vMerge w:val="restart"/>
            <w:shd w:val="clear" w:color="auto" w:fill="BFA071"/>
          </w:tcPr>
          <w:p>
            <w:pPr>
              <w:spacing w:after="0"/>
              <w:rPr>
                <w:sz w:val="8"/>
                <w:szCs w:val="8"/>
                <w:color w:val="auto"/>
              </w:rPr>
            </w:pPr>
          </w:p>
        </w:tc>
        <w:tc>
          <w:tcPr>
            <w:tcW w:w="120" w:type="dxa"/>
            <w:vAlign w:val="bottom"/>
            <w:tcBorders>
              <w:bottom w:val="single" w:sz="8" w:color="BFA071"/>
            </w:tcBorders>
            <w:shd w:val="clear" w:color="auto" w:fill="EBE1D2"/>
          </w:tcPr>
          <w:p>
            <w:pPr>
              <w:spacing w:after="0"/>
              <w:rPr>
                <w:sz w:val="8"/>
                <w:szCs w:val="8"/>
                <w:color w:val="auto"/>
              </w:rPr>
            </w:pPr>
          </w:p>
        </w:tc>
        <w:tc>
          <w:tcPr>
            <w:tcW w:w="260" w:type="dxa"/>
            <w:vAlign w:val="bottom"/>
            <w:tcBorders>
              <w:bottom w:val="single" w:sz="8" w:color="BFA071"/>
            </w:tcBorders>
            <w:shd w:val="clear" w:color="auto" w:fill="EBE1D2"/>
          </w:tcPr>
          <w:p>
            <w:pPr>
              <w:spacing w:after="0"/>
              <w:rPr>
                <w:sz w:val="8"/>
                <w:szCs w:val="8"/>
                <w:color w:val="auto"/>
              </w:rPr>
            </w:pPr>
          </w:p>
        </w:tc>
        <w:tc>
          <w:tcPr>
            <w:tcW w:w="220" w:type="dxa"/>
            <w:vAlign w:val="bottom"/>
            <w:tcBorders>
              <w:bottom w:val="single" w:sz="8" w:color="BFA071"/>
            </w:tcBorders>
            <w:shd w:val="clear" w:color="auto" w:fill="EBE1D2"/>
          </w:tcPr>
          <w:p>
            <w:pPr>
              <w:spacing w:after="0"/>
              <w:rPr>
                <w:sz w:val="8"/>
                <w:szCs w:val="8"/>
                <w:color w:val="auto"/>
              </w:rPr>
            </w:pPr>
          </w:p>
        </w:tc>
        <w:tc>
          <w:tcPr>
            <w:tcW w:w="6920" w:type="dxa"/>
            <w:vAlign w:val="bottom"/>
            <w:tcBorders>
              <w:bottom w:val="single" w:sz="8" w:color="BFA071"/>
              <w:right w:val="single" w:sz="8" w:color="BFA071"/>
            </w:tcBorders>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00" w:type="dxa"/>
            <w:vAlign w:val="bottom"/>
            <w:shd w:val="clear" w:color="auto" w:fill="BFA071"/>
          </w:tcPr>
          <w:p>
            <w:pPr>
              <w:spacing w:after="0"/>
              <w:rPr>
                <w:sz w:val="6"/>
                <w:szCs w:val="6"/>
                <w:color w:val="auto"/>
              </w:rPr>
            </w:pPr>
          </w:p>
        </w:tc>
        <w:tc>
          <w:tcPr>
            <w:tcW w:w="1460" w:type="dxa"/>
            <w:vAlign w:val="bottom"/>
            <w:vMerge w:val="continue"/>
            <w:shd w:val="clear" w:color="auto" w:fill="BFA071"/>
          </w:tcPr>
          <w:p>
            <w:pPr>
              <w:spacing w:after="0"/>
              <w:rPr>
                <w:sz w:val="6"/>
                <w:szCs w:val="6"/>
                <w:color w:val="auto"/>
              </w:rPr>
            </w:pPr>
          </w:p>
        </w:tc>
        <w:tc>
          <w:tcPr>
            <w:tcW w:w="100" w:type="dxa"/>
            <w:vAlign w:val="bottom"/>
            <w:vMerge w:val="continue"/>
            <w:shd w:val="clear" w:color="auto" w:fill="BFA071"/>
          </w:tcPr>
          <w:p>
            <w:pPr>
              <w:spacing w:after="0"/>
              <w:rPr>
                <w:sz w:val="6"/>
                <w:szCs w:val="6"/>
                <w:color w:val="auto"/>
              </w:rPr>
            </w:pPr>
          </w:p>
        </w:tc>
        <w:tc>
          <w:tcPr>
            <w:tcW w:w="120" w:type="dxa"/>
            <w:vAlign w:val="bottom"/>
            <w:shd w:val="clear" w:color="auto" w:fill="EBE1D2"/>
          </w:tcPr>
          <w:p>
            <w:pPr>
              <w:spacing w:after="0"/>
              <w:rPr>
                <w:sz w:val="6"/>
                <w:szCs w:val="6"/>
                <w:color w:val="auto"/>
              </w:rPr>
            </w:pPr>
          </w:p>
        </w:tc>
        <w:tc>
          <w:tcPr>
            <w:tcW w:w="260" w:type="dxa"/>
            <w:vAlign w:val="bottom"/>
            <w:shd w:val="clear" w:color="auto" w:fill="EBE1D2"/>
          </w:tcPr>
          <w:p>
            <w:pPr>
              <w:spacing w:after="0"/>
              <w:rPr>
                <w:sz w:val="6"/>
                <w:szCs w:val="6"/>
                <w:color w:val="auto"/>
              </w:rPr>
            </w:pPr>
          </w:p>
        </w:tc>
        <w:tc>
          <w:tcPr>
            <w:tcW w:w="220" w:type="dxa"/>
            <w:vAlign w:val="bottom"/>
            <w:shd w:val="clear" w:color="auto" w:fill="EBE1D2"/>
          </w:tcPr>
          <w:p>
            <w:pPr>
              <w:spacing w:after="0"/>
              <w:rPr>
                <w:sz w:val="6"/>
                <w:szCs w:val="6"/>
                <w:color w:val="auto"/>
              </w:rPr>
            </w:pPr>
          </w:p>
        </w:tc>
        <w:tc>
          <w:tcPr>
            <w:tcW w:w="6920" w:type="dxa"/>
            <w:vAlign w:val="bottom"/>
            <w:tcBorders>
              <w:right w:val="single" w:sz="8" w:color="BFA071"/>
            </w:tcBorders>
            <w:vMerge w:val="restart"/>
          </w:tcPr>
          <w:p>
            <w:pPr>
              <w:ind w:left="120"/>
              <w:spacing w:after="0"/>
              <w:rPr>
                <w:sz w:val="20"/>
                <w:szCs w:val="20"/>
                <w:color w:val="auto"/>
              </w:rPr>
            </w:pPr>
            <w:r>
              <w:rPr>
                <w:rFonts w:ascii="Arial" w:cs="Arial" w:eastAsia="Arial" w:hAnsi="Arial"/>
                <w:sz w:val="14"/>
                <w:szCs w:val="14"/>
                <w:b w:val="1"/>
                <w:bCs w:val="1"/>
                <w:color w:val="001641"/>
              </w:rPr>
              <w:t>Longstanding commitment to stockholder outreach is reflected in meetings with largest</w:t>
            </w:r>
          </w:p>
        </w:tc>
        <w:tc>
          <w:tcPr>
            <w:tcW w:w="0" w:type="dxa"/>
            <w:vAlign w:val="bottom"/>
          </w:tcPr>
          <w:p>
            <w:pPr>
              <w:spacing w:after="0"/>
              <w:rPr>
                <w:sz w:val="1"/>
                <w:szCs w:val="1"/>
                <w:color w:val="auto"/>
              </w:rPr>
            </w:pPr>
          </w:p>
        </w:tc>
      </w:tr>
      <w:tr>
        <w:trPr>
          <w:trHeight w:val="181"/>
        </w:trPr>
        <w:tc>
          <w:tcPr>
            <w:tcW w:w="100" w:type="dxa"/>
            <w:vAlign w:val="bottom"/>
            <w:shd w:val="clear" w:color="auto" w:fill="BFA071"/>
          </w:tcPr>
          <w:p>
            <w:pPr>
              <w:spacing w:after="0"/>
              <w:rPr>
                <w:sz w:val="15"/>
                <w:szCs w:val="15"/>
                <w:color w:val="auto"/>
              </w:rPr>
            </w:pPr>
          </w:p>
        </w:tc>
        <w:tc>
          <w:tcPr>
            <w:tcW w:w="1460" w:type="dxa"/>
            <w:vAlign w:val="bottom"/>
            <w:shd w:val="clear" w:color="auto" w:fill="BFA071"/>
          </w:tcPr>
          <w:p>
            <w:pPr>
              <w:ind w:left="220"/>
              <w:spacing w:after="0" w:line="181" w:lineRule="exact"/>
              <w:rPr>
                <w:sz w:val="20"/>
                <w:szCs w:val="20"/>
                <w:color w:val="auto"/>
              </w:rPr>
            </w:pPr>
            <w:r>
              <w:rPr>
                <w:rFonts w:ascii="Arial" w:cs="Arial" w:eastAsia="Arial" w:hAnsi="Arial"/>
                <w:sz w:val="18"/>
                <w:szCs w:val="18"/>
                <w:b w:val="1"/>
                <w:bCs w:val="1"/>
                <w:color w:val="FFFFFF"/>
              </w:rPr>
              <w:t>Stockholder</w:t>
            </w:r>
          </w:p>
        </w:tc>
        <w:tc>
          <w:tcPr>
            <w:tcW w:w="100" w:type="dxa"/>
            <w:vAlign w:val="bottom"/>
            <w:shd w:val="clear" w:color="auto" w:fill="BFA071"/>
          </w:tcPr>
          <w:p>
            <w:pPr>
              <w:spacing w:after="0"/>
              <w:rPr>
                <w:sz w:val="15"/>
                <w:szCs w:val="15"/>
                <w:color w:val="auto"/>
              </w:rPr>
            </w:pPr>
          </w:p>
        </w:tc>
        <w:tc>
          <w:tcPr>
            <w:tcW w:w="120" w:type="dxa"/>
            <w:vAlign w:val="bottom"/>
            <w:shd w:val="clear" w:color="auto" w:fill="EBE1D2"/>
          </w:tcPr>
          <w:p>
            <w:pPr>
              <w:spacing w:after="0"/>
              <w:rPr>
                <w:sz w:val="15"/>
                <w:szCs w:val="15"/>
                <w:color w:val="auto"/>
              </w:rPr>
            </w:pPr>
          </w:p>
        </w:tc>
        <w:tc>
          <w:tcPr>
            <w:tcW w:w="260" w:type="dxa"/>
            <w:vAlign w:val="bottom"/>
            <w:shd w:val="clear" w:color="auto" w:fill="EBE1D2"/>
          </w:tcPr>
          <w:p>
            <w:pPr>
              <w:spacing w:after="0"/>
              <w:rPr>
                <w:sz w:val="15"/>
                <w:szCs w:val="15"/>
                <w:color w:val="auto"/>
              </w:rPr>
            </w:pPr>
          </w:p>
        </w:tc>
        <w:tc>
          <w:tcPr>
            <w:tcW w:w="220" w:type="dxa"/>
            <w:vAlign w:val="bottom"/>
            <w:shd w:val="clear" w:color="auto" w:fill="EBE1D2"/>
          </w:tcPr>
          <w:p>
            <w:pPr>
              <w:spacing w:after="0"/>
              <w:rPr>
                <w:sz w:val="15"/>
                <w:szCs w:val="15"/>
                <w:color w:val="auto"/>
              </w:rPr>
            </w:pPr>
          </w:p>
        </w:tc>
        <w:tc>
          <w:tcPr>
            <w:tcW w:w="6920" w:type="dxa"/>
            <w:vAlign w:val="bottom"/>
            <w:tcBorders>
              <w:right w:val="single" w:sz="8" w:color="BFA071"/>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00" w:type="dxa"/>
            <w:vAlign w:val="bottom"/>
            <w:shd w:val="clear" w:color="auto" w:fill="BFA071"/>
          </w:tcPr>
          <w:p>
            <w:pPr>
              <w:spacing w:after="0"/>
              <w:rPr>
                <w:sz w:val="8"/>
                <w:szCs w:val="8"/>
                <w:color w:val="auto"/>
              </w:rPr>
            </w:pPr>
          </w:p>
        </w:tc>
        <w:tc>
          <w:tcPr>
            <w:tcW w:w="1460" w:type="dxa"/>
            <w:vAlign w:val="bottom"/>
            <w:vMerge w:val="restart"/>
            <w:shd w:val="clear" w:color="auto" w:fill="BFA071"/>
          </w:tcPr>
          <w:p>
            <w:pPr>
              <w:ind w:left="200"/>
              <w:spacing w:after="0"/>
              <w:rPr>
                <w:sz w:val="20"/>
                <w:szCs w:val="20"/>
                <w:color w:val="auto"/>
              </w:rPr>
            </w:pPr>
            <w:r>
              <w:rPr>
                <w:rFonts w:ascii="Arial" w:cs="Arial" w:eastAsia="Arial" w:hAnsi="Arial"/>
                <w:sz w:val="18"/>
                <w:szCs w:val="18"/>
                <w:b w:val="1"/>
                <w:bCs w:val="1"/>
                <w:color w:val="FFFFFF"/>
              </w:rPr>
              <w:t>Engagement</w:t>
            </w:r>
          </w:p>
        </w:tc>
        <w:tc>
          <w:tcPr>
            <w:tcW w:w="100" w:type="dxa"/>
            <w:vAlign w:val="bottom"/>
            <w:shd w:val="clear" w:color="auto" w:fill="BFA071"/>
          </w:tcPr>
          <w:p>
            <w:pPr>
              <w:spacing w:after="0"/>
              <w:rPr>
                <w:sz w:val="8"/>
                <w:szCs w:val="8"/>
                <w:color w:val="auto"/>
              </w:rPr>
            </w:pPr>
          </w:p>
        </w:tc>
        <w:tc>
          <w:tcPr>
            <w:tcW w:w="120" w:type="dxa"/>
            <w:vAlign w:val="bottom"/>
            <w:shd w:val="clear" w:color="auto" w:fill="EBE1D2"/>
          </w:tcPr>
          <w:p>
            <w:pPr>
              <w:spacing w:after="0"/>
              <w:rPr>
                <w:sz w:val="8"/>
                <w:szCs w:val="8"/>
                <w:color w:val="auto"/>
              </w:rPr>
            </w:pPr>
          </w:p>
        </w:tc>
        <w:tc>
          <w:tcPr>
            <w:tcW w:w="260" w:type="dxa"/>
            <w:vAlign w:val="bottom"/>
            <w:vMerge w:val="restart"/>
            <w:shd w:val="clear" w:color="auto" w:fill="EBE1D2"/>
          </w:tcPr>
          <w:p>
            <w:pPr>
              <w:ind w:left="16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vMerge w:val="restart"/>
            <w:shd w:val="clear" w:color="auto" w:fill="EBE1D2"/>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tcBorders>
              <w:right w:val="single" w:sz="8" w:color="BFA071"/>
            </w:tcBorders>
          </w:tcPr>
          <w:p>
            <w:pPr>
              <w:ind w:left="120"/>
              <w:spacing w:after="0" w:line="99" w:lineRule="exact"/>
              <w:rPr>
                <w:sz w:val="20"/>
                <w:szCs w:val="20"/>
                <w:color w:val="auto"/>
              </w:rPr>
            </w:pPr>
            <w:r>
              <w:rPr>
                <w:rFonts w:ascii="Arial" w:cs="Arial" w:eastAsia="Arial" w:hAnsi="Arial"/>
                <w:sz w:val="11"/>
                <w:szCs w:val="11"/>
                <w:b w:val="1"/>
                <w:bCs w:val="1"/>
                <w:color w:val="001641"/>
              </w:rPr>
              <w:t>stockholders conducted on an ongoing basis (including with participation by our Lead</w:t>
            </w:r>
          </w:p>
        </w:tc>
        <w:tc>
          <w:tcPr>
            <w:tcW w:w="0" w:type="dxa"/>
            <w:vAlign w:val="bottom"/>
          </w:tcPr>
          <w:p>
            <w:pPr>
              <w:spacing w:after="0"/>
              <w:rPr>
                <w:sz w:val="1"/>
                <w:szCs w:val="1"/>
                <w:color w:val="auto"/>
              </w:rPr>
            </w:pPr>
          </w:p>
        </w:tc>
      </w:tr>
      <w:tr>
        <w:trPr>
          <w:trHeight w:val="162"/>
        </w:trPr>
        <w:tc>
          <w:tcPr>
            <w:tcW w:w="100" w:type="dxa"/>
            <w:vAlign w:val="bottom"/>
            <w:shd w:val="clear" w:color="auto" w:fill="BFA071"/>
          </w:tcPr>
          <w:p>
            <w:pPr>
              <w:spacing w:after="0"/>
              <w:rPr>
                <w:sz w:val="14"/>
                <w:szCs w:val="14"/>
                <w:color w:val="auto"/>
              </w:rPr>
            </w:pPr>
          </w:p>
        </w:tc>
        <w:tc>
          <w:tcPr>
            <w:tcW w:w="1460" w:type="dxa"/>
            <w:vAlign w:val="bottom"/>
            <w:vMerge w:val="continue"/>
            <w:shd w:val="clear" w:color="auto" w:fill="BFA071"/>
          </w:tcPr>
          <w:p>
            <w:pPr>
              <w:spacing w:after="0"/>
              <w:rPr>
                <w:sz w:val="14"/>
                <w:szCs w:val="14"/>
                <w:color w:val="auto"/>
              </w:rPr>
            </w:pPr>
          </w:p>
        </w:tc>
        <w:tc>
          <w:tcPr>
            <w:tcW w:w="100" w:type="dxa"/>
            <w:vAlign w:val="bottom"/>
            <w:shd w:val="clear" w:color="auto" w:fill="BFA071"/>
          </w:tcPr>
          <w:p>
            <w:pPr>
              <w:spacing w:after="0"/>
              <w:rPr>
                <w:sz w:val="14"/>
                <w:szCs w:val="14"/>
                <w:color w:val="auto"/>
              </w:rPr>
            </w:pPr>
          </w:p>
        </w:tc>
        <w:tc>
          <w:tcPr>
            <w:tcW w:w="120" w:type="dxa"/>
            <w:vAlign w:val="bottom"/>
            <w:shd w:val="clear" w:color="auto" w:fill="EBE1D2"/>
          </w:tcPr>
          <w:p>
            <w:pPr>
              <w:spacing w:after="0"/>
              <w:rPr>
                <w:sz w:val="14"/>
                <w:szCs w:val="14"/>
                <w:color w:val="auto"/>
              </w:rPr>
            </w:pPr>
          </w:p>
        </w:tc>
        <w:tc>
          <w:tcPr>
            <w:tcW w:w="260" w:type="dxa"/>
            <w:vAlign w:val="bottom"/>
            <w:vMerge w:val="continue"/>
            <w:shd w:val="clear" w:color="auto" w:fill="EBE1D2"/>
          </w:tcPr>
          <w:p>
            <w:pPr>
              <w:spacing w:after="0"/>
              <w:rPr>
                <w:sz w:val="14"/>
                <w:szCs w:val="14"/>
                <w:color w:val="auto"/>
              </w:rPr>
            </w:pPr>
          </w:p>
        </w:tc>
        <w:tc>
          <w:tcPr>
            <w:tcW w:w="220" w:type="dxa"/>
            <w:vAlign w:val="bottom"/>
            <w:vMerge w:val="continue"/>
            <w:shd w:val="clear" w:color="auto" w:fill="EBE1D2"/>
          </w:tcPr>
          <w:p>
            <w:pPr>
              <w:spacing w:after="0"/>
              <w:rPr>
                <w:sz w:val="14"/>
                <w:szCs w:val="14"/>
                <w:color w:val="auto"/>
              </w:rPr>
            </w:pPr>
          </w:p>
        </w:tc>
        <w:tc>
          <w:tcPr>
            <w:tcW w:w="6920" w:type="dxa"/>
            <w:vAlign w:val="bottom"/>
            <w:tcBorders>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Independent Director) to discuss a variety of topics, including our employee value proposition,</w:t>
            </w:r>
          </w:p>
        </w:tc>
        <w:tc>
          <w:tcPr>
            <w:tcW w:w="0" w:type="dxa"/>
            <w:vAlign w:val="bottom"/>
          </w:tcPr>
          <w:p>
            <w:pPr>
              <w:spacing w:after="0"/>
              <w:rPr>
                <w:sz w:val="1"/>
                <w:szCs w:val="1"/>
                <w:color w:val="auto"/>
              </w:rPr>
            </w:pPr>
          </w:p>
        </w:tc>
      </w:tr>
      <w:tr>
        <w:trPr>
          <w:trHeight w:val="162"/>
        </w:trPr>
        <w:tc>
          <w:tcPr>
            <w:tcW w:w="100" w:type="dxa"/>
            <w:vAlign w:val="bottom"/>
            <w:shd w:val="clear" w:color="auto" w:fill="BFA071"/>
          </w:tcPr>
          <w:p>
            <w:pPr>
              <w:spacing w:after="0"/>
              <w:rPr>
                <w:sz w:val="14"/>
                <w:szCs w:val="14"/>
                <w:color w:val="auto"/>
              </w:rPr>
            </w:pPr>
          </w:p>
        </w:tc>
        <w:tc>
          <w:tcPr>
            <w:tcW w:w="1460" w:type="dxa"/>
            <w:vAlign w:val="bottom"/>
            <w:shd w:val="clear" w:color="auto" w:fill="BFA071"/>
          </w:tcPr>
          <w:p>
            <w:pPr>
              <w:spacing w:after="0"/>
              <w:rPr>
                <w:sz w:val="14"/>
                <w:szCs w:val="14"/>
                <w:color w:val="auto"/>
              </w:rPr>
            </w:pPr>
          </w:p>
        </w:tc>
        <w:tc>
          <w:tcPr>
            <w:tcW w:w="100" w:type="dxa"/>
            <w:vAlign w:val="bottom"/>
            <w:shd w:val="clear" w:color="auto" w:fill="BFA071"/>
          </w:tcPr>
          <w:p>
            <w:pPr>
              <w:spacing w:after="0"/>
              <w:rPr>
                <w:sz w:val="14"/>
                <w:szCs w:val="14"/>
                <w:color w:val="auto"/>
              </w:rPr>
            </w:pPr>
          </w:p>
        </w:tc>
        <w:tc>
          <w:tcPr>
            <w:tcW w:w="120" w:type="dxa"/>
            <w:vAlign w:val="bottom"/>
            <w:shd w:val="clear" w:color="auto" w:fill="EBE1D2"/>
          </w:tcPr>
          <w:p>
            <w:pPr>
              <w:spacing w:after="0"/>
              <w:rPr>
                <w:sz w:val="14"/>
                <w:szCs w:val="14"/>
                <w:color w:val="auto"/>
              </w:rPr>
            </w:pPr>
          </w:p>
        </w:tc>
        <w:tc>
          <w:tcPr>
            <w:tcW w:w="260" w:type="dxa"/>
            <w:vAlign w:val="bottom"/>
            <w:shd w:val="clear" w:color="auto" w:fill="EBE1D2"/>
          </w:tcPr>
          <w:p>
            <w:pPr>
              <w:spacing w:after="0"/>
              <w:rPr>
                <w:sz w:val="14"/>
                <w:szCs w:val="14"/>
                <w:color w:val="auto"/>
              </w:rPr>
            </w:pPr>
          </w:p>
        </w:tc>
        <w:tc>
          <w:tcPr>
            <w:tcW w:w="220" w:type="dxa"/>
            <w:vAlign w:val="bottom"/>
            <w:shd w:val="clear" w:color="auto" w:fill="EBE1D2"/>
          </w:tcPr>
          <w:p>
            <w:pPr>
              <w:spacing w:after="0"/>
              <w:rPr>
                <w:sz w:val="14"/>
                <w:szCs w:val="14"/>
                <w:color w:val="auto"/>
              </w:rPr>
            </w:pPr>
          </w:p>
        </w:tc>
        <w:tc>
          <w:tcPr>
            <w:tcW w:w="6920" w:type="dxa"/>
            <w:vAlign w:val="bottom"/>
            <w:tcBorders>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executive compensation, human capital, corporate governance and dual class structure, and</w:t>
            </w:r>
          </w:p>
        </w:tc>
        <w:tc>
          <w:tcPr>
            <w:tcW w:w="0" w:type="dxa"/>
            <w:vAlign w:val="bottom"/>
          </w:tcPr>
          <w:p>
            <w:pPr>
              <w:spacing w:after="0"/>
              <w:rPr>
                <w:sz w:val="1"/>
                <w:szCs w:val="1"/>
                <w:color w:val="auto"/>
              </w:rPr>
            </w:pPr>
          </w:p>
        </w:tc>
      </w:tr>
      <w:tr>
        <w:trPr>
          <w:trHeight w:val="205"/>
        </w:trPr>
        <w:tc>
          <w:tcPr>
            <w:tcW w:w="100" w:type="dxa"/>
            <w:vAlign w:val="bottom"/>
            <w:tcBorders>
              <w:bottom w:val="single" w:sz="8" w:color="BFA071"/>
            </w:tcBorders>
            <w:shd w:val="clear" w:color="auto" w:fill="BFA071"/>
          </w:tcPr>
          <w:p>
            <w:pPr>
              <w:spacing w:after="0"/>
              <w:rPr>
                <w:sz w:val="17"/>
                <w:szCs w:val="17"/>
                <w:color w:val="auto"/>
              </w:rPr>
            </w:pPr>
          </w:p>
        </w:tc>
        <w:tc>
          <w:tcPr>
            <w:tcW w:w="1460" w:type="dxa"/>
            <w:vAlign w:val="bottom"/>
            <w:tcBorders>
              <w:bottom w:val="single" w:sz="8" w:color="BFA071"/>
            </w:tcBorders>
            <w:shd w:val="clear" w:color="auto" w:fill="BFA071"/>
          </w:tcPr>
          <w:p>
            <w:pPr>
              <w:spacing w:after="0"/>
              <w:rPr>
                <w:sz w:val="17"/>
                <w:szCs w:val="17"/>
                <w:color w:val="auto"/>
              </w:rPr>
            </w:pPr>
          </w:p>
        </w:tc>
        <w:tc>
          <w:tcPr>
            <w:tcW w:w="100" w:type="dxa"/>
            <w:vAlign w:val="bottom"/>
            <w:tcBorders>
              <w:bottom w:val="single" w:sz="8" w:color="BFA071"/>
            </w:tcBorders>
            <w:shd w:val="clear" w:color="auto" w:fill="BFA071"/>
          </w:tcPr>
          <w:p>
            <w:pPr>
              <w:spacing w:after="0"/>
              <w:rPr>
                <w:sz w:val="17"/>
                <w:szCs w:val="17"/>
                <w:color w:val="auto"/>
              </w:rPr>
            </w:pPr>
          </w:p>
        </w:tc>
        <w:tc>
          <w:tcPr>
            <w:tcW w:w="120" w:type="dxa"/>
            <w:vAlign w:val="bottom"/>
            <w:tcBorders>
              <w:bottom w:val="single" w:sz="8" w:color="BFA071"/>
            </w:tcBorders>
            <w:shd w:val="clear" w:color="auto" w:fill="EBE1D2"/>
          </w:tcPr>
          <w:p>
            <w:pPr>
              <w:spacing w:after="0"/>
              <w:rPr>
                <w:sz w:val="17"/>
                <w:szCs w:val="17"/>
                <w:color w:val="auto"/>
              </w:rPr>
            </w:pPr>
          </w:p>
        </w:tc>
        <w:tc>
          <w:tcPr>
            <w:tcW w:w="260" w:type="dxa"/>
            <w:vAlign w:val="bottom"/>
            <w:tcBorders>
              <w:bottom w:val="single" w:sz="8" w:color="BFA071"/>
            </w:tcBorders>
            <w:shd w:val="clear" w:color="auto" w:fill="EBE1D2"/>
          </w:tcPr>
          <w:p>
            <w:pPr>
              <w:spacing w:after="0"/>
              <w:rPr>
                <w:sz w:val="17"/>
                <w:szCs w:val="17"/>
                <w:color w:val="auto"/>
              </w:rPr>
            </w:pPr>
          </w:p>
        </w:tc>
        <w:tc>
          <w:tcPr>
            <w:tcW w:w="220" w:type="dxa"/>
            <w:vAlign w:val="bottom"/>
            <w:tcBorders>
              <w:bottom w:val="single" w:sz="8" w:color="BFA071"/>
            </w:tcBorders>
            <w:shd w:val="clear" w:color="auto" w:fill="EBE1D2"/>
          </w:tcPr>
          <w:p>
            <w:pPr>
              <w:spacing w:after="0"/>
              <w:rPr>
                <w:sz w:val="17"/>
                <w:szCs w:val="17"/>
                <w:color w:val="auto"/>
              </w:rPr>
            </w:pPr>
          </w:p>
        </w:tc>
        <w:tc>
          <w:tcPr>
            <w:tcW w:w="6920" w:type="dxa"/>
            <w:vAlign w:val="bottom"/>
            <w:tcBorders>
              <w:bottom w:val="single" w:sz="8" w:color="BFA071"/>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citizenship and sustainability efforts</w:t>
            </w:r>
          </w:p>
        </w:tc>
        <w:tc>
          <w:tcPr>
            <w:tcW w:w="0" w:type="dxa"/>
            <w:vAlign w:val="bottom"/>
          </w:tcPr>
          <w:p>
            <w:pPr>
              <w:spacing w:after="0"/>
              <w:rPr>
                <w:sz w:val="1"/>
                <w:szCs w:val="1"/>
                <w:color w:val="auto"/>
              </w:rPr>
            </w:pPr>
          </w:p>
        </w:tc>
      </w:tr>
      <w:tr>
        <w:trPr>
          <w:trHeight w:val="203"/>
        </w:trPr>
        <w:tc>
          <w:tcPr>
            <w:tcW w:w="100" w:type="dxa"/>
            <w:vAlign w:val="bottom"/>
            <w:shd w:val="clear" w:color="auto" w:fill="BFA071"/>
          </w:tcPr>
          <w:p>
            <w:pPr>
              <w:spacing w:after="0"/>
              <w:rPr>
                <w:sz w:val="17"/>
                <w:szCs w:val="17"/>
                <w:color w:val="auto"/>
              </w:rPr>
            </w:pPr>
          </w:p>
        </w:tc>
        <w:tc>
          <w:tcPr>
            <w:tcW w:w="1460" w:type="dxa"/>
            <w:vAlign w:val="bottom"/>
            <w:shd w:val="clear" w:color="auto" w:fill="BFA071"/>
          </w:tcPr>
          <w:p>
            <w:pPr>
              <w:spacing w:after="0"/>
              <w:rPr>
                <w:sz w:val="17"/>
                <w:szCs w:val="17"/>
                <w:color w:val="auto"/>
              </w:rPr>
            </w:pPr>
          </w:p>
        </w:tc>
        <w:tc>
          <w:tcPr>
            <w:tcW w:w="100" w:type="dxa"/>
            <w:vAlign w:val="bottom"/>
            <w:shd w:val="clear" w:color="auto" w:fill="BFA071"/>
          </w:tcPr>
          <w:p>
            <w:pPr>
              <w:spacing w:after="0"/>
              <w:rPr>
                <w:sz w:val="17"/>
                <w:szCs w:val="17"/>
                <w:color w:val="auto"/>
              </w:rPr>
            </w:pPr>
          </w:p>
        </w:tc>
        <w:tc>
          <w:tcPr>
            <w:tcW w:w="120" w:type="dxa"/>
            <w:vAlign w:val="bottom"/>
            <w:shd w:val="clear" w:color="auto" w:fill="EBE1D2"/>
          </w:tcPr>
          <w:p>
            <w:pPr>
              <w:spacing w:after="0"/>
              <w:rPr>
                <w:sz w:val="17"/>
                <w:szCs w:val="17"/>
                <w:color w:val="auto"/>
              </w:rPr>
            </w:pPr>
          </w:p>
        </w:tc>
        <w:tc>
          <w:tcPr>
            <w:tcW w:w="260" w:type="dxa"/>
            <w:vAlign w:val="bottom"/>
            <w:shd w:val="clear" w:color="auto" w:fill="EBE1D2"/>
          </w:tcPr>
          <w:p>
            <w:pPr>
              <w:ind w:left="160"/>
              <w:spacing w:after="0"/>
              <w:rPr>
                <w:sz w:val="20"/>
                <w:szCs w:val="20"/>
                <w:color w:val="auto"/>
              </w:rPr>
            </w:pPr>
            <w:r>
              <w:rPr>
                <w:rFonts w:ascii="Arial" w:cs="Arial" w:eastAsia="Arial" w:hAnsi="Arial"/>
                <w:sz w:val="11"/>
                <w:szCs w:val="11"/>
                <w:b w:val="1"/>
                <w:bCs w:val="1"/>
                <w:color w:val="001641"/>
                <w:w w:val="72"/>
              </w:rPr>
              <w:t> </w:t>
            </w:r>
          </w:p>
        </w:tc>
        <w:tc>
          <w:tcPr>
            <w:tcW w:w="220" w:type="dxa"/>
            <w:vAlign w:val="bottom"/>
            <w:shd w:val="clear" w:color="auto" w:fill="EBE1D2"/>
          </w:tcPr>
          <w:p>
            <w:pPr>
              <w:ind w:left="40"/>
              <w:spacing w:after="0"/>
              <w:rPr>
                <w:sz w:val="20"/>
                <w:szCs w:val="20"/>
                <w:color w:val="auto"/>
              </w:rPr>
            </w:pPr>
            <w:r>
              <w:rPr>
                <w:rFonts w:ascii="Arial" w:cs="Arial" w:eastAsia="Arial" w:hAnsi="Arial"/>
                <w:sz w:val="14"/>
                <w:szCs w:val="14"/>
                <w:b w:val="1"/>
                <w:bCs w:val="1"/>
                <w:color w:val="001641"/>
              </w:rPr>
              <w:t>  </w:t>
            </w:r>
          </w:p>
        </w:tc>
        <w:tc>
          <w:tcPr>
            <w:tcW w:w="6920" w:type="dxa"/>
            <w:vAlign w:val="bottom"/>
            <w:tcBorders>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Business-focused engagement calls are held throughout the year on the Company’s Strategic</w:t>
            </w:r>
          </w:p>
        </w:tc>
        <w:tc>
          <w:tcPr>
            <w:tcW w:w="0" w:type="dxa"/>
            <w:vAlign w:val="bottom"/>
          </w:tcPr>
          <w:p>
            <w:pPr>
              <w:spacing w:after="0"/>
              <w:rPr>
                <w:sz w:val="1"/>
                <w:szCs w:val="1"/>
                <w:color w:val="auto"/>
              </w:rPr>
            </w:pPr>
          </w:p>
        </w:tc>
      </w:tr>
      <w:tr>
        <w:trPr>
          <w:trHeight w:val="162"/>
        </w:trPr>
        <w:tc>
          <w:tcPr>
            <w:tcW w:w="100" w:type="dxa"/>
            <w:vAlign w:val="bottom"/>
            <w:shd w:val="clear" w:color="auto" w:fill="BFA071"/>
          </w:tcPr>
          <w:p>
            <w:pPr>
              <w:spacing w:after="0"/>
              <w:rPr>
                <w:sz w:val="14"/>
                <w:szCs w:val="14"/>
                <w:color w:val="auto"/>
              </w:rPr>
            </w:pPr>
          </w:p>
        </w:tc>
        <w:tc>
          <w:tcPr>
            <w:tcW w:w="1460" w:type="dxa"/>
            <w:vAlign w:val="bottom"/>
            <w:shd w:val="clear" w:color="auto" w:fill="BFA071"/>
          </w:tcPr>
          <w:p>
            <w:pPr>
              <w:spacing w:after="0"/>
              <w:rPr>
                <w:sz w:val="14"/>
                <w:szCs w:val="14"/>
                <w:color w:val="auto"/>
              </w:rPr>
            </w:pPr>
          </w:p>
        </w:tc>
        <w:tc>
          <w:tcPr>
            <w:tcW w:w="100" w:type="dxa"/>
            <w:vAlign w:val="bottom"/>
            <w:shd w:val="clear" w:color="auto" w:fill="BFA071"/>
          </w:tcPr>
          <w:p>
            <w:pPr>
              <w:spacing w:after="0"/>
              <w:rPr>
                <w:sz w:val="14"/>
                <w:szCs w:val="14"/>
                <w:color w:val="auto"/>
              </w:rPr>
            </w:pPr>
          </w:p>
        </w:tc>
        <w:tc>
          <w:tcPr>
            <w:tcW w:w="120" w:type="dxa"/>
            <w:vAlign w:val="bottom"/>
            <w:shd w:val="clear" w:color="auto" w:fill="EBE1D2"/>
          </w:tcPr>
          <w:p>
            <w:pPr>
              <w:spacing w:after="0"/>
              <w:rPr>
                <w:sz w:val="14"/>
                <w:szCs w:val="14"/>
                <w:color w:val="auto"/>
              </w:rPr>
            </w:pPr>
          </w:p>
        </w:tc>
        <w:tc>
          <w:tcPr>
            <w:tcW w:w="260" w:type="dxa"/>
            <w:vAlign w:val="bottom"/>
            <w:shd w:val="clear" w:color="auto" w:fill="EBE1D2"/>
          </w:tcPr>
          <w:p>
            <w:pPr>
              <w:spacing w:after="0"/>
              <w:rPr>
                <w:sz w:val="14"/>
                <w:szCs w:val="14"/>
                <w:color w:val="auto"/>
              </w:rPr>
            </w:pPr>
          </w:p>
        </w:tc>
        <w:tc>
          <w:tcPr>
            <w:tcW w:w="220" w:type="dxa"/>
            <w:vAlign w:val="bottom"/>
            <w:shd w:val="clear" w:color="auto" w:fill="EBE1D2"/>
          </w:tcPr>
          <w:p>
            <w:pPr>
              <w:spacing w:after="0"/>
              <w:rPr>
                <w:sz w:val="14"/>
                <w:szCs w:val="14"/>
                <w:color w:val="auto"/>
              </w:rPr>
            </w:pPr>
          </w:p>
        </w:tc>
        <w:tc>
          <w:tcPr>
            <w:tcW w:w="6920" w:type="dxa"/>
            <w:vAlign w:val="bottom"/>
            <w:tcBorders>
              <w:right w:val="single" w:sz="8" w:color="BFA071"/>
            </w:tcBorders>
          </w:tcPr>
          <w:p>
            <w:pPr>
              <w:ind w:left="120"/>
              <w:spacing w:after="0"/>
              <w:rPr>
                <w:sz w:val="20"/>
                <w:szCs w:val="20"/>
                <w:color w:val="auto"/>
              </w:rPr>
            </w:pPr>
            <w:r>
              <w:rPr>
                <w:rFonts w:ascii="Arial" w:cs="Arial" w:eastAsia="Arial" w:hAnsi="Arial"/>
                <w:sz w:val="14"/>
                <w:szCs w:val="14"/>
                <w:b w:val="1"/>
                <w:bCs w:val="1"/>
                <w:color w:val="001641"/>
              </w:rPr>
              <w:t>Plan and financial performance with stockholders</w:t>
            </w:r>
          </w:p>
        </w:tc>
        <w:tc>
          <w:tcPr>
            <w:tcW w:w="0" w:type="dxa"/>
            <w:vAlign w:val="bottom"/>
          </w:tcPr>
          <w:p>
            <w:pPr>
              <w:spacing w:after="0"/>
              <w:rPr>
                <w:sz w:val="1"/>
                <w:szCs w:val="1"/>
                <w:color w:val="auto"/>
              </w:rPr>
            </w:pPr>
          </w:p>
        </w:tc>
      </w:tr>
      <w:tr>
        <w:trPr>
          <w:trHeight w:val="78"/>
        </w:trPr>
        <w:tc>
          <w:tcPr>
            <w:tcW w:w="100" w:type="dxa"/>
            <w:vAlign w:val="bottom"/>
            <w:tcBorders>
              <w:bottom w:val="single" w:sz="8" w:color="BFA071"/>
            </w:tcBorders>
            <w:shd w:val="clear" w:color="auto" w:fill="BFA071"/>
          </w:tcPr>
          <w:p>
            <w:pPr>
              <w:spacing w:after="0"/>
              <w:rPr>
                <w:sz w:val="6"/>
                <w:szCs w:val="6"/>
                <w:color w:val="auto"/>
              </w:rPr>
            </w:pPr>
          </w:p>
        </w:tc>
        <w:tc>
          <w:tcPr>
            <w:tcW w:w="1460" w:type="dxa"/>
            <w:vAlign w:val="bottom"/>
            <w:tcBorders>
              <w:bottom w:val="single" w:sz="8" w:color="BFA071"/>
            </w:tcBorders>
            <w:shd w:val="clear" w:color="auto" w:fill="BFA071"/>
          </w:tcPr>
          <w:p>
            <w:pPr>
              <w:spacing w:after="0"/>
              <w:rPr>
                <w:sz w:val="6"/>
                <w:szCs w:val="6"/>
                <w:color w:val="auto"/>
              </w:rPr>
            </w:pPr>
          </w:p>
        </w:tc>
        <w:tc>
          <w:tcPr>
            <w:tcW w:w="100" w:type="dxa"/>
            <w:vAlign w:val="bottom"/>
            <w:tcBorders>
              <w:bottom w:val="single" w:sz="8" w:color="BFA071"/>
            </w:tcBorders>
            <w:shd w:val="clear" w:color="auto" w:fill="BFA071"/>
          </w:tcPr>
          <w:p>
            <w:pPr>
              <w:spacing w:after="0"/>
              <w:rPr>
                <w:sz w:val="6"/>
                <w:szCs w:val="6"/>
                <w:color w:val="auto"/>
              </w:rPr>
            </w:pPr>
          </w:p>
        </w:tc>
        <w:tc>
          <w:tcPr>
            <w:tcW w:w="120" w:type="dxa"/>
            <w:vAlign w:val="bottom"/>
            <w:tcBorders>
              <w:bottom w:val="single" w:sz="8" w:color="BFA071"/>
            </w:tcBorders>
            <w:shd w:val="clear" w:color="auto" w:fill="EBE1D2"/>
          </w:tcPr>
          <w:p>
            <w:pPr>
              <w:spacing w:after="0"/>
              <w:rPr>
                <w:sz w:val="6"/>
                <w:szCs w:val="6"/>
                <w:color w:val="auto"/>
              </w:rPr>
            </w:pPr>
          </w:p>
        </w:tc>
        <w:tc>
          <w:tcPr>
            <w:tcW w:w="260" w:type="dxa"/>
            <w:vAlign w:val="bottom"/>
            <w:tcBorders>
              <w:bottom w:val="single" w:sz="8" w:color="BFA071"/>
            </w:tcBorders>
            <w:shd w:val="clear" w:color="auto" w:fill="EBE1D2"/>
          </w:tcPr>
          <w:p>
            <w:pPr>
              <w:spacing w:after="0"/>
              <w:rPr>
                <w:sz w:val="6"/>
                <w:szCs w:val="6"/>
                <w:color w:val="auto"/>
              </w:rPr>
            </w:pPr>
          </w:p>
        </w:tc>
        <w:tc>
          <w:tcPr>
            <w:tcW w:w="220" w:type="dxa"/>
            <w:vAlign w:val="bottom"/>
            <w:tcBorders>
              <w:bottom w:val="single" w:sz="8" w:color="BFA071"/>
            </w:tcBorders>
            <w:shd w:val="clear" w:color="auto" w:fill="EBE1D2"/>
          </w:tcPr>
          <w:p>
            <w:pPr>
              <w:spacing w:after="0"/>
              <w:rPr>
                <w:sz w:val="6"/>
                <w:szCs w:val="6"/>
                <w:color w:val="auto"/>
              </w:rPr>
            </w:pPr>
          </w:p>
        </w:tc>
        <w:tc>
          <w:tcPr>
            <w:tcW w:w="6920" w:type="dxa"/>
            <w:vAlign w:val="bottom"/>
            <w:tcBorders>
              <w:bottom w:val="single" w:sz="8" w:color="BFA071"/>
              <w:right w:val="single" w:sz="8" w:color="BFA071"/>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-1167130</wp:posOffset>
            </wp:positionV>
            <wp:extent cx="231140" cy="2311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1183005</wp:posOffset>
            </wp:positionH>
            <wp:positionV relativeFrom="paragraph">
              <wp:posOffset>-1510030</wp:posOffset>
            </wp:positionV>
            <wp:extent cx="137160" cy="1028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1183005</wp:posOffset>
            </wp:positionH>
            <wp:positionV relativeFrom="paragraph">
              <wp:posOffset>-1107440</wp:posOffset>
            </wp:positionV>
            <wp:extent cx="137160" cy="1028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1183005</wp:posOffset>
            </wp:positionH>
            <wp:positionV relativeFrom="paragraph">
              <wp:posOffset>-687070</wp:posOffset>
            </wp:positionV>
            <wp:extent cx="137160" cy="1028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1183005</wp:posOffset>
            </wp:positionH>
            <wp:positionV relativeFrom="paragraph">
              <wp:posOffset>-267335</wp:posOffset>
            </wp:positionV>
            <wp:extent cx="137160" cy="1028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138"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addition, the key components of our corporate governance framework are set forth in the following documents:</w:t>
      </w:r>
    </w:p>
    <w:p>
      <w:pPr>
        <w:spacing w:after="0" w:line="167" w:lineRule="exact"/>
        <w:rPr>
          <w:sz w:val="20"/>
          <w:szCs w:val="20"/>
          <w:color w:val="auto"/>
        </w:rPr>
      </w:pPr>
    </w:p>
    <w:p>
      <w:pPr>
        <w:ind w:left="166" w:hanging="166"/>
        <w:spacing w:after="0"/>
        <w:tabs>
          <w:tab w:leader="none" w:pos="166"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001641"/>
        </w:rPr>
        <w:t>our Amended and Restated Certificate of Incorporation;</w:t>
      </w:r>
    </w:p>
    <w:p>
      <w:pPr>
        <w:spacing w:after="0" w:line="126" w:lineRule="exact"/>
        <w:rPr>
          <w:rFonts w:ascii="Arial" w:cs="Arial" w:eastAsia="Arial" w:hAnsi="Arial"/>
          <w:sz w:val="16"/>
          <w:szCs w:val="16"/>
          <w:b w:val="1"/>
          <w:bCs w:val="1"/>
          <w:color w:val="auto"/>
        </w:rPr>
      </w:pPr>
    </w:p>
    <w:p>
      <w:pPr>
        <w:ind w:left="166" w:hanging="166"/>
        <w:spacing w:after="0"/>
        <w:tabs>
          <w:tab w:leader="none" w:pos="166"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001641"/>
        </w:rPr>
        <w:t>our Fifth Amended and Restated By-Laws;</w:t>
      </w:r>
    </w:p>
    <w:p>
      <w:pPr>
        <w:spacing w:after="0" w:line="140" w:lineRule="exact"/>
        <w:rPr>
          <w:rFonts w:ascii="Arial" w:cs="Arial" w:eastAsia="Arial" w:hAnsi="Arial"/>
          <w:sz w:val="16"/>
          <w:szCs w:val="16"/>
          <w:b w:val="1"/>
          <w:bCs w:val="1"/>
          <w:color w:val="auto"/>
        </w:rPr>
      </w:pPr>
    </w:p>
    <w:p>
      <w:pPr>
        <w:ind w:left="166" w:hanging="166"/>
        <w:spacing w:after="0"/>
        <w:tabs>
          <w:tab w:leader="none" w:pos="166"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001641"/>
        </w:rPr>
        <w:t>our Corporate Governance Policies;</w:t>
      </w:r>
    </w:p>
    <w:p>
      <w:pPr>
        <w:spacing w:after="0" w:line="126" w:lineRule="exact"/>
        <w:rPr>
          <w:rFonts w:ascii="Arial" w:cs="Arial" w:eastAsia="Arial" w:hAnsi="Arial"/>
          <w:sz w:val="16"/>
          <w:szCs w:val="16"/>
          <w:b w:val="1"/>
          <w:bCs w:val="1"/>
          <w:color w:val="auto"/>
        </w:rPr>
      </w:pPr>
    </w:p>
    <w:p>
      <w:pPr>
        <w:ind w:left="166" w:hanging="166"/>
        <w:spacing w:after="0"/>
        <w:tabs>
          <w:tab w:leader="none" w:pos="166"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001641"/>
        </w:rPr>
        <w:t>our Audit Committee Charter;</w:t>
      </w:r>
    </w:p>
    <w:p>
      <w:pPr>
        <w:spacing w:after="0" w:line="126" w:lineRule="exact"/>
        <w:rPr>
          <w:rFonts w:ascii="Arial" w:cs="Arial" w:eastAsia="Arial" w:hAnsi="Arial"/>
          <w:sz w:val="16"/>
          <w:szCs w:val="16"/>
          <w:b w:val="1"/>
          <w:bCs w:val="1"/>
          <w:color w:val="auto"/>
        </w:rPr>
      </w:pPr>
    </w:p>
    <w:p>
      <w:pPr>
        <w:ind w:left="166" w:hanging="166"/>
        <w:spacing w:after="0"/>
        <w:tabs>
          <w:tab w:leader="none" w:pos="166"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001641"/>
        </w:rPr>
        <w:t>our Nominating, Governance, Citizenship &amp; Sustainability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58293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30</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41" w:name="page42"/>
    <w:bookmarkEnd w:id="41"/>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left="166" w:hanging="166"/>
        <w:spacing w:after="0"/>
        <w:tabs>
          <w:tab w:leader="none" w:pos="166"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001641"/>
        </w:rPr>
        <w:t>our Talent, Culture &amp; Total Rewards Committee Charter;</w:t>
      </w:r>
    </w:p>
    <w:p>
      <w:pPr>
        <w:spacing w:after="0" w:line="126" w:lineRule="exact"/>
        <w:rPr>
          <w:rFonts w:ascii="Arial" w:cs="Arial" w:eastAsia="Arial" w:hAnsi="Arial"/>
          <w:sz w:val="16"/>
          <w:szCs w:val="16"/>
          <w:b w:val="1"/>
          <w:bCs w:val="1"/>
          <w:color w:val="auto"/>
        </w:rPr>
      </w:pPr>
    </w:p>
    <w:p>
      <w:pPr>
        <w:ind w:left="166" w:hanging="166"/>
        <w:spacing w:after="0"/>
        <w:tabs>
          <w:tab w:leader="none" w:pos="166"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001641"/>
        </w:rPr>
        <w:t>our Finance Committee Charter;</w:t>
      </w:r>
    </w:p>
    <w:p>
      <w:pPr>
        <w:spacing w:after="0" w:line="126" w:lineRule="exact"/>
        <w:rPr>
          <w:rFonts w:ascii="Arial" w:cs="Arial" w:eastAsia="Arial" w:hAnsi="Arial"/>
          <w:sz w:val="16"/>
          <w:szCs w:val="16"/>
          <w:b w:val="1"/>
          <w:bCs w:val="1"/>
          <w:color w:val="auto"/>
        </w:rPr>
      </w:pPr>
    </w:p>
    <w:p>
      <w:pPr>
        <w:ind w:left="166" w:hanging="166"/>
        <w:spacing w:after="0"/>
        <w:tabs>
          <w:tab w:leader="none" w:pos="166"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001641"/>
        </w:rPr>
        <w:t>our Securities Trading Policy;</w:t>
      </w:r>
    </w:p>
    <w:p>
      <w:pPr>
        <w:spacing w:after="0" w:line="140" w:lineRule="exact"/>
        <w:rPr>
          <w:rFonts w:ascii="Arial" w:cs="Arial" w:eastAsia="Arial" w:hAnsi="Arial"/>
          <w:sz w:val="16"/>
          <w:szCs w:val="16"/>
          <w:b w:val="1"/>
          <w:bCs w:val="1"/>
          <w:color w:val="auto"/>
        </w:rPr>
      </w:pPr>
    </w:p>
    <w:p>
      <w:pPr>
        <w:ind w:left="166" w:hanging="166"/>
        <w:spacing w:after="0"/>
        <w:tabs>
          <w:tab w:leader="none" w:pos="166"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001641"/>
        </w:rPr>
        <w:t>our Code of Business Conduct and Ethics; and</w:t>
      </w:r>
    </w:p>
    <w:p>
      <w:pPr>
        <w:spacing w:after="0" w:line="126" w:lineRule="exact"/>
        <w:rPr>
          <w:rFonts w:ascii="Arial" w:cs="Arial" w:eastAsia="Arial" w:hAnsi="Arial"/>
          <w:sz w:val="16"/>
          <w:szCs w:val="16"/>
          <w:b w:val="1"/>
          <w:bCs w:val="1"/>
          <w:color w:val="auto"/>
        </w:rPr>
      </w:pPr>
    </w:p>
    <w:p>
      <w:pPr>
        <w:ind w:left="166" w:hanging="166"/>
        <w:spacing w:after="0"/>
        <w:tabs>
          <w:tab w:leader="none" w:pos="166"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001641"/>
        </w:rPr>
        <w:t>our Code of Ethics for Principal Executive Officers and Senior Financial Officers.</w:t>
      </w:r>
    </w:p>
    <w:p>
      <w:pPr>
        <w:spacing w:after="0" w:line="167" w:lineRule="exact"/>
        <w:rPr>
          <w:sz w:val="20"/>
          <w:szCs w:val="20"/>
          <w:color w:val="auto"/>
        </w:rPr>
      </w:pPr>
    </w:p>
    <w:p>
      <w:pPr>
        <w:ind w:left="6" w:right="80"/>
        <w:spacing w:after="0" w:line="256" w:lineRule="auto"/>
        <w:rPr>
          <w:sz w:val="20"/>
          <w:szCs w:val="20"/>
          <w:color w:val="auto"/>
        </w:rPr>
      </w:pPr>
      <w:r>
        <w:rPr>
          <w:rFonts w:ascii="Arial" w:cs="Arial" w:eastAsia="Arial" w:hAnsi="Arial"/>
          <w:sz w:val="16"/>
          <w:szCs w:val="16"/>
          <w:color w:val="auto"/>
        </w:rPr>
        <w:t xml:space="preserve">Each of the above documents is available on our investor relations website at </w:t>
      </w:r>
      <w:r>
        <w:rPr>
          <w:rFonts w:ascii="Arial" w:cs="Arial" w:eastAsia="Arial" w:hAnsi="Arial"/>
          <w:sz w:val="16"/>
          <w:szCs w:val="16"/>
          <w:i w:val="1"/>
          <w:iCs w:val="1"/>
          <w:color w:val="auto"/>
        </w:rPr>
        <w:t>http://investor.ralphlauren.com</w:t>
      </w:r>
      <w:r>
        <w:rPr>
          <w:rFonts w:ascii="Arial" w:cs="Arial" w:eastAsia="Arial" w:hAnsi="Arial"/>
          <w:sz w:val="16"/>
          <w:szCs w:val="16"/>
          <w:color w:val="auto"/>
        </w:rPr>
        <w:t xml:space="preserve"> by clicking on “Corporate Governance.” Copies of these documents are available to stockholders without charge upon written request to our Investor Relations Department, 650 Madison Avenue, New York, New York 10022. Only the Board or a Committee of the Board with specific delegated authority, as appropriate, may grant a waiver under our codes of ethics to any director or executive officer, and any such waiver, or any amendments to our codes of ethics, will be promptly posted on our website.</w:t>
      </w:r>
    </w:p>
    <w:p>
      <w:pPr>
        <w:spacing w:after="0" w:line="28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COMPANY LEADERSHIP STRUCTURE</w:t>
      </w:r>
    </w:p>
    <w:p>
      <w:pPr>
        <w:spacing w:after="0" w:line="21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SEPARATE CHAIRMAN AND CEO ROLES</w:t>
      </w:r>
    </w:p>
    <w:p>
      <w:pPr>
        <w:spacing w:after="0" w:line="162" w:lineRule="exact"/>
        <w:rPr>
          <w:sz w:val="20"/>
          <w:szCs w:val="20"/>
          <w:color w:val="auto"/>
        </w:rPr>
      </w:pPr>
    </w:p>
    <w:p>
      <w:pPr>
        <w:ind w:left="6"/>
        <w:spacing w:after="0" w:line="250" w:lineRule="auto"/>
        <w:rPr>
          <w:sz w:val="20"/>
          <w:szCs w:val="20"/>
          <w:color w:val="auto"/>
        </w:rPr>
      </w:pPr>
      <w:r>
        <w:rPr>
          <w:rFonts w:ascii="Arial" w:cs="Arial" w:eastAsia="Arial" w:hAnsi="Arial"/>
          <w:sz w:val="16"/>
          <w:szCs w:val="16"/>
          <w:color w:val="auto"/>
        </w:rPr>
        <w:t>The Board believes that the Company’s current leadership structure, in which the roles of the Chairman and the CEO are separate, is appropriate for the Company at this time, taking into consideration the Company’s evolving needs, corporate strategy, operating environment, culture, and Mr. R. Lauren’s vision for and commitment to the Company. As Executive Chairman of the Board, Mr. R. Lauren works with the CEO to set overall vision, strategy, talent development financial objectives, and investment priorities for the business. Mr. R. Lauren also continues to coach and mentor our design team and provide guidance in areas that are important to the Company, including growth in new business categories, creative talent, branding, advertising, and marketing. The separation of the Chairman and CEO roles enables the CEO to focus on the business, operations, and strategy of the Company, and allows the Company to leverage the Chairman’s blend of leadership, experience, perspective, knowledge of our Company and the industry, and vision to serve the best interests of our stockholders. This structure, together with a strong Lead Independent Director, has proven advantageous in a complex and dynamic consumer and retail landscape affected by macroeconomic, inflationary, and global supply chain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58293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264795</wp:posOffset>
            </wp:positionV>
            <wp:extent cx="128905" cy="1111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126365</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-127635</wp:posOffset>
            </wp:positionV>
            <wp:extent cx="3385820" cy="21170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85820" cy="2117090"/>
                    </a:xfrm>
                    <a:prstGeom prst="rect">
                      <a:avLst/>
                    </a:prstGeom>
                    <a:noFill/>
                  </pic:spPr>
                </pic:pic>
              </a:graphicData>
            </a:graphic>
          </wp:anchor>
        </w:drawing>
      </w:r>
    </w:p>
    <w:p>
      <w:pPr>
        <w:spacing w:after="0" w:line="142" w:lineRule="exact"/>
        <w:rPr>
          <w:sz w:val="20"/>
          <w:szCs w:val="20"/>
          <w:color w:val="auto"/>
        </w:rPr>
      </w:pPr>
    </w:p>
    <w:p>
      <w:pPr>
        <w:ind w:right="6100"/>
        <w:spacing w:after="0" w:line="259" w:lineRule="auto"/>
        <w:rPr>
          <w:sz w:val="20"/>
          <w:szCs w:val="20"/>
          <w:color w:val="auto"/>
        </w:rPr>
      </w:pPr>
      <w:r>
        <w:rPr>
          <w:rFonts w:ascii="Arial" w:cs="Arial" w:eastAsia="Arial" w:hAnsi="Arial"/>
          <w:sz w:val="16"/>
          <w:szCs w:val="16"/>
          <w:color w:val="auto"/>
        </w:rPr>
        <w:t>At the end of Fiscal 2017, the independent directors appointed a Lead Independent Director to provide strong, independent leadership for the Board.</w:t>
      </w:r>
    </w:p>
    <w:p>
      <w:pPr>
        <w:spacing w:after="0" w:line="124" w:lineRule="exact"/>
        <w:rPr>
          <w:sz w:val="20"/>
          <w:szCs w:val="20"/>
          <w:color w:val="auto"/>
        </w:rPr>
      </w:pPr>
    </w:p>
    <w:p>
      <w:pPr>
        <w:ind w:right="5720"/>
        <w:spacing w:after="0" w:line="259" w:lineRule="auto"/>
        <w:rPr>
          <w:sz w:val="20"/>
          <w:szCs w:val="20"/>
          <w:color w:val="auto"/>
        </w:rPr>
      </w:pPr>
      <w:r>
        <w:rPr>
          <w:rFonts w:ascii="Arial" w:cs="Arial" w:eastAsia="Arial" w:hAnsi="Arial"/>
          <w:sz w:val="16"/>
          <w:szCs w:val="16"/>
          <w:color w:val="auto"/>
        </w:rPr>
        <w:t>We have recently refreshed the role of the Lead Independent Director with the appointment of Angela Ahrendts to the role since the 2025 Annual Meeting of Stockholders.</w:t>
      </w:r>
    </w:p>
    <w:p>
      <w:pPr>
        <w:spacing w:after="0" w:line="124" w:lineRule="exact"/>
        <w:rPr>
          <w:sz w:val="20"/>
          <w:szCs w:val="20"/>
          <w:color w:val="auto"/>
        </w:rPr>
      </w:pPr>
    </w:p>
    <w:p>
      <w:pPr>
        <w:ind w:right="5780"/>
        <w:spacing w:after="0" w:line="266" w:lineRule="auto"/>
        <w:rPr>
          <w:sz w:val="20"/>
          <w:szCs w:val="20"/>
          <w:color w:val="auto"/>
        </w:rPr>
      </w:pPr>
      <w:r>
        <w:rPr>
          <w:rFonts w:ascii="Arial" w:cs="Arial" w:eastAsia="Arial" w:hAnsi="Arial"/>
          <w:sz w:val="16"/>
          <w:szCs w:val="16"/>
          <w:color w:val="auto"/>
        </w:rPr>
        <w:t>Under our Corporate Governance Policies, key responsibilities of the Lead Independent Director include, among other duties:</w:t>
      </w:r>
    </w:p>
    <w:p>
      <w:pPr>
        <w:spacing w:after="0" w:line="200" w:lineRule="exact"/>
        <w:rPr>
          <w:sz w:val="20"/>
          <w:szCs w:val="20"/>
          <w:color w:val="auto"/>
        </w:rPr>
      </w:pPr>
    </w:p>
    <w:p>
      <w:pPr>
        <w:spacing w:after="0" w:line="309" w:lineRule="exact"/>
        <w:rPr>
          <w:sz w:val="20"/>
          <w:szCs w:val="20"/>
          <w:color w:val="auto"/>
        </w:rPr>
      </w:pPr>
    </w:p>
    <w:p>
      <w:pPr>
        <w:jc w:val="right"/>
        <w:ind w:right="5400"/>
        <w:spacing w:after="0"/>
        <w:rPr>
          <w:sz w:val="20"/>
          <w:szCs w:val="20"/>
          <w:color w:val="auto"/>
        </w:rPr>
      </w:pPr>
      <w:r>
        <w:rPr>
          <w:rFonts w:ascii="Arial" w:cs="Arial" w:eastAsia="Arial" w:hAnsi="Arial"/>
          <w:sz w:val="16"/>
          <w:szCs w:val="16"/>
          <w:color w:val="auto"/>
        </w:rPr>
        <w:t xml:space="preserve">  </w:t>
      </w:r>
    </w:p>
    <w:p>
      <w:pPr>
        <w:sectPr>
          <w:pgSz w:w="11900" w:h="16838" w:orient="portrait"/>
          <w:cols w:equalWidth="0" w:num="1">
            <w:col w:w="9140"/>
          </w:cols>
          <w:pgMar w:left="1360" w:top="114" w:right="1399" w:bottom="1440" w:gutter="0" w:footer="0" w:header="0"/>
        </w:sectPr>
      </w:pPr>
    </w:p>
    <w:p>
      <w:pPr>
        <w:spacing w:after="0" w:line="329" w:lineRule="exact"/>
        <w:rPr>
          <w:sz w:val="20"/>
          <w:szCs w:val="20"/>
          <w:color w:val="auto"/>
        </w:rPr>
      </w:pPr>
    </w:p>
    <w:p>
      <w:pPr>
        <w:ind w:left="740" w:right="520"/>
        <w:spacing w:after="0" w:line="259" w:lineRule="auto"/>
        <w:rPr>
          <w:sz w:val="20"/>
          <w:szCs w:val="20"/>
          <w:color w:val="auto"/>
        </w:rPr>
      </w:pPr>
      <w:r>
        <w:rPr>
          <w:rFonts w:ascii="Arial" w:cs="Arial" w:eastAsia="Arial" w:hAnsi="Arial"/>
          <w:sz w:val="16"/>
          <w:szCs w:val="16"/>
          <w:color w:val="auto"/>
        </w:rPr>
        <w:t>preside at all meetings of the Board at which the Chairman or the Vice Chairman is not present and, when appropriate, at executive sessions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28460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-357505</wp:posOffset>
            </wp:positionV>
            <wp:extent cx="179705" cy="1974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9705" cy="197485"/>
                    </a:xfrm>
                    <a:prstGeom prst="rect">
                      <a:avLst/>
                    </a:prstGeom>
                    <a:noFill/>
                  </pic:spPr>
                </pic:pic>
              </a:graphicData>
            </a:graphic>
          </wp:anchor>
        </w:drawing>
      </w:r>
    </w:p>
    <w:p>
      <w:pPr>
        <w:spacing w:after="0" w:line="239" w:lineRule="exact"/>
        <w:rPr>
          <w:sz w:val="20"/>
          <w:szCs w:val="20"/>
          <w:color w:val="auto"/>
        </w:rPr>
      </w:pPr>
    </w:p>
    <w:p>
      <w:pPr>
        <w:ind w:left="740" w:right="500"/>
        <w:spacing w:after="0" w:line="266" w:lineRule="auto"/>
        <w:rPr>
          <w:sz w:val="20"/>
          <w:szCs w:val="20"/>
          <w:color w:val="auto"/>
        </w:rPr>
      </w:pPr>
      <w:r>
        <w:rPr>
          <w:rFonts w:ascii="Arial" w:cs="Arial" w:eastAsia="Arial" w:hAnsi="Arial"/>
          <w:sz w:val="16"/>
          <w:szCs w:val="16"/>
          <w:color w:val="auto"/>
        </w:rPr>
        <w:t>ultimately approve the agendas for Board meetings, following discussion with the CEO and the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28460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-301625</wp:posOffset>
            </wp:positionV>
            <wp:extent cx="179705" cy="1974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9705" cy="197485"/>
                    </a:xfrm>
                    <a:prstGeom prst="rect">
                      <a:avLst/>
                    </a:prstGeom>
                    <a:noFill/>
                  </pic:spPr>
                </pic:pic>
              </a:graphicData>
            </a:graphic>
          </wp:anchor>
        </w:drawing>
      </w:r>
    </w:p>
    <w:p>
      <w:pPr>
        <w:spacing w:after="0" w:line="232" w:lineRule="exact"/>
        <w:rPr>
          <w:sz w:val="20"/>
          <w:szCs w:val="20"/>
          <w:color w:val="auto"/>
        </w:rPr>
      </w:pPr>
    </w:p>
    <w:p>
      <w:pPr>
        <w:ind w:left="740" w:right="680"/>
        <w:spacing w:after="0" w:line="266" w:lineRule="auto"/>
        <w:rPr>
          <w:sz w:val="20"/>
          <w:szCs w:val="20"/>
          <w:color w:val="auto"/>
        </w:rPr>
      </w:pPr>
      <w:r>
        <w:rPr>
          <w:rFonts w:ascii="Arial" w:cs="Arial" w:eastAsia="Arial" w:hAnsi="Arial"/>
          <w:sz w:val="16"/>
          <w:szCs w:val="16"/>
          <w:color w:val="auto"/>
        </w:rPr>
        <w:t>lead the annual performance evaluation of the Board in partnership with the Chair of the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28460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-301625</wp:posOffset>
            </wp:positionV>
            <wp:extent cx="179705" cy="1968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32" w:lineRule="exact"/>
        <w:rPr>
          <w:sz w:val="20"/>
          <w:szCs w:val="20"/>
          <w:color w:val="auto"/>
        </w:rPr>
      </w:pPr>
    </w:p>
    <w:p>
      <w:pPr>
        <w:ind w:left="740" w:right="400"/>
        <w:spacing w:after="0" w:line="266" w:lineRule="auto"/>
        <w:rPr>
          <w:sz w:val="20"/>
          <w:szCs w:val="20"/>
          <w:color w:val="auto"/>
        </w:rPr>
      </w:pPr>
      <w:r>
        <w:rPr>
          <w:rFonts w:ascii="Arial" w:cs="Arial" w:eastAsia="Arial" w:hAnsi="Arial"/>
          <w:sz w:val="16"/>
          <w:szCs w:val="16"/>
          <w:color w:val="auto"/>
        </w:rPr>
        <w:t>lead the annual performance review of the CEO in partnership with the Chairs of the Nominating Committee and the Talent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28460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-301625</wp:posOffset>
            </wp:positionV>
            <wp:extent cx="179705" cy="1974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9705" cy="197485"/>
                    </a:xfrm>
                    <a:prstGeom prst="rect">
                      <a:avLst/>
                    </a:prstGeom>
                    <a:noFill/>
                  </pic:spPr>
                </pic:pic>
              </a:graphicData>
            </a:graphic>
          </wp:anchor>
        </w:drawing>
      </w:r>
    </w:p>
    <w:p>
      <w:pPr>
        <w:spacing w:after="0" w:line="232" w:lineRule="exact"/>
        <w:rPr>
          <w:sz w:val="20"/>
          <w:szCs w:val="20"/>
          <w:color w:val="auto"/>
        </w:rPr>
      </w:pPr>
    </w:p>
    <w:p>
      <w:pPr>
        <w:ind w:left="740" w:right="380"/>
        <w:spacing w:after="0" w:line="259" w:lineRule="auto"/>
        <w:rPr>
          <w:sz w:val="20"/>
          <w:szCs w:val="20"/>
          <w:color w:val="auto"/>
        </w:rPr>
      </w:pPr>
      <w:r>
        <w:rPr>
          <w:rFonts w:ascii="Arial" w:cs="Arial" w:eastAsia="Arial" w:hAnsi="Arial"/>
          <w:sz w:val="16"/>
          <w:szCs w:val="16"/>
          <w:color w:val="auto"/>
        </w:rPr>
        <w:t>with input from the Nominating Committee and the Chair of the Talent Committee, annually review succession planning for the CEO and other key management positions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28460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-357505</wp:posOffset>
            </wp:positionV>
            <wp:extent cx="179705" cy="1968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39" w:lineRule="exact"/>
        <w:rPr>
          <w:sz w:val="20"/>
          <w:szCs w:val="20"/>
          <w:color w:val="auto"/>
        </w:rPr>
      </w:pPr>
    </w:p>
    <w:p>
      <w:pPr>
        <w:ind w:left="740" w:right="400"/>
        <w:spacing w:after="0" w:line="259" w:lineRule="auto"/>
        <w:rPr>
          <w:sz w:val="20"/>
          <w:szCs w:val="20"/>
          <w:color w:val="auto"/>
        </w:rPr>
      </w:pPr>
      <w:r>
        <w:rPr>
          <w:rFonts w:ascii="Arial" w:cs="Arial" w:eastAsia="Arial" w:hAnsi="Arial"/>
          <w:sz w:val="16"/>
          <w:szCs w:val="16"/>
          <w:color w:val="auto"/>
        </w:rPr>
        <w:t>together with the Nominating Committee, actively engage in Board evolution planning and succession planning for directors, including for the Lead Independent Director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58293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-357505</wp:posOffset>
            </wp:positionV>
            <wp:extent cx="179705" cy="1968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participate in appropriate training and orientation for new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64770</wp:posOffset>
            </wp:positionV>
            <wp:extent cx="28460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-251460</wp:posOffset>
            </wp:positionV>
            <wp:extent cx="179705" cy="1974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9705" cy="19748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159385</wp:posOffset>
            </wp:positionV>
            <wp:extent cx="179705" cy="1968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serve as Interim Chairman,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149225</wp:posOffset>
            </wp:positionV>
            <wp:extent cx="28460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50"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serve as liaison between the independent directors and the Chairman,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64770</wp:posOffset>
            </wp:positionV>
            <wp:extent cx="28460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-251460</wp:posOffset>
            </wp:positionV>
            <wp:extent cx="179705" cy="1974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9705" cy="197485"/>
                    </a:xfrm>
                    <a:prstGeom prst="rect">
                      <a:avLst/>
                    </a:prstGeom>
                    <a:noFill/>
                  </pic:spPr>
                </pic:pic>
              </a:graphicData>
            </a:graphic>
          </wp:anchor>
        </w:drawing>
      </w:r>
    </w:p>
    <w:p>
      <w:pPr>
        <w:spacing w:after="0" w:line="217" w:lineRule="exact"/>
        <w:rPr>
          <w:sz w:val="20"/>
          <w:szCs w:val="20"/>
          <w:color w:val="auto"/>
        </w:rPr>
      </w:pPr>
    </w:p>
    <w:p>
      <w:pPr>
        <w:ind w:right="880"/>
        <w:spacing w:after="0" w:line="286" w:lineRule="auto"/>
        <w:rPr>
          <w:sz w:val="20"/>
          <w:szCs w:val="20"/>
          <w:color w:val="auto"/>
        </w:rPr>
      </w:pPr>
      <w:r>
        <w:rPr>
          <w:rFonts w:ascii="Arial" w:cs="Arial" w:eastAsia="Arial" w:hAnsi="Arial"/>
          <w:sz w:val="16"/>
          <w:szCs w:val="16"/>
          <w:color w:val="auto"/>
        </w:rPr>
        <w:t>has the authority to call meetings of the independent directors,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64770</wp:posOffset>
            </wp:positionV>
            <wp:extent cx="28460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-251460</wp:posOffset>
            </wp:positionV>
            <wp:extent cx="179705" cy="1968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1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participate in stockholder outreach and, if requested by key stockholders, serve as a point of contact and communication for stockholders wishing to engage directly with the Board, other than through the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80010</wp:posOffset>
            </wp:positionV>
            <wp:extent cx="28460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-416560</wp:posOffset>
            </wp:positionV>
            <wp:extent cx="179705" cy="1968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41"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lead executive sessions of the Board and provide feedback to the Chairman and CEO regarding decisions and recommendations of the independent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78740</wp:posOffset>
            </wp:positionV>
            <wp:extent cx="28460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-357505</wp:posOffset>
            </wp:positionV>
            <wp:extent cx="179705" cy="1968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39"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participate in crisis management oversight,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-251460</wp:posOffset>
            </wp:positionV>
            <wp:extent cx="179705" cy="1968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326" w:lineRule="exact"/>
        <w:rPr>
          <w:sz w:val="20"/>
          <w:szCs w:val="20"/>
          <w:color w:val="auto"/>
        </w:rPr>
      </w:pPr>
    </w:p>
    <w:p>
      <w:pPr>
        <w:sectPr>
          <w:pgSz w:w="11900" w:h="16838" w:orient="portrait"/>
          <w:cols w:equalWidth="0" w:num="2">
            <w:col w:w="4720" w:space="720"/>
            <w:col w:w="3700"/>
          </w:cols>
          <w:pgMar w:left="1360" w:top="114" w:right="1399" w:bottom="1440" w:gutter="0" w:footer="0" w:header="0"/>
          <w:type w:val="continuous"/>
        </w:sectPr>
      </w:pPr>
    </w:p>
    <w:p>
      <w:pPr>
        <w:spacing w:after="0" w:line="22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32</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DIRECTOR INDEPENDENCE AND NON-MANAGEMENT DIRECTOR MEETINGS</w:t>
      </w:r>
    </w:p>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philosophy is that at least a majority of the Board of Directors should be independent, and the Board has determined that all non-management director nominees are independent: Angela Ahrendts, Frank A. Bennack, Jr., Cesar Conde, Debra Cupp, Linda Findley, Michael A. George, Valerie Jarrett, Darren Walker, and Wei Zhang. Each of the current members of our Audit Committee, Talent Committee, Nominating Committee, and Finance Committee detailed below are independent.</w:t>
      </w:r>
    </w:p>
    <w:p>
      <w:pPr>
        <w:spacing w:after="0" w:line="12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In considering the independence of our independent directors, we considered, among other factors, charitable contributions to entities affiliated with our independent directors and commercial transactions conducted, from time to time, in the ordinary course of business between us and certain entities affiliated with these directors. In the case of each of our independent directors, any such transactions have substantially the same terms as are prevailing at the time for comparable businesses and the indirect interest of the independent director in the charitable contribution or transaction, if applicable, was found to be immaterial and in amounts that do not impair the independence of the relevant director under our Corporate Governance Policies and the NYSE’s corporate governance listing standards. Our guidelines for determining director independence are set forth as Appendix A to this Proxy Statement.</w:t>
      </w:r>
    </w:p>
    <w:p>
      <w:pPr>
        <w:spacing w:after="0" w:line="129"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At each of our regularly scheduled Board and Committee meetings, the non-management, independent directors participate in an executive session without any members of the Company’s management present. In Fiscal 2026, our independent directors met together as a Board, without any management representatives present, at least once per quarter. Board meetings are structured so that the independent directors meet in executive session both at the start and at the end of each Board meeting. Our Lead Independent Director presided during these executive sessions of independent directors.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MEETINGS AND DIRECTOR ATTENDANCE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340" w:type="dxa"/>
            <w:vAlign w:val="bottom"/>
            <w:gridSpan w:val="5"/>
            <w:shd w:val="clear" w:color="auto" w:fill="001641"/>
          </w:tcPr>
          <w:p>
            <w:pPr>
              <w:ind w:left="160"/>
              <w:spacing w:after="0"/>
              <w:rPr>
                <w:sz w:val="20"/>
                <w:szCs w:val="20"/>
                <w:color w:val="auto"/>
              </w:rPr>
            </w:pPr>
            <w:r>
              <w:rPr>
                <w:rFonts w:ascii="Arial" w:cs="Arial" w:eastAsia="Arial" w:hAnsi="Arial"/>
                <w:sz w:val="14"/>
                <w:szCs w:val="14"/>
                <w:b w:val="1"/>
                <w:bCs w:val="1"/>
                <w:color w:val="FFFFFF"/>
              </w:rPr>
              <w:t>Type of Meeting</w:t>
            </w:r>
          </w:p>
        </w:tc>
        <w:tc>
          <w:tcPr>
            <w:tcW w:w="5840" w:type="dxa"/>
            <w:vAlign w:val="bottom"/>
            <w:gridSpan w:val="5"/>
            <w:shd w:val="clear" w:color="auto" w:fill="001641"/>
          </w:tcPr>
          <w:p>
            <w:pPr>
              <w:ind w:left="820"/>
              <w:spacing w:after="0"/>
              <w:rPr>
                <w:sz w:val="20"/>
                <w:szCs w:val="20"/>
                <w:color w:val="auto"/>
              </w:rPr>
            </w:pPr>
            <w:r>
              <w:rPr>
                <w:rFonts w:ascii="Arial" w:cs="Arial" w:eastAsia="Arial" w:hAnsi="Arial"/>
                <w:sz w:val="14"/>
                <w:szCs w:val="14"/>
                <w:b w:val="1"/>
                <w:bCs w:val="1"/>
                <w:color w:val="FFFFFF"/>
              </w:rPr>
              <w:t>Number of Meetings and Director Attendance</w:t>
            </w:r>
          </w:p>
        </w:tc>
      </w:tr>
      <w:tr>
        <w:trPr>
          <w:trHeight w:val="193"/>
        </w:trPr>
        <w:tc>
          <w:tcPr>
            <w:tcW w:w="3340" w:type="dxa"/>
            <w:vAlign w:val="bottom"/>
            <w:gridSpan w:val="5"/>
          </w:tcPr>
          <w:p>
            <w:pPr>
              <w:ind w:left="160"/>
              <w:spacing w:after="0"/>
              <w:rPr>
                <w:sz w:val="20"/>
                <w:szCs w:val="20"/>
                <w:color w:val="auto"/>
              </w:rPr>
            </w:pPr>
            <w:r>
              <w:rPr>
                <w:rFonts w:ascii="Arial" w:cs="Arial" w:eastAsia="Arial" w:hAnsi="Arial"/>
                <w:sz w:val="14"/>
                <w:szCs w:val="14"/>
                <w:color w:val="001641"/>
              </w:rPr>
              <w:t>2025 Annual Meeting of Stockholders</w:t>
            </w:r>
          </w:p>
        </w:tc>
        <w:tc>
          <w:tcPr>
            <w:tcW w:w="5840" w:type="dxa"/>
            <w:vAlign w:val="bottom"/>
            <w:gridSpan w:val="5"/>
          </w:tcPr>
          <w:p>
            <w:pPr>
              <w:ind w:left="820"/>
              <w:spacing w:after="0"/>
              <w:rPr>
                <w:sz w:val="20"/>
                <w:szCs w:val="20"/>
                <w:color w:val="auto"/>
              </w:rPr>
            </w:pPr>
            <w:r>
              <w:rPr>
                <w:rFonts w:ascii="Arial" w:cs="Arial" w:eastAsia="Arial" w:hAnsi="Arial"/>
                <w:sz w:val="14"/>
                <w:szCs w:val="14"/>
                <w:color w:val="001641"/>
              </w:rPr>
              <w:t>Although there is no formal attendance policy, our directors are expected to</w:t>
            </w:r>
          </w:p>
        </w:tc>
      </w:tr>
      <w:tr>
        <w:trPr>
          <w:trHeight w:val="162"/>
        </w:trPr>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840" w:type="dxa"/>
            <w:vAlign w:val="bottom"/>
            <w:gridSpan w:val="5"/>
          </w:tcPr>
          <w:p>
            <w:pPr>
              <w:ind w:left="820"/>
              <w:spacing w:after="0"/>
              <w:rPr>
                <w:sz w:val="20"/>
                <w:szCs w:val="20"/>
                <w:color w:val="auto"/>
              </w:rPr>
            </w:pPr>
            <w:r>
              <w:rPr>
                <w:rFonts w:ascii="Arial" w:cs="Arial" w:eastAsia="Arial" w:hAnsi="Arial"/>
                <w:sz w:val="14"/>
                <w:szCs w:val="14"/>
                <w:color w:val="001641"/>
              </w:rPr>
              <w:t>attend each Annual Meeting of Stockholders. All of the directors nominated</w:t>
            </w:r>
          </w:p>
        </w:tc>
      </w:tr>
      <w:tr>
        <w:trPr>
          <w:trHeight w:val="162"/>
        </w:trPr>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840" w:type="dxa"/>
            <w:vAlign w:val="bottom"/>
            <w:gridSpan w:val="5"/>
          </w:tcPr>
          <w:p>
            <w:pPr>
              <w:ind w:left="820"/>
              <w:spacing w:after="0"/>
              <w:rPr>
                <w:sz w:val="20"/>
                <w:szCs w:val="20"/>
                <w:color w:val="auto"/>
              </w:rPr>
            </w:pPr>
            <w:r>
              <w:rPr>
                <w:rFonts w:ascii="Arial" w:cs="Arial" w:eastAsia="Arial" w:hAnsi="Arial"/>
                <w:sz w:val="14"/>
                <w:szCs w:val="14"/>
                <w:color w:val="001641"/>
              </w:rPr>
              <w:t>for election at the 2025 Annual Meeting of Stockholders attended the</w:t>
            </w:r>
          </w:p>
        </w:tc>
      </w:tr>
      <w:tr>
        <w:trPr>
          <w:trHeight w:val="190"/>
        </w:trPr>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0" w:type="dxa"/>
            <w:vAlign w:val="bottom"/>
            <w:gridSpan w:val="4"/>
          </w:tcPr>
          <w:p>
            <w:pPr>
              <w:ind w:left="820"/>
              <w:spacing w:after="0"/>
              <w:rPr>
                <w:sz w:val="20"/>
                <w:szCs w:val="20"/>
                <w:color w:val="auto"/>
              </w:rPr>
            </w:pPr>
            <w:r>
              <w:rPr>
                <w:rFonts w:ascii="Arial" w:cs="Arial" w:eastAsia="Arial" w:hAnsi="Arial"/>
                <w:sz w:val="14"/>
                <w:szCs w:val="14"/>
                <w:color w:val="001641"/>
              </w:rPr>
              <w:t>meeting.</w:t>
            </w:r>
          </w:p>
        </w:tc>
        <w:tc>
          <w:tcPr>
            <w:tcW w:w="4440" w:type="dxa"/>
            <w:vAlign w:val="bottom"/>
          </w:tcPr>
          <w:p>
            <w:pPr>
              <w:spacing w:after="0"/>
              <w:rPr>
                <w:sz w:val="16"/>
                <w:szCs w:val="16"/>
                <w:color w:val="auto"/>
              </w:rPr>
            </w:pPr>
          </w:p>
        </w:tc>
      </w:tr>
      <w:tr>
        <w:trPr>
          <w:trHeight w:val="22"/>
        </w:trPr>
        <w:tc>
          <w:tcPr>
            <w:tcW w:w="3340" w:type="dxa"/>
            <w:vAlign w:val="bottom"/>
            <w:tcBorders>
              <w:bottom w:val="single" w:sz="8" w:color="BFA071"/>
            </w:tcBorders>
            <w:gridSpan w:val="5"/>
          </w:tcPr>
          <w:p>
            <w:pPr>
              <w:spacing w:after="0" w:line="20" w:lineRule="exact"/>
              <w:rPr>
                <w:sz w:val="1"/>
                <w:szCs w:val="1"/>
                <w:color w:val="auto"/>
              </w:rPr>
            </w:pPr>
          </w:p>
        </w:tc>
        <w:tc>
          <w:tcPr>
            <w:tcW w:w="5840" w:type="dxa"/>
            <w:vAlign w:val="bottom"/>
            <w:tcBorders>
              <w:bottom w:val="single" w:sz="8" w:color="BFA071"/>
            </w:tcBorders>
            <w:gridSpan w:val="5"/>
          </w:tcPr>
          <w:p>
            <w:pPr>
              <w:spacing w:after="0" w:line="20" w:lineRule="exact"/>
              <w:rPr>
                <w:sz w:val="1"/>
                <w:szCs w:val="1"/>
                <w:color w:val="auto"/>
              </w:rPr>
            </w:pPr>
          </w:p>
        </w:tc>
      </w:tr>
      <w:tr>
        <w:trPr>
          <w:trHeight w:val="173"/>
        </w:trPr>
        <w:tc>
          <w:tcPr>
            <w:tcW w:w="3340" w:type="dxa"/>
            <w:vAlign w:val="bottom"/>
            <w:gridSpan w:val="5"/>
          </w:tcPr>
          <w:p>
            <w:pPr>
              <w:ind w:left="160"/>
              <w:spacing w:after="0"/>
              <w:rPr>
                <w:sz w:val="20"/>
                <w:szCs w:val="20"/>
                <w:color w:val="auto"/>
              </w:rPr>
            </w:pPr>
            <w:r>
              <w:rPr>
                <w:rFonts w:ascii="Arial" w:cs="Arial" w:eastAsia="Arial" w:hAnsi="Arial"/>
                <w:sz w:val="14"/>
                <w:szCs w:val="14"/>
                <w:color w:val="001641"/>
              </w:rPr>
              <w:t>Meetings of:</w:t>
            </w:r>
          </w:p>
        </w:tc>
        <w:tc>
          <w:tcPr>
            <w:tcW w:w="5840" w:type="dxa"/>
            <w:vAlign w:val="bottom"/>
            <w:gridSpan w:val="5"/>
          </w:tcPr>
          <w:p>
            <w:pPr>
              <w:ind w:left="820"/>
              <w:spacing w:after="0"/>
              <w:rPr>
                <w:sz w:val="20"/>
                <w:szCs w:val="20"/>
                <w:color w:val="auto"/>
              </w:rPr>
            </w:pPr>
            <w:r>
              <w:rPr>
                <w:rFonts w:ascii="Arial" w:cs="Arial" w:eastAsia="Arial" w:hAnsi="Arial"/>
                <w:sz w:val="14"/>
                <w:szCs w:val="14"/>
                <w:color w:val="001641"/>
              </w:rPr>
              <w:t>In Fiscal 2026:</w:t>
            </w:r>
          </w:p>
        </w:tc>
      </w:tr>
      <w:tr>
        <w:trPr>
          <w:trHeight w:val="162"/>
        </w:trPr>
        <w:tc>
          <w:tcPr>
            <w:tcW w:w="240" w:type="dxa"/>
            <w:vAlign w:val="bottom"/>
          </w:tcPr>
          <w:p>
            <w:pPr>
              <w:ind w:left="160"/>
              <w:spacing w:after="0"/>
              <w:rPr>
                <w:sz w:val="20"/>
                <w:szCs w:val="20"/>
                <w:color w:val="auto"/>
              </w:rPr>
            </w:pPr>
            <w:r>
              <w:rPr>
                <w:rFonts w:ascii="Arial" w:cs="Arial" w:eastAsia="Arial" w:hAnsi="Arial"/>
                <w:sz w:val="8"/>
                <w:szCs w:val="8"/>
                <w:color w:val="001641"/>
                <w:w w:val="74"/>
              </w:rPr>
              <w:t> </w:t>
            </w:r>
          </w:p>
        </w:tc>
        <w:tc>
          <w:tcPr>
            <w:tcW w:w="160" w:type="dxa"/>
            <w:vAlign w:val="bottom"/>
          </w:tcPr>
          <w:p>
            <w:pPr>
              <w:ind w:left="60"/>
              <w:spacing w:after="0"/>
              <w:rPr>
                <w:sz w:val="20"/>
                <w:szCs w:val="20"/>
                <w:color w:val="auto"/>
              </w:rPr>
            </w:pPr>
            <w:r>
              <w:rPr>
                <w:rFonts w:ascii="Arial" w:cs="Arial" w:eastAsia="Arial" w:hAnsi="Arial"/>
                <w:sz w:val="11"/>
                <w:szCs w:val="11"/>
                <w:color w:val="001641"/>
                <w:w w:val="72"/>
              </w:rPr>
              <w:t> </w:t>
            </w:r>
          </w:p>
        </w:tc>
        <w:tc>
          <w:tcPr>
            <w:tcW w:w="180" w:type="dxa"/>
            <w:vAlign w:val="bottom"/>
          </w:tcPr>
          <w:p>
            <w:pPr>
              <w:ind w:left="40"/>
              <w:spacing w:after="0"/>
              <w:rPr>
                <w:sz w:val="20"/>
                <w:szCs w:val="20"/>
                <w:color w:val="auto"/>
              </w:rPr>
            </w:pPr>
            <w:r>
              <w:rPr>
                <w:rFonts w:ascii="Arial" w:cs="Arial" w:eastAsia="Arial" w:hAnsi="Arial"/>
                <w:sz w:val="12"/>
                <w:szCs w:val="12"/>
                <w:color w:val="001641"/>
                <w:w w:val="73"/>
              </w:rPr>
              <w:t>• </w:t>
            </w:r>
          </w:p>
        </w:tc>
        <w:tc>
          <w:tcPr>
            <w:tcW w:w="160" w:type="dxa"/>
            <w:vAlign w:val="bottom"/>
          </w:tcPr>
          <w:p>
            <w:pPr>
              <w:ind w:left="60"/>
              <w:spacing w:after="0"/>
              <w:rPr>
                <w:sz w:val="20"/>
                <w:szCs w:val="20"/>
                <w:color w:val="auto"/>
              </w:rPr>
            </w:pPr>
            <w:r>
              <w:rPr>
                <w:rFonts w:ascii="Arial" w:cs="Arial" w:eastAsia="Arial" w:hAnsi="Arial"/>
                <w:sz w:val="11"/>
                <w:szCs w:val="11"/>
                <w:color w:val="001641"/>
                <w:w w:val="72"/>
              </w:rPr>
              <w:t> </w:t>
            </w:r>
          </w:p>
        </w:tc>
        <w:tc>
          <w:tcPr>
            <w:tcW w:w="2600" w:type="dxa"/>
            <w:vAlign w:val="bottom"/>
          </w:tcPr>
          <w:p>
            <w:pPr>
              <w:ind w:left="40"/>
              <w:spacing w:after="0"/>
              <w:rPr>
                <w:sz w:val="20"/>
                <w:szCs w:val="20"/>
                <w:color w:val="auto"/>
              </w:rPr>
            </w:pPr>
            <w:r>
              <w:rPr>
                <w:rFonts w:ascii="Arial" w:cs="Arial" w:eastAsia="Arial" w:hAnsi="Arial"/>
                <w:sz w:val="14"/>
                <w:szCs w:val="14"/>
                <w:color w:val="001641"/>
              </w:rPr>
              <w:t>the Board;</w:t>
            </w:r>
          </w:p>
        </w:tc>
        <w:tc>
          <w:tcPr>
            <w:tcW w:w="900" w:type="dxa"/>
            <w:vAlign w:val="bottom"/>
          </w:tcPr>
          <w:p>
            <w:pPr>
              <w:ind w:left="820"/>
              <w:spacing w:after="0"/>
              <w:rPr>
                <w:sz w:val="20"/>
                <w:szCs w:val="20"/>
                <w:color w:val="auto"/>
              </w:rPr>
            </w:pPr>
            <w:r>
              <w:rPr>
                <w:rFonts w:ascii="Arial" w:cs="Arial" w:eastAsia="Arial" w:hAnsi="Arial"/>
                <w:sz w:val="8"/>
                <w:szCs w:val="8"/>
                <w:color w:val="001641"/>
                <w:w w:val="74"/>
              </w:rPr>
              <w:t> </w:t>
            </w:r>
          </w:p>
        </w:tc>
        <w:tc>
          <w:tcPr>
            <w:tcW w:w="140" w:type="dxa"/>
            <w:vAlign w:val="bottom"/>
          </w:tcPr>
          <w:p>
            <w:pPr>
              <w:ind w:left="60"/>
              <w:spacing w:after="0"/>
              <w:rPr>
                <w:sz w:val="20"/>
                <w:szCs w:val="20"/>
                <w:color w:val="auto"/>
              </w:rPr>
            </w:pPr>
            <w:r>
              <w:rPr>
                <w:rFonts w:ascii="Arial" w:cs="Arial" w:eastAsia="Arial" w:hAnsi="Arial"/>
                <w:sz w:val="8"/>
                <w:szCs w:val="8"/>
                <w:color w:val="001641"/>
                <w:w w:val="74"/>
              </w:rPr>
              <w:t> </w:t>
            </w:r>
          </w:p>
        </w:tc>
        <w:tc>
          <w:tcPr>
            <w:tcW w:w="200" w:type="dxa"/>
            <w:vAlign w:val="bottom"/>
          </w:tcPr>
          <w:p>
            <w:pPr>
              <w:ind w:left="60"/>
              <w:spacing w:after="0"/>
              <w:rPr>
                <w:sz w:val="20"/>
                <w:szCs w:val="20"/>
                <w:color w:val="auto"/>
              </w:rPr>
            </w:pPr>
            <w:r>
              <w:rPr>
                <w:rFonts w:ascii="Arial" w:cs="Arial" w:eastAsia="Arial" w:hAnsi="Arial"/>
                <w:sz w:val="12"/>
                <w:szCs w:val="12"/>
                <w:color w:val="001641"/>
                <w:w w:val="73"/>
              </w:rPr>
              <w:t>• </w:t>
            </w:r>
          </w:p>
        </w:tc>
        <w:tc>
          <w:tcPr>
            <w:tcW w:w="160" w:type="dxa"/>
            <w:vAlign w:val="bottom"/>
          </w:tcPr>
          <w:p>
            <w:pPr>
              <w:ind w:left="60"/>
              <w:spacing w:after="0"/>
              <w:rPr>
                <w:sz w:val="20"/>
                <w:szCs w:val="20"/>
                <w:color w:val="auto"/>
              </w:rPr>
            </w:pPr>
            <w:r>
              <w:rPr>
                <w:rFonts w:ascii="Arial" w:cs="Arial" w:eastAsia="Arial" w:hAnsi="Arial"/>
                <w:sz w:val="11"/>
                <w:szCs w:val="11"/>
                <w:color w:val="001641"/>
                <w:w w:val="72"/>
              </w:rPr>
              <w:t> </w:t>
            </w:r>
          </w:p>
        </w:tc>
        <w:tc>
          <w:tcPr>
            <w:tcW w:w="4440" w:type="dxa"/>
            <w:vAlign w:val="bottom"/>
          </w:tcPr>
          <w:p>
            <w:pPr>
              <w:ind w:left="40"/>
              <w:spacing w:after="0"/>
              <w:rPr>
                <w:sz w:val="20"/>
                <w:szCs w:val="20"/>
                <w:color w:val="auto"/>
              </w:rPr>
            </w:pPr>
            <w:r>
              <w:rPr>
                <w:rFonts w:ascii="Arial" w:cs="Arial" w:eastAsia="Arial" w:hAnsi="Arial"/>
                <w:sz w:val="14"/>
                <w:szCs w:val="14"/>
                <w:color w:val="001641"/>
              </w:rPr>
              <w:t>our Board met six times;</w:t>
            </w:r>
          </w:p>
        </w:tc>
      </w:tr>
      <w:tr>
        <w:trPr>
          <w:trHeight w:val="162"/>
        </w:trPr>
        <w:tc>
          <w:tcPr>
            <w:tcW w:w="240" w:type="dxa"/>
            <w:vAlign w:val="bottom"/>
          </w:tcPr>
          <w:p>
            <w:pPr>
              <w:ind w:left="160"/>
              <w:spacing w:after="0"/>
              <w:rPr>
                <w:sz w:val="20"/>
                <w:szCs w:val="20"/>
                <w:color w:val="auto"/>
              </w:rPr>
            </w:pPr>
            <w:r>
              <w:rPr>
                <w:rFonts w:ascii="Arial" w:cs="Arial" w:eastAsia="Arial" w:hAnsi="Arial"/>
                <w:sz w:val="8"/>
                <w:szCs w:val="8"/>
                <w:color w:val="001641"/>
                <w:w w:val="74"/>
              </w:rPr>
              <w:t> </w:t>
            </w:r>
          </w:p>
        </w:tc>
        <w:tc>
          <w:tcPr>
            <w:tcW w:w="160" w:type="dxa"/>
            <w:vAlign w:val="bottom"/>
          </w:tcPr>
          <w:p>
            <w:pPr>
              <w:ind w:left="60"/>
              <w:spacing w:after="0"/>
              <w:rPr>
                <w:sz w:val="20"/>
                <w:szCs w:val="20"/>
                <w:color w:val="auto"/>
              </w:rPr>
            </w:pPr>
            <w:r>
              <w:rPr>
                <w:rFonts w:ascii="Arial" w:cs="Arial" w:eastAsia="Arial" w:hAnsi="Arial"/>
                <w:sz w:val="11"/>
                <w:szCs w:val="11"/>
                <w:color w:val="001641"/>
                <w:w w:val="72"/>
              </w:rPr>
              <w:t> </w:t>
            </w:r>
          </w:p>
        </w:tc>
        <w:tc>
          <w:tcPr>
            <w:tcW w:w="180" w:type="dxa"/>
            <w:vAlign w:val="bottom"/>
          </w:tcPr>
          <w:p>
            <w:pPr>
              <w:ind w:left="40"/>
              <w:spacing w:after="0"/>
              <w:rPr>
                <w:sz w:val="20"/>
                <w:szCs w:val="20"/>
                <w:color w:val="auto"/>
              </w:rPr>
            </w:pPr>
            <w:r>
              <w:rPr>
                <w:rFonts w:ascii="Arial" w:cs="Arial" w:eastAsia="Arial" w:hAnsi="Arial"/>
                <w:sz w:val="12"/>
                <w:szCs w:val="12"/>
                <w:color w:val="001641"/>
                <w:w w:val="73"/>
              </w:rPr>
              <w:t>• </w:t>
            </w:r>
          </w:p>
        </w:tc>
        <w:tc>
          <w:tcPr>
            <w:tcW w:w="160" w:type="dxa"/>
            <w:vAlign w:val="bottom"/>
          </w:tcPr>
          <w:p>
            <w:pPr>
              <w:ind w:left="60"/>
              <w:spacing w:after="0"/>
              <w:rPr>
                <w:sz w:val="20"/>
                <w:szCs w:val="20"/>
                <w:color w:val="auto"/>
              </w:rPr>
            </w:pPr>
            <w:r>
              <w:rPr>
                <w:rFonts w:ascii="Arial" w:cs="Arial" w:eastAsia="Arial" w:hAnsi="Arial"/>
                <w:sz w:val="11"/>
                <w:szCs w:val="11"/>
                <w:color w:val="001641"/>
                <w:w w:val="72"/>
              </w:rPr>
              <w:t> </w:t>
            </w:r>
          </w:p>
        </w:tc>
        <w:tc>
          <w:tcPr>
            <w:tcW w:w="2600" w:type="dxa"/>
            <w:vAlign w:val="bottom"/>
          </w:tcPr>
          <w:p>
            <w:pPr>
              <w:ind w:left="40"/>
              <w:spacing w:after="0"/>
              <w:rPr>
                <w:sz w:val="20"/>
                <w:szCs w:val="20"/>
                <w:color w:val="auto"/>
              </w:rPr>
            </w:pPr>
            <w:r>
              <w:rPr>
                <w:rFonts w:ascii="Arial" w:cs="Arial" w:eastAsia="Arial" w:hAnsi="Arial"/>
                <w:sz w:val="14"/>
                <w:szCs w:val="14"/>
                <w:color w:val="001641"/>
              </w:rPr>
              <w:t>the Audit Committee;</w:t>
            </w:r>
          </w:p>
        </w:tc>
        <w:tc>
          <w:tcPr>
            <w:tcW w:w="900" w:type="dxa"/>
            <w:vAlign w:val="bottom"/>
          </w:tcPr>
          <w:p>
            <w:pPr>
              <w:ind w:left="820"/>
              <w:spacing w:after="0"/>
              <w:rPr>
                <w:sz w:val="20"/>
                <w:szCs w:val="20"/>
                <w:color w:val="auto"/>
              </w:rPr>
            </w:pPr>
            <w:r>
              <w:rPr>
                <w:rFonts w:ascii="Arial" w:cs="Arial" w:eastAsia="Arial" w:hAnsi="Arial"/>
                <w:sz w:val="8"/>
                <w:szCs w:val="8"/>
                <w:color w:val="001641"/>
                <w:w w:val="74"/>
              </w:rPr>
              <w:t> </w:t>
            </w:r>
          </w:p>
        </w:tc>
        <w:tc>
          <w:tcPr>
            <w:tcW w:w="140" w:type="dxa"/>
            <w:vAlign w:val="bottom"/>
          </w:tcPr>
          <w:p>
            <w:pPr>
              <w:ind w:left="60"/>
              <w:spacing w:after="0"/>
              <w:rPr>
                <w:sz w:val="20"/>
                <w:szCs w:val="20"/>
                <w:color w:val="auto"/>
              </w:rPr>
            </w:pPr>
            <w:r>
              <w:rPr>
                <w:rFonts w:ascii="Arial" w:cs="Arial" w:eastAsia="Arial" w:hAnsi="Arial"/>
                <w:sz w:val="8"/>
                <w:szCs w:val="8"/>
                <w:color w:val="001641"/>
                <w:w w:val="74"/>
              </w:rPr>
              <w:t> </w:t>
            </w:r>
          </w:p>
        </w:tc>
        <w:tc>
          <w:tcPr>
            <w:tcW w:w="200" w:type="dxa"/>
            <w:vAlign w:val="bottom"/>
          </w:tcPr>
          <w:p>
            <w:pPr>
              <w:ind w:left="60"/>
              <w:spacing w:after="0"/>
              <w:rPr>
                <w:sz w:val="20"/>
                <w:szCs w:val="20"/>
                <w:color w:val="auto"/>
              </w:rPr>
            </w:pPr>
            <w:r>
              <w:rPr>
                <w:rFonts w:ascii="Arial" w:cs="Arial" w:eastAsia="Arial" w:hAnsi="Arial"/>
                <w:sz w:val="12"/>
                <w:szCs w:val="12"/>
                <w:color w:val="001641"/>
                <w:w w:val="73"/>
              </w:rPr>
              <w:t>• </w:t>
            </w:r>
          </w:p>
        </w:tc>
        <w:tc>
          <w:tcPr>
            <w:tcW w:w="160" w:type="dxa"/>
            <w:vAlign w:val="bottom"/>
          </w:tcPr>
          <w:p>
            <w:pPr>
              <w:ind w:left="60"/>
              <w:spacing w:after="0"/>
              <w:rPr>
                <w:sz w:val="20"/>
                <w:szCs w:val="20"/>
                <w:color w:val="auto"/>
              </w:rPr>
            </w:pPr>
            <w:r>
              <w:rPr>
                <w:rFonts w:ascii="Arial" w:cs="Arial" w:eastAsia="Arial" w:hAnsi="Arial"/>
                <w:sz w:val="11"/>
                <w:szCs w:val="11"/>
                <w:color w:val="001641"/>
                <w:w w:val="72"/>
              </w:rPr>
              <w:t> </w:t>
            </w:r>
          </w:p>
        </w:tc>
        <w:tc>
          <w:tcPr>
            <w:tcW w:w="4440" w:type="dxa"/>
            <w:vAlign w:val="bottom"/>
          </w:tcPr>
          <w:p>
            <w:pPr>
              <w:ind w:left="40"/>
              <w:spacing w:after="0"/>
              <w:rPr>
                <w:sz w:val="20"/>
                <w:szCs w:val="20"/>
                <w:color w:val="auto"/>
              </w:rPr>
            </w:pPr>
            <w:r>
              <w:rPr>
                <w:rFonts w:ascii="Arial" w:cs="Arial" w:eastAsia="Arial" w:hAnsi="Arial"/>
                <w:sz w:val="14"/>
                <w:szCs w:val="14"/>
                <w:color w:val="001641"/>
              </w:rPr>
              <w:t>our Audit Committee met four times;</w:t>
            </w:r>
          </w:p>
        </w:tc>
      </w:tr>
      <w:tr>
        <w:trPr>
          <w:trHeight w:val="162"/>
        </w:trPr>
        <w:tc>
          <w:tcPr>
            <w:tcW w:w="240" w:type="dxa"/>
            <w:vAlign w:val="bottom"/>
          </w:tcPr>
          <w:p>
            <w:pPr>
              <w:ind w:left="160"/>
              <w:spacing w:after="0"/>
              <w:rPr>
                <w:sz w:val="20"/>
                <w:szCs w:val="20"/>
                <w:color w:val="auto"/>
              </w:rPr>
            </w:pPr>
            <w:r>
              <w:rPr>
                <w:rFonts w:ascii="Arial" w:cs="Arial" w:eastAsia="Arial" w:hAnsi="Arial"/>
                <w:sz w:val="8"/>
                <w:szCs w:val="8"/>
                <w:color w:val="001641"/>
                <w:w w:val="74"/>
              </w:rPr>
              <w:t> </w:t>
            </w:r>
          </w:p>
        </w:tc>
        <w:tc>
          <w:tcPr>
            <w:tcW w:w="160" w:type="dxa"/>
            <w:vAlign w:val="bottom"/>
          </w:tcPr>
          <w:p>
            <w:pPr>
              <w:ind w:left="60"/>
              <w:spacing w:after="0"/>
              <w:rPr>
                <w:sz w:val="20"/>
                <w:szCs w:val="20"/>
                <w:color w:val="auto"/>
              </w:rPr>
            </w:pPr>
            <w:r>
              <w:rPr>
                <w:rFonts w:ascii="Arial" w:cs="Arial" w:eastAsia="Arial" w:hAnsi="Arial"/>
                <w:sz w:val="11"/>
                <w:szCs w:val="11"/>
                <w:color w:val="001641"/>
                <w:w w:val="72"/>
              </w:rPr>
              <w:t> </w:t>
            </w:r>
          </w:p>
        </w:tc>
        <w:tc>
          <w:tcPr>
            <w:tcW w:w="180" w:type="dxa"/>
            <w:vAlign w:val="bottom"/>
          </w:tcPr>
          <w:p>
            <w:pPr>
              <w:ind w:left="40"/>
              <w:spacing w:after="0"/>
              <w:rPr>
                <w:sz w:val="20"/>
                <w:szCs w:val="20"/>
                <w:color w:val="auto"/>
              </w:rPr>
            </w:pPr>
            <w:r>
              <w:rPr>
                <w:rFonts w:ascii="Arial" w:cs="Arial" w:eastAsia="Arial" w:hAnsi="Arial"/>
                <w:sz w:val="12"/>
                <w:szCs w:val="12"/>
                <w:color w:val="001641"/>
                <w:w w:val="73"/>
              </w:rPr>
              <w:t>• </w:t>
            </w:r>
          </w:p>
        </w:tc>
        <w:tc>
          <w:tcPr>
            <w:tcW w:w="160" w:type="dxa"/>
            <w:vAlign w:val="bottom"/>
          </w:tcPr>
          <w:p>
            <w:pPr>
              <w:ind w:left="60"/>
              <w:spacing w:after="0"/>
              <w:rPr>
                <w:sz w:val="20"/>
                <w:szCs w:val="20"/>
                <w:color w:val="auto"/>
              </w:rPr>
            </w:pPr>
            <w:r>
              <w:rPr>
                <w:rFonts w:ascii="Arial" w:cs="Arial" w:eastAsia="Arial" w:hAnsi="Arial"/>
                <w:sz w:val="11"/>
                <w:szCs w:val="11"/>
                <w:color w:val="001641"/>
                <w:w w:val="72"/>
              </w:rPr>
              <w:t> </w:t>
            </w:r>
          </w:p>
        </w:tc>
        <w:tc>
          <w:tcPr>
            <w:tcW w:w="2600" w:type="dxa"/>
            <w:vAlign w:val="bottom"/>
          </w:tcPr>
          <w:p>
            <w:pPr>
              <w:ind w:left="40"/>
              <w:spacing w:after="0"/>
              <w:rPr>
                <w:sz w:val="20"/>
                <w:szCs w:val="20"/>
                <w:color w:val="auto"/>
              </w:rPr>
            </w:pPr>
            <w:r>
              <w:rPr>
                <w:rFonts w:ascii="Arial" w:cs="Arial" w:eastAsia="Arial" w:hAnsi="Arial"/>
                <w:sz w:val="14"/>
                <w:szCs w:val="14"/>
                <w:color w:val="001641"/>
              </w:rPr>
              <w:t>the Nominating Committee;</w:t>
            </w:r>
          </w:p>
        </w:tc>
        <w:tc>
          <w:tcPr>
            <w:tcW w:w="900" w:type="dxa"/>
            <w:vAlign w:val="bottom"/>
          </w:tcPr>
          <w:p>
            <w:pPr>
              <w:ind w:left="820"/>
              <w:spacing w:after="0"/>
              <w:rPr>
                <w:sz w:val="20"/>
                <w:szCs w:val="20"/>
                <w:color w:val="auto"/>
              </w:rPr>
            </w:pPr>
            <w:r>
              <w:rPr>
                <w:rFonts w:ascii="Arial" w:cs="Arial" w:eastAsia="Arial" w:hAnsi="Arial"/>
                <w:sz w:val="8"/>
                <w:szCs w:val="8"/>
                <w:color w:val="001641"/>
                <w:w w:val="74"/>
              </w:rPr>
              <w:t> </w:t>
            </w:r>
          </w:p>
        </w:tc>
        <w:tc>
          <w:tcPr>
            <w:tcW w:w="140" w:type="dxa"/>
            <w:vAlign w:val="bottom"/>
          </w:tcPr>
          <w:p>
            <w:pPr>
              <w:ind w:left="60"/>
              <w:spacing w:after="0"/>
              <w:rPr>
                <w:sz w:val="20"/>
                <w:szCs w:val="20"/>
                <w:color w:val="auto"/>
              </w:rPr>
            </w:pPr>
            <w:r>
              <w:rPr>
                <w:rFonts w:ascii="Arial" w:cs="Arial" w:eastAsia="Arial" w:hAnsi="Arial"/>
                <w:sz w:val="8"/>
                <w:szCs w:val="8"/>
                <w:color w:val="001641"/>
                <w:w w:val="74"/>
              </w:rPr>
              <w:t> </w:t>
            </w:r>
          </w:p>
        </w:tc>
        <w:tc>
          <w:tcPr>
            <w:tcW w:w="200" w:type="dxa"/>
            <w:vAlign w:val="bottom"/>
          </w:tcPr>
          <w:p>
            <w:pPr>
              <w:ind w:left="60"/>
              <w:spacing w:after="0"/>
              <w:rPr>
                <w:sz w:val="20"/>
                <w:szCs w:val="20"/>
                <w:color w:val="auto"/>
              </w:rPr>
            </w:pPr>
            <w:r>
              <w:rPr>
                <w:rFonts w:ascii="Arial" w:cs="Arial" w:eastAsia="Arial" w:hAnsi="Arial"/>
                <w:sz w:val="12"/>
                <w:szCs w:val="12"/>
                <w:color w:val="001641"/>
                <w:w w:val="73"/>
              </w:rPr>
              <w:t>• </w:t>
            </w:r>
          </w:p>
        </w:tc>
        <w:tc>
          <w:tcPr>
            <w:tcW w:w="160" w:type="dxa"/>
            <w:vAlign w:val="bottom"/>
          </w:tcPr>
          <w:p>
            <w:pPr>
              <w:ind w:left="60"/>
              <w:spacing w:after="0"/>
              <w:rPr>
                <w:sz w:val="20"/>
                <w:szCs w:val="20"/>
                <w:color w:val="auto"/>
              </w:rPr>
            </w:pPr>
            <w:r>
              <w:rPr>
                <w:rFonts w:ascii="Arial" w:cs="Arial" w:eastAsia="Arial" w:hAnsi="Arial"/>
                <w:sz w:val="11"/>
                <w:szCs w:val="11"/>
                <w:color w:val="001641"/>
                <w:w w:val="72"/>
              </w:rPr>
              <w:t> </w:t>
            </w:r>
          </w:p>
        </w:tc>
        <w:tc>
          <w:tcPr>
            <w:tcW w:w="4440" w:type="dxa"/>
            <w:vAlign w:val="bottom"/>
          </w:tcPr>
          <w:p>
            <w:pPr>
              <w:ind w:left="40"/>
              <w:spacing w:after="0"/>
              <w:rPr>
                <w:sz w:val="20"/>
                <w:szCs w:val="20"/>
                <w:color w:val="auto"/>
              </w:rPr>
            </w:pPr>
            <w:r>
              <w:rPr>
                <w:rFonts w:ascii="Arial" w:cs="Arial" w:eastAsia="Arial" w:hAnsi="Arial"/>
                <w:sz w:val="14"/>
                <w:szCs w:val="14"/>
                <w:color w:val="001641"/>
              </w:rPr>
              <w:t>our Nominating Committee met four times;</w:t>
            </w:r>
          </w:p>
        </w:tc>
      </w:tr>
      <w:tr>
        <w:trPr>
          <w:trHeight w:val="162"/>
        </w:trPr>
        <w:tc>
          <w:tcPr>
            <w:tcW w:w="240" w:type="dxa"/>
            <w:vAlign w:val="bottom"/>
          </w:tcPr>
          <w:p>
            <w:pPr>
              <w:ind w:left="160"/>
              <w:spacing w:after="0"/>
              <w:rPr>
                <w:sz w:val="20"/>
                <w:szCs w:val="20"/>
                <w:color w:val="auto"/>
              </w:rPr>
            </w:pPr>
            <w:r>
              <w:rPr>
                <w:rFonts w:ascii="Arial" w:cs="Arial" w:eastAsia="Arial" w:hAnsi="Arial"/>
                <w:sz w:val="8"/>
                <w:szCs w:val="8"/>
                <w:color w:val="001641"/>
                <w:w w:val="74"/>
              </w:rPr>
              <w:t> </w:t>
            </w:r>
          </w:p>
        </w:tc>
        <w:tc>
          <w:tcPr>
            <w:tcW w:w="160" w:type="dxa"/>
            <w:vAlign w:val="bottom"/>
          </w:tcPr>
          <w:p>
            <w:pPr>
              <w:ind w:left="60"/>
              <w:spacing w:after="0"/>
              <w:rPr>
                <w:sz w:val="20"/>
                <w:szCs w:val="20"/>
                <w:color w:val="auto"/>
              </w:rPr>
            </w:pPr>
            <w:r>
              <w:rPr>
                <w:rFonts w:ascii="Arial" w:cs="Arial" w:eastAsia="Arial" w:hAnsi="Arial"/>
                <w:sz w:val="11"/>
                <w:szCs w:val="11"/>
                <w:color w:val="001641"/>
                <w:w w:val="72"/>
              </w:rPr>
              <w:t> </w:t>
            </w:r>
          </w:p>
        </w:tc>
        <w:tc>
          <w:tcPr>
            <w:tcW w:w="180" w:type="dxa"/>
            <w:vAlign w:val="bottom"/>
          </w:tcPr>
          <w:p>
            <w:pPr>
              <w:ind w:left="40"/>
              <w:spacing w:after="0"/>
              <w:rPr>
                <w:sz w:val="20"/>
                <w:szCs w:val="20"/>
                <w:color w:val="auto"/>
              </w:rPr>
            </w:pPr>
            <w:r>
              <w:rPr>
                <w:rFonts w:ascii="Arial" w:cs="Arial" w:eastAsia="Arial" w:hAnsi="Arial"/>
                <w:sz w:val="12"/>
                <w:szCs w:val="12"/>
                <w:color w:val="001641"/>
                <w:w w:val="73"/>
              </w:rPr>
              <w:t>• </w:t>
            </w:r>
          </w:p>
        </w:tc>
        <w:tc>
          <w:tcPr>
            <w:tcW w:w="2760" w:type="dxa"/>
            <w:vAlign w:val="bottom"/>
            <w:gridSpan w:val="2"/>
          </w:tcPr>
          <w:p>
            <w:pPr>
              <w:ind w:left="60"/>
              <w:spacing w:after="0"/>
              <w:rPr>
                <w:sz w:val="20"/>
                <w:szCs w:val="20"/>
                <w:color w:val="auto"/>
              </w:rPr>
            </w:pPr>
            <w:r>
              <w:rPr>
                <w:rFonts w:ascii="Arial" w:cs="Arial" w:eastAsia="Arial" w:hAnsi="Arial"/>
                <w:sz w:val="14"/>
                <w:szCs w:val="14"/>
                <w:color w:val="001641"/>
              </w:rPr>
              <w:t>   the Talent Committee; and</w:t>
            </w:r>
          </w:p>
        </w:tc>
        <w:tc>
          <w:tcPr>
            <w:tcW w:w="900" w:type="dxa"/>
            <w:vAlign w:val="bottom"/>
          </w:tcPr>
          <w:p>
            <w:pPr>
              <w:ind w:left="820"/>
              <w:spacing w:after="0"/>
              <w:rPr>
                <w:sz w:val="20"/>
                <w:szCs w:val="20"/>
                <w:color w:val="auto"/>
              </w:rPr>
            </w:pPr>
            <w:r>
              <w:rPr>
                <w:rFonts w:ascii="Arial" w:cs="Arial" w:eastAsia="Arial" w:hAnsi="Arial"/>
                <w:sz w:val="8"/>
                <w:szCs w:val="8"/>
                <w:color w:val="001641"/>
                <w:w w:val="74"/>
              </w:rPr>
              <w:t> </w:t>
            </w:r>
          </w:p>
        </w:tc>
        <w:tc>
          <w:tcPr>
            <w:tcW w:w="140" w:type="dxa"/>
            <w:vAlign w:val="bottom"/>
          </w:tcPr>
          <w:p>
            <w:pPr>
              <w:ind w:left="60"/>
              <w:spacing w:after="0"/>
              <w:rPr>
                <w:sz w:val="20"/>
                <w:szCs w:val="20"/>
                <w:color w:val="auto"/>
              </w:rPr>
            </w:pPr>
            <w:r>
              <w:rPr>
                <w:rFonts w:ascii="Arial" w:cs="Arial" w:eastAsia="Arial" w:hAnsi="Arial"/>
                <w:sz w:val="8"/>
                <w:szCs w:val="8"/>
                <w:color w:val="001641"/>
                <w:w w:val="74"/>
              </w:rPr>
              <w:t> </w:t>
            </w:r>
          </w:p>
        </w:tc>
        <w:tc>
          <w:tcPr>
            <w:tcW w:w="200" w:type="dxa"/>
            <w:vAlign w:val="bottom"/>
          </w:tcPr>
          <w:p>
            <w:pPr>
              <w:ind w:left="60"/>
              <w:spacing w:after="0"/>
              <w:rPr>
                <w:sz w:val="20"/>
                <w:szCs w:val="20"/>
                <w:color w:val="auto"/>
              </w:rPr>
            </w:pPr>
            <w:r>
              <w:rPr>
                <w:rFonts w:ascii="Arial" w:cs="Arial" w:eastAsia="Arial" w:hAnsi="Arial"/>
                <w:sz w:val="12"/>
                <w:szCs w:val="12"/>
                <w:color w:val="001641"/>
                <w:w w:val="73"/>
              </w:rPr>
              <w:t>• </w:t>
            </w:r>
          </w:p>
        </w:tc>
        <w:tc>
          <w:tcPr>
            <w:tcW w:w="160" w:type="dxa"/>
            <w:vAlign w:val="bottom"/>
          </w:tcPr>
          <w:p>
            <w:pPr>
              <w:ind w:left="60"/>
              <w:spacing w:after="0"/>
              <w:rPr>
                <w:sz w:val="20"/>
                <w:szCs w:val="20"/>
                <w:color w:val="auto"/>
              </w:rPr>
            </w:pPr>
            <w:r>
              <w:rPr>
                <w:rFonts w:ascii="Arial" w:cs="Arial" w:eastAsia="Arial" w:hAnsi="Arial"/>
                <w:sz w:val="11"/>
                <w:szCs w:val="11"/>
                <w:color w:val="001641"/>
                <w:w w:val="72"/>
              </w:rPr>
              <w:t> </w:t>
            </w:r>
          </w:p>
        </w:tc>
        <w:tc>
          <w:tcPr>
            <w:tcW w:w="4440" w:type="dxa"/>
            <w:vAlign w:val="bottom"/>
          </w:tcPr>
          <w:p>
            <w:pPr>
              <w:ind w:left="40"/>
              <w:spacing w:after="0"/>
              <w:rPr>
                <w:sz w:val="20"/>
                <w:szCs w:val="20"/>
                <w:color w:val="auto"/>
              </w:rPr>
            </w:pPr>
            <w:r>
              <w:rPr>
                <w:rFonts w:ascii="Arial" w:cs="Arial" w:eastAsia="Arial" w:hAnsi="Arial"/>
                <w:sz w:val="14"/>
                <w:szCs w:val="14"/>
                <w:color w:val="001641"/>
              </w:rPr>
              <w:t>our Talent Committee met four times; and</w:t>
            </w:r>
          </w:p>
        </w:tc>
      </w:tr>
      <w:tr>
        <w:trPr>
          <w:trHeight w:val="190"/>
        </w:trPr>
        <w:tc>
          <w:tcPr>
            <w:tcW w:w="240" w:type="dxa"/>
            <w:vAlign w:val="bottom"/>
          </w:tcPr>
          <w:p>
            <w:pPr>
              <w:ind w:left="160"/>
              <w:spacing w:after="0"/>
              <w:rPr>
                <w:sz w:val="20"/>
                <w:szCs w:val="20"/>
                <w:color w:val="auto"/>
              </w:rPr>
            </w:pPr>
            <w:r>
              <w:rPr>
                <w:rFonts w:ascii="Arial" w:cs="Arial" w:eastAsia="Arial" w:hAnsi="Arial"/>
                <w:sz w:val="8"/>
                <w:szCs w:val="8"/>
                <w:color w:val="001641"/>
                <w:w w:val="74"/>
              </w:rPr>
              <w:t> </w:t>
            </w:r>
          </w:p>
        </w:tc>
        <w:tc>
          <w:tcPr>
            <w:tcW w:w="160" w:type="dxa"/>
            <w:vAlign w:val="bottom"/>
          </w:tcPr>
          <w:p>
            <w:pPr>
              <w:ind w:left="60"/>
              <w:spacing w:after="0"/>
              <w:rPr>
                <w:sz w:val="20"/>
                <w:szCs w:val="20"/>
                <w:color w:val="auto"/>
              </w:rPr>
            </w:pPr>
            <w:r>
              <w:rPr>
                <w:rFonts w:ascii="Arial" w:cs="Arial" w:eastAsia="Arial" w:hAnsi="Arial"/>
                <w:sz w:val="11"/>
                <w:szCs w:val="11"/>
                <w:color w:val="001641"/>
                <w:w w:val="72"/>
              </w:rPr>
              <w:t> </w:t>
            </w:r>
          </w:p>
        </w:tc>
        <w:tc>
          <w:tcPr>
            <w:tcW w:w="180" w:type="dxa"/>
            <w:vAlign w:val="bottom"/>
          </w:tcPr>
          <w:p>
            <w:pPr>
              <w:ind w:left="40"/>
              <w:spacing w:after="0"/>
              <w:rPr>
                <w:sz w:val="20"/>
                <w:szCs w:val="20"/>
                <w:color w:val="auto"/>
              </w:rPr>
            </w:pPr>
            <w:r>
              <w:rPr>
                <w:rFonts w:ascii="Arial" w:cs="Arial" w:eastAsia="Arial" w:hAnsi="Arial"/>
                <w:sz w:val="12"/>
                <w:szCs w:val="12"/>
                <w:color w:val="001641"/>
                <w:w w:val="73"/>
              </w:rPr>
              <w:t>• </w:t>
            </w:r>
          </w:p>
        </w:tc>
        <w:tc>
          <w:tcPr>
            <w:tcW w:w="160" w:type="dxa"/>
            <w:vAlign w:val="bottom"/>
          </w:tcPr>
          <w:p>
            <w:pPr>
              <w:ind w:left="60"/>
              <w:spacing w:after="0"/>
              <w:rPr>
                <w:sz w:val="20"/>
                <w:szCs w:val="20"/>
                <w:color w:val="auto"/>
              </w:rPr>
            </w:pPr>
            <w:r>
              <w:rPr>
                <w:rFonts w:ascii="Arial" w:cs="Arial" w:eastAsia="Arial" w:hAnsi="Arial"/>
                <w:sz w:val="11"/>
                <w:szCs w:val="11"/>
                <w:color w:val="001641"/>
                <w:w w:val="72"/>
              </w:rPr>
              <w:t> </w:t>
            </w:r>
          </w:p>
        </w:tc>
        <w:tc>
          <w:tcPr>
            <w:tcW w:w="2600" w:type="dxa"/>
            <w:vAlign w:val="bottom"/>
          </w:tcPr>
          <w:p>
            <w:pPr>
              <w:ind w:left="40"/>
              <w:spacing w:after="0"/>
              <w:rPr>
                <w:sz w:val="20"/>
                <w:szCs w:val="20"/>
                <w:color w:val="auto"/>
              </w:rPr>
            </w:pPr>
            <w:r>
              <w:rPr>
                <w:rFonts w:ascii="Arial" w:cs="Arial" w:eastAsia="Arial" w:hAnsi="Arial"/>
                <w:sz w:val="14"/>
                <w:szCs w:val="14"/>
                <w:color w:val="001641"/>
              </w:rPr>
              <w:t>the Finance Committee</w:t>
            </w:r>
          </w:p>
        </w:tc>
        <w:tc>
          <w:tcPr>
            <w:tcW w:w="900" w:type="dxa"/>
            <w:vAlign w:val="bottom"/>
          </w:tcPr>
          <w:p>
            <w:pPr>
              <w:ind w:left="820"/>
              <w:spacing w:after="0"/>
              <w:rPr>
                <w:sz w:val="20"/>
                <w:szCs w:val="20"/>
                <w:color w:val="auto"/>
              </w:rPr>
            </w:pPr>
            <w:r>
              <w:rPr>
                <w:rFonts w:ascii="Arial" w:cs="Arial" w:eastAsia="Arial" w:hAnsi="Arial"/>
                <w:sz w:val="8"/>
                <w:szCs w:val="8"/>
                <w:color w:val="001641"/>
                <w:w w:val="74"/>
              </w:rPr>
              <w:t> </w:t>
            </w:r>
          </w:p>
        </w:tc>
        <w:tc>
          <w:tcPr>
            <w:tcW w:w="140" w:type="dxa"/>
            <w:vAlign w:val="bottom"/>
          </w:tcPr>
          <w:p>
            <w:pPr>
              <w:ind w:left="60"/>
              <w:spacing w:after="0"/>
              <w:rPr>
                <w:sz w:val="20"/>
                <w:szCs w:val="20"/>
                <w:color w:val="auto"/>
              </w:rPr>
            </w:pPr>
            <w:r>
              <w:rPr>
                <w:rFonts w:ascii="Arial" w:cs="Arial" w:eastAsia="Arial" w:hAnsi="Arial"/>
                <w:sz w:val="8"/>
                <w:szCs w:val="8"/>
                <w:color w:val="001641"/>
                <w:w w:val="74"/>
              </w:rPr>
              <w:t> </w:t>
            </w:r>
          </w:p>
        </w:tc>
        <w:tc>
          <w:tcPr>
            <w:tcW w:w="200" w:type="dxa"/>
            <w:vAlign w:val="bottom"/>
          </w:tcPr>
          <w:p>
            <w:pPr>
              <w:ind w:left="60"/>
              <w:spacing w:after="0"/>
              <w:rPr>
                <w:sz w:val="20"/>
                <w:szCs w:val="20"/>
                <w:color w:val="auto"/>
              </w:rPr>
            </w:pPr>
            <w:r>
              <w:rPr>
                <w:rFonts w:ascii="Arial" w:cs="Arial" w:eastAsia="Arial" w:hAnsi="Arial"/>
                <w:sz w:val="12"/>
                <w:szCs w:val="12"/>
                <w:color w:val="001641"/>
                <w:w w:val="73"/>
              </w:rPr>
              <w:t>• </w:t>
            </w:r>
          </w:p>
        </w:tc>
        <w:tc>
          <w:tcPr>
            <w:tcW w:w="160" w:type="dxa"/>
            <w:vAlign w:val="bottom"/>
          </w:tcPr>
          <w:p>
            <w:pPr>
              <w:ind w:left="60"/>
              <w:spacing w:after="0"/>
              <w:rPr>
                <w:sz w:val="20"/>
                <w:szCs w:val="20"/>
                <w:color w:val="auto"/>
              </w:rPr>
            </w:pPr>
            <w:r>
              <w:rPr>
                <w:rFonts w:ascii="Arial" w:cs="Arial" w:eastAsia="Arial" w:hAnsi="Arial"/>
                <w:sz w:val="11"/>
                <w:szCs w:val="11"/>
                <w:color w:val="001641"/>
                <w:w w:val="72"/>
              </w:rPr>
              <w:t> </w:t>
            </w:r>
          </w:p>
        </w:tc>
        <w:tc>
          <w:tcPr>
            <w:tcW w:w="4440" w:type="dxa"/>
            <w:vAlign w:val="bottom"/>
          </w:tcPr>
          <w:p>
            <w:pPr>
              <w:ind w:left="40"/>
              <w:spacing w:after="0"/>
              <w:rPr>
                <w:sz w:val="20"/>
                <w:szCs w:val="20"/>
                <w:color w:val="auto"/>
              </w:rPr>
            </w:pPr>
            <w:r>
              <w:rPr>
                <w:rFonts w:ascii="Arial" w:cs="Arial" w:eastAsia="Arial" w:hAnsi="Arial"/>
                <w:sz w:val="14"/>
                <w:szCs w:val="14"/>
                <w:color w:val="001641"/>
              </w:rPr>
              <w:t>our Finance Committee met six times.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58293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3" w:lineRule="exact"/>
        <w:rPr>
          <w:sz w:val="20"/>
          <w:szCs w:val="20"/>
          <w:color w:val="auto"/>
        </w:rPr>
      </w:pPr>
    </w:p>
    <w:p>
      <w:pPr>
        <w:ind w:left="4160" w:right="280"/>
        <w:spacing w:after="0" w:line="256" w:lineRule="auto"/>
        <w:rPr>
          <w:sz w:val="20"/>
          <w:szCs w:val="20"/>
          <w:color w:val="auto"/>
        </w:rPr>
      </w:pPr>
      <w:r>
        <w:rPr>
          <w:rFonts w:ascii="Arial" w:cs="Arial" w:eastAsia="Arial" w:hAnsi="Arial"/>
          <w:sz w:val="14"/>
          <w:szCs w:val="14"/>
          <w:color w:val="001641"/>
        </w:rPr>
        <w:t>Each member of our Board attended at least 75% of the required meetings held by the Board and the Committees of the Board on which he or she served. The Board and its Committees also act from time to time by unanimous written consent in lieu of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58293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 w:lineRule="exact"/>
        <w:rPr>
          <w:sz w:val="20"/>
          <w:szCs w:val="20"/>
          <w:color w:val="auto"/>
        </w:rPr>
      </w:pPr>
    </w:p>
    <w:p>
      <w:pPr>
        <w:ind w:left="160" w:right="140"/>
        <w:spacing w:after="0" w:line="246" w:lineRule="auto"/>
        <w:rPr>
          <w:sz w:val="20"/>
          <w:szCs w:val="20"/>
          <w:color w:val="auto"/>
        </w:rPr>
      </w:pPr>
      <w:r>
        <w:rPr>
          <w:rFonts w:ascii="Arial" w:cs="Arial" w:eastAsia="Arial" w:hAnsi="Arial"/>
          <w:sz w:val="14"/>
          <w:szCs w:val="14"/>
          <w:b w:val="1"/>
          <w:bCs w:val="1"/>
          <w:color w:val="001641"/>
        </w:rPr>
        <w:t xml:space="preserve">Strategic Special Meetings &amp; Ecosystem Immersion Tours: </w:t>
      </w:r>
      <w:r>
        <w:rPr>
          <w:rFonts w:ascii="Arial" w:cs="Arial" w:eastAsia="Arial" w:hAnsi="Arial"/>
          <w:sz w:val="14"/>
          <w:szCs w:val="14"/>
          <w:color w:val="001641"/>
        </w:rPr>
        <w:t>To ensure that the strength of our global business endures over the long-term, the Board and Committees convene Strategic special meetings throughout the fiscal year to provide management with oversight, input, and guidance regarding various matters. These meetings include discussions on emerging risks, our fiscal year and long range plans, progress of corporate strategy including our Strategic Plan, and renewed ecosystem immersion tours for on-location immersion review of our regional key city ecosystems to engage directly with our strategy, consumer experience and local teams, most recently in North America and Europe. We began a multi-year global project in Fiscal 2024 that is expected to significantly transform the way in which we operate our business and further enable our long-term strategic pivot towards a global direct-to-consumer-oriented model that involves the redesigning of certain end-to-end processes and the implementation of a suite of technology systems on a global scale (the “Next Generation Transformation project” or “NGT project”). The Audit Committee and Finance Committee held various strategic special meetings jointly to oversee strategy and implementation of the NGT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58293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149860</wp:posOffset>
            </wp:positionV>
            <wp:extent cx="58293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287020</wp:posOffset>
            </wp:positionV>
            <wp:extent cx="128905" cy="1117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4" w:name="page45"/>
    <w:bookmarkEnd w:id="44"/>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INDEPENDENT COMMITTEES OF THE BOARD OF DIRECTORS</w:t>
      </w:r>
    </w:p>
    <w:p>
      <w:pPr>
        <w:spacing w:after="0" w:line="153" w:lineRule="exact"/>
        <w:rPr>
          <w:sz w:val="20"/>
          <w:szCs w:val="20"/>
          <w:color w:val="auto"/>
        </w:rPr>
      </w:pPr>
    </w:p>
    <w:p>
      <w:pPr>
        <w:ind w:left="6" w:right="580"/>
        <w:spacing w:after="0" w:line="286" w:lineRule="auto"/>
        <w:rPr>
          <w:sz w:val="20"/>
          <w:szCs w:val="20"/>
          <w:color w:val="auto"/>
        </w:rPr>
      </w:pPr>
      <w:r>
        <w:rPr>
          <w:rFonts w:ascii="Arial" w:cs="Arial" w:eastAsia="Arial" w:hAnsi="Arial"/>
          <w:sz w:val="16"/>
          <w:szCs w:val="16"/>
          <w:color w:val="auto"/>
        </w:rPr>
        <w:t>We require all four of our Board Committees to consist solely of independent directors. The below table shows prior year committee composition that will be rotated and updated effective after the 2026 Annual Meeting.</w:t>
      </w:r>
    </w:p>
    <w:p>
      <w:pPr>
        <w:spacing w:after="0" w:line="21"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4080" w:type="dxa"/>
            <w:vAlign w:val="bottom"/>
            <w:shd w:val="clear" w:color="auto" w:fill="001641"/>
          </w:tcPr>
          <w:p>
            <w:pPr>
              <w:jc w:val="center"/>
              <w:ind w:left="2248"/>
              <w:spacing w:after="0"/>
              <w:rPr>
                <w:sz w:val="20"/>
                <w:szCs w:val="20"/>
                <w:color w:val="auto"/>
              </w:rPr>
            </w:pPr>
            <w:r>
              <w:rPr>
                <w:rFonts w:ascii="Arial" w:cs="Arial" w:eastAsia="Arial" w:hAnsi="Arial"/>
                <w:sz w:val="14"/>
                <w:szCs w:val="14"/>
                <w:b w:val="1"/>
                <w:bCs w:val="1"/>
                <w:color w:val="FFFFFF"/>
              </w:rPr>
              <w:t>AUDIT</w:t>
            </w:r>
          </w:p>
        </w:tc>
        <w:tc>
          <w:tcPr>
            <w:tcW w:w="166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TALENT</w:t>
            </w:r>
          </w:p>
        </w:tc>
        <w:tc>
          <w:tcPr>
            <w:tcW w:w="1740" w:type="dxa"/>
            <w:vAlign w:val="bottom"/>
            <w:shd w:val="clear" w:color="auto" w:fill="001641"/>
          </w:tcPr>
          <w:p>
            <w:pPr>
              <w:jc w:val="right"/>
              <w:ind w:right="348"/>
              <w:spacing w:after="0"/>
              <w:rPr>
                <w:sz w:val="20"/>
                <w:szCs w:val="20"/>
                <w:color w:val="auto"/>
              </w:rPr>
            </w:pPr>
            <w:r>
              <w:rPr>
                <w:rFonts w:ascii="Arial" w:cs="Arial" w:eastAsia="Arial" w:hAnsi="Arial"/>
                <w:sz w:val="14"/>
                <w:szCs w:val="14"/>
                <w:b w:val="1"/>
                <w:bCs w:val="1"/>
                <w:color w:val="FFFFFF"/>
              </w:rPr>
              <w:t>NOMINATING</w:t>
            </w:r>
          </w:p>
        </w:tc>
        <w:tc>
          <w:tcPr>
            <w:tcW w:w="170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FINANCE</w:t>
            </w:r>
          </w:p>
        </w:tc>
      </w:tr>
      <w:tr>
        <w:trPr>
          <w:trHeight w:val="196"/>
        </w:trPr>
        <w:tc>
          <w:tcPr>
            <w:tcW w:w="4080" w:type="dxa"/>
            <w:vAlign w:val="bottom"/>
            <w:shd w:val="clear" w:color="auto" w:fill="001641"/>
          </w:tcPr>
          <w:p>
            <w:pPr>
              <w:jc w:val="center"/>
              <w:ind w:left="2288"/>
              <w:spacing w:after="0"/>
              <w:rPr>
                <w:sz w:val="20"/>
                <w:szCs w:val="20"/>
                <w:color w:val="auto"/>
              </w:rPr>
            </w:pPr>
            <w:r>
              <w:rPr>
                <w:rFonts w:ascii="Arial" w:cs="Arial" w:eastAsia="Arial" w:hAnsi="Arial"/>
                <w:sz w:val="14"/>
                <w:szCs w:val="14"/>
                <w:b w:val="1"/>
                <w:bCs w:val="1"/>
                <w:color w:val="FFFFFF"/>
              </w:rPr>
              <w:t>COMMITTEE</w:t>
            </w:r>
          </w:p>
        </w:tc>
        <w:tc>
          <w:tcPr>
            <w:tcW w:w="166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COMMITTEE</w:t>
            </w:r>
          </w:p>
        </w:tc>
        <w:tc>
          <w:tcPr>
            <w:tcW w:w="1740" w:type="dxa"/>
            <w:vAlign w:val="bottom"/>
            <w:shd w:val="clear" w:color="auto" w:fill="001641"/>
          </w:tcPr>
          <w:p>
            <w:pPr>
              <w:jc w:val="right"/>
              <w:ind w:right="348"/>
              <w:spacing w:after="0"/>
              <w:rPr>
                <w:sz w:val="20"/>
                <w:szCs w:val="20"/>
                <w:color w:val="auto"/>
              </w:rPr>
            </w:pPr>
            <w:r>
              <w:rPr>
                <w:rFonts w:ascii="Arial" w:cs="Arial" w:eastAsia="Arial" w:hAnsi="Arial"/>
                <w:sz w:val="14"/>
                <w:szCs w:val="14"/>
                <w:b w:val="1"/>
                <w:bCs w:val="1"/>
                <w:color w:val="FFFFFF"/>
              </w:rPr>
              <w:t>COMMITTEE</w:t>
            </w:r>
          </w:p>
        </w:tc>
        <w:tc>
          <w:tcPr>
            <w:tcW w:w="170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COMMITTEE</w:t>
            </w:r>
          </w:p>
        </w:tc>
      </w:tr>
      <w:tr>
        <w:trPr>
          <w:trHeight w:val="56"/>
        </w:trPr>
        <w:tc>
          <w:tcPr>
            <w:tcW w:w="4080" w:type="dxa"/>
            <w:vAlign w:val="bottom"/>
            <w:shd w:val="clear" w:color="auto" w:fill="001641"/>
          </w:tcPr>
          <w:p>
            <w:pPr>
              <w:spacing w:after="0"/>
              <w:rPr>
                <w:sz w:val="4"/>
                <w:szCs w:val="4"/>
                <w:color w:val="auto"/>
              </w:rPr>
            </w:pPr>
          </w:p>
        </w:tc>
        <w:tc>
          <w:tcPr>
            <w:tcW w:w="1660" w:type="dxa"/>
            <w:vAlign w:val="bottom"/>
            <w:shd w:val="clear" w:color="auto" w:fill="001641"/>
          </w:tcPr>
          <w:p>
            <w:pPr>
              <w:spacing w:after="0"/>
              <w:rPr>
                <w:sz w:val="4"/>
                <w:szCs w:val="4"/>
                <w:color w:val="auto"/>
              </w:rPr>
            </w:pPr>
          </w:p>
        </w:tc>
        <w:tc>
          <w:tcPr>
            <w:tcW w:w="1740" w:type="dxa"/>
            <w:vAlign w:val="bottom"/>
            <w:shd w:val="clear" w:color="auto" w:fill="001641"/>
          </w:tcPr>
          <w:p>
            <w:pPr>
              <w:spacing w:after="0"/>
              <w:rPr>
                <w:sz w:val="4"/>
                <w:szCs w:val="4"/>
                <w:color w:val="auto"/>
              </w:rPr>
            </w:pPr>
          </w:p>
        </w:tc>
        <w:tc>
          <w:tcPr>
            <w:tcW w:w="1700" w:type="dxa"/>
            <w:vAlign w:val="bottom"/>
            <w:shd w:val="clear" w:color="auto" w:fill="001641"/>
          </w:tcPr>
          <w:p>
            <w:pPr>
              <w:spacing w:after="0"/>
              <w:rPr>
                <w:sz w:val="4"/>
                <w:szCs w:val="4"/>
                <w:color w:val="auto"/>
              </w:rPr>
            </w:pPr>
          </w:p>
        </w:tc>
      </w:tr>
    </w:tbl>
    <w:p>
      <w:pPr>
        <w:spacing w:after="0" w:line="55" w:lineRule="exact"/>
        <w:rPr>
          <w:sz w:val="20"/>
          <w:szCs w:val="20"/>
          <w:color w:val="auto"/>
        </w:rPr>
      </w:pPr>
    </w:p>
    <w:p>
      <w:pPr>
        <w:ind w:left="166"/>
        <w:spacing w:after="0"/>
        <w:rPr>
          <w:sz w:val="20"/>
          <w:szCs w:val="20"/>
          <w:color w:val="auto"/>
        </w:rPr>
      </w:pPr>
      <w:r>
        <w:rPr>
          <w:rFonts w:ascii="Arial" w:cs="Arial" w:eastAsia="Arial" w:hAnsi="Arial"/>
          <w:sz w:val="14"/>
          <w:szCs w:val="14"/>
          <w:b w:val="1"/>
          <w:bCs w:val="1"/>
          <w:color w:val="001641"/>
        </w:rPr>
        <w:t>Angela Ahrendts</w:t>
      </w:r>
      <w:r>
        <w:rPr>
          <w:rFonts w:ascii="Arial" w:cs="Arial" w:eastAsia="Arial" w:hAnsi="Arial"/>
          <w:sz w:val="23"/>
          <w:szCs w:val="23"/>
          <w:b w:val="1"/>
          <w:bCs w:val="1"/>
          <w:color w:val="001641"/>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58293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-159385</wp:posOffset>
            </wp:positionV>
            <wp:extent cx="93980"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5246370</wp:posOffset>
            </wp:positionH>
            <wp:positionV relativeFrom="paragraph">
              <wp:posOffset>-159385</wp:posOffset>
            </wp:positionV>
            <wp:extent cx="94615"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2005965</wp:posOffset>
            </wp:positionH>
            <wp:positionV relativeFrom="paragraph">
              <wp:posOffset>62865</wp:posOffset>
            </wp:positionV>
            <wp:extent cx="94615"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62865</wp:posOffset>
            </wp:positionV>
            <wp:extent cx="93980"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3980" cy="128905"/>
                    </a:xfrm>
                    <a:prstGeom prst="rect">
                      <a:avLst/>
                    </a:prstGeom>
                    <a:noFill/>
                  </pic:spPr>
                </pic:pic>
              </a:graphicData>
            </a:graphic>
          </wp:anchor>
        </w:drawing>
      </w:r>
    </w:p>
    <w:p>
      <w:pPr>
        <w:spacing w:after="0" w:line="83" w:lineRule="exact"/>
        <w:rPr>
          <w:sz w:val="20"/>
          <w:szCs w:val="20"/>
          <w:color w:val="auto"/>
        </w:rPr>
      </w:pPr>
    </w:p>
    <w:p>
      <w:pPr>
        <w:ind w:left="166"/>
        <w:spacing w:after="0"/>
        <w:rPr>
          <w:sz w:val="20"/>
          <w:szCs w:val="20"/>
          <w:color w:val="auto"/>
        </w:rPr>
      </w:pPr>
      <w:r>
        <w:rPr>
          <w:rFonts w:ascii="Arial" w:cs="Arial" w:eastAsia="Arial" w:hAnsi="Arial"/>
          <w:sz w:val="14"/>
          <w:szCs w:val="14"/>
          <w:b w:val="1"/>
          <w:bCs w:val="1"/>
          <w:color w:val="001641"/>
        </w:rPr>
        <w:t>Frank A. Bennack,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58293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53" w:lineRule="exact"/>
        <w:rPr>
          <w:sz w:val="20"/>
          <w:szCs w:val="20"/>
          <w:color w:val="auto"/>
        </w:rPr>
      </w:pPr>
    </w:p>
    <w:p>
      <w:pPr>
        <w:ind w:left="166"/>
        <w:spacing w:after="0"/>
        <w:rPr>
          <w:sz w:val="20"/>
          <w:szCs w:val="20"/>
          <w:color w:val="auto"/>
        </w:rPr>
      </w:pPr>
      <w:r>
        <w:rPr>
          <w:rFonts w:ascii="Arial" w:cs="Arial" w:eastAsia="Arial" w:hAnsi="Arial"/>
          <w:sz w:val="14"/>
          <w:szCs w:val="14"/>
          <w:b w:val="1"/>
          <w:bCs w:val="1"/>
          <w:color w:val="001641"/>
        </w:rPr>
        <w:t>Cesar Conde</w:t>
      </w:r>
      <w:r>
        <w:rPr>
          <w:rFonts w:ascii="Arial" w:cs="Arial" w:eastAsia="Arial" w:hAnsi="Arial"/>
          <w:sz w:val="23"/>
          <w:szCs w:val="23"/>
          <w:b w:val="1"/>
          <w:bCs w:val="1"/>
          <w:color w:val="001641"/>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58293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2005965</wp:posOffset>
            </wp:positionH>
            <wp:positionV relativeFrom="paragraph">
              <wp:posOffset>53975</wp:posOffset>
            </wp:positionV>
            <wp:extent cx="94615"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5246370</wp:posOffset>
            </wp:positionH>
            <wp:positionV relativeFrom="paragraph">
              <wp:posOffset>53975</wp:posOffset>
            </wp:positionV>
            <wp:extent cx="94615"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4615" cy="128905"/>
                    </a:xfrm>
                    <a:prstGeom prst="rect">
                      <a:avLst/>
                    </a:prstGeom>
                    <a:noFill/>
                  </pic:spPr>
                </pic:pic>
              </a:graphicData>
            </a:graphic>
          </wp:anchor>
        </w:drawing>
      </w:r>
    </w:p>
    <w:p>
      <w:pPr>
        <w:spacing w:after="0" w:line="70" w:lineRule="exact"/>
        <w:rPr>
          <w:sz w:val="20"/>
          <w:szCs w:val="20"/>
          <w:color w:val="auto"/>
        </w:rPr>
      </w:pPr>
    </w:p>
    <w:p>
      <w:pPr>
        <w:ind w:left="166"/>
        <w:spacing w:after="0"/>
        <w:rPr>
          <w:sz w:val="20"/>
          <w:szCs w:val="20"/>
          <w:color w:val="auto"/>
        </w:rPr>
      </w:pPr>
      <w:r>
        <w:rPr>
          <w:rFonts w:ascii="Arial" w:cs="Arial" w:eastAsia="Arial" w:hAnsi="Arial"/>
          <w:sz w:val="14"/>
          <w:szCs w:val="14"/>
          <w:b w:val="1"/>
          <w:bCs w:val="1"/>
          <w:color w:val="001641"/>
        </w:rPr>
        <w:t>Debra Cupp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58293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118110</wp:posOffset>
            </wp:positionV>
            <wp:extent cx="93980" cy="128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5246370</wp:posOffset>
            </wp:positionH>
            <wp:positionV relativeFrom="paragraph">
              <wp:posOffset>118110</wp:posOffset>
            </wp:positionV>
            <wp:extent cx="94615" cy="128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4615" cy="128905"/>
                    </a:xfrm>
                    <a:prstGeom prst="rect">
                      <a:avLst/>
                    </a:prstGeom>
                    <a:noFill/>
                  </pic:spPr>
                </pic:pic>
              </a:graphicData>
            </a:graphic>
          </wp:anchor>
        </w:drawing>
      </w:r>
    </w:p>
    <w:p>
      <w:pPr>
        <w:spacing w:after="0" w:line="170" w:lineRule="exact"/>
        <w:rPr>
          <w:sz w:val="20"/>
          <w:szCs w:val="20"/>
          <w:color w:val="auto"/>
        </w:rPr>
      </w:pPr>
    </w:p>
    <w:p>
      <w:pPr>
        <w:ind w:left="166"/>
        <w:spacing w:after="0"/>
        <w:rPr>
          <w:sz w:val="20"/>
          <w:szCs w:val="20"/>
          <w:color w:val="auto"/>
        </w:rPr>
      </w:pPr>
      <w:r>
        <w:rPr>
          <w:rFonts w:ascii="Arial" w:cs="Arial" w:eastAsia="Arial" w:hAnsi="Arial"/>
          <w:sz w:val="14"/>
          <w:szCs w:val="14"/>
          <w:b w:val="1"/>
          <w:bCs w:val="1"/>
          <w:color w:val="001641"/>
        </w:rPr>
        <w:t>Linda Findley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58293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2005965</wp:posOffset>
            </wp:positionH>
            <wp:positionV relativeFrom="paragraph">
              <wp:posOffset>118110</wp:posOffset>
            </wp:positionV>
            <wp:extent cx="94615" cy="1289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118110</wp:posOffset>
            </wp:positionV>
            <wp:extent cx="93980" cy="1289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5246370</wp:posOffset>
            </wp:positionH>
            <wp:positionV relativeFrom="paragraph">
              <wp:posOffset>118110</wp:posOffset>
            </wp:positionV>
            <wp:extent cx="94615" cy="1289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4615" cy="128905"/>
                    </a:xfrm>
                    <a:prstGeom prst="rect">
                      <a:avLst/>
                    </a:prstGeom>
                    <a:noFill/>
                  </pic:spPr>
                </pic:pic>
              </a:graphicData>
            </a:graphic>
          </wp:anchor>
        </w:drawing>
      </w:r>
    </w:p>
    <w:p>
      <w:pPr>
        <w:spacing w:after="0" w:line="170" w:lineRule="exact"/>
        <w:rPr>
          <w:sz w:val="20"/>
          <w:szCs w:val="20"/>
          <w:color w:val="auto"/>
        </w:rPr>
      </w:pPr>
    </w:p>
    <w:p>
      <w:pPr>
        <w:ind w:left="166"/>
        <w:spacing w:after="0"/>
        <w:rPr>
          <w:sz w:val="20"/>
          <w:szCs w:val="20"/>
          <w:color w:val="auto"/>
        </w:rPr>
      </w:pPr>
      <w:r>
        <w:rPr>
          <w:rFonts w:ascii="Arial" w:cs="Arial" w:eastAsia="Arial" w:hAnsi="Arial"/>
          <w:sz w:val="14"/>
          <w:szCs w:val="14"/>
          <w:b w:val="1"/>
          <w:bCs w:val="1"/>
          <w:color w:val="001641"/>
        </w:rPr>
        <w:t>Michael A.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58293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2005965</wp:posOffset>
            </wp:positionH>
            <wp:positionV relativeFrom="paragraph">
              <wp:posOffset>118110</wp:posOffset>
            </wp:positionV>
            <wp:extent cx="94615" cy="128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118110</wp:posOffset>
            </wp:positionV>
            <wp:extent cx="93980" cy="128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3980" cy="128905"/>
                    </a:xfrm>
                    <a:prstGeom prst="rect">
                      <a:avLst/>
                    </a:prstGeom>
                    <a:noFill/>
                  </pic:spPr>
                </pic:pic>
              </a:graphicData>
            </a:graphic>
          </wp:anchor>
        </w:drawing>
      </w:r>
    </w:p>
    <w:p>
      <w:pPr>
        <w:spacing w:after="0" w:line="170" w:lineRule="exact"/>
        <w:rPr>
          <w:sz w:val="20"/>
          <w:szCs w:val="20"/>
          <w:color w:val="auto"/>
        </w:rPr>
      </w:pPr>
    </w:p>
    <w:p>
      <w:pPr>
        <w:ind w:left="166"/>
        <w:spacing w:after="0"/>
        <w:rPr>
          <w:sz w:val="20"/>
          <w:szCs w:val="20"/>
          <w:color w:val="auto"/>
        </w:rPr>
      </w:pPr>
      <w:r>
        <w:rPr>
          <w:rFonts w:ascii="Arial" w:cs="Arial" w:eastAsia="Arial" w:hAnsi="Arial"/>
          <w:sz w:val="14"/>
          <w:szCs w:val="14"/>
          <w:b w:val="1"/>
          <w:bCs w:val="1"/>
          <w:color w:val="001641"/>
        </w:rPr>
        <w:t>Valerie Jarrett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58293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118110</wp:posOffset>
            </wp:positionV>
            <wp:extent cx="93980"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118110</wp:posOffset>
            </wp:positionV>
            <wp:extent cx="93980"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3980" cy="128905"/>
                    </a:xfrm>
                    <a:prstGeom prst="rect">
                      <a:avLst/>
                    </a:prstGeom>
                    <a:noFill/>
                  </pic:spPr>
                </pic:pic>
              </a:graphicData>
            </a:graphic>
          </wp:anchor>
        </w:drawing>
      </w:r>
    </w:p>
    <w:p>
      <w:pPr>
        <w:spacing w:after="0" w:line="170" w:lineRule="exact"/>
        <w:rPr>
          <w:sz w:val="20"/>
          <w:szCs w:val="20"/>
          <w:color w:val="auto"/>
        </w:rPr>
      </w:pPr>
    </w:p>
    <w:p>
      <w:pPr>
        <w:ind w:left="166"/>
        <w:spacing w:after="0"/>
        <w:rPr>
          <w:sz w:val="20"/>
          <w:szCs w:val="20"/>
          <w:color w:val="auto"/>
        </w:rPr>
      </w:pPr>
      <w:r>
        <w:rPr>
          <w:rFonts w:ascii="Arial" w:cs="Arial" w:eastAsia="Arial" w:hAnsi="Arial"/>
          <w:sz w:val="14"/>
          <w:szCs w:val="14"/>
          <w:b w:val="1"/>
          <w:bCs w:val="1"/>
          <w:color w:val="001641"/>
        </w:rPr>
        <w:t>Darren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58293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118110</wp:posOffset>
            </wp:positionV>
            <wp:extent cx="93980"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5246370</wp:posOffset>
            </wp:positionH>
            <wp:positionV relativeFrom="paragraph">
              <wp:posOffset>118110</wp:posOffset>
            </wp:positionV>
            <wp:extent cx="94615" cy="128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4615" cy="128905"/>
                    </a:xfrm>
                    <a:prstGeom prst="rect">
                      <a:avLst/>
                    </a:prstGeom>
                    <a:noFill/>
                  </pic:spPr>
                </pic:pic>
              </a:graphicData>
            </a:graphic>
          </wp:anchor>
        </w:drawing>
      </w:r>
    </w:p>
    <w:p>
      <w:pPr>
        <w:spacing w:after="0" w:line="170" w:lineRule="exact"/>
        <w:rPr>
          <w:sz w:val="20"/>
          <w:szCs w:val="20"/>
          <w:color w:val="auto"/>
        </w:rPr>
      </w:pPr>
    </w:p>
    <w:p>
      <w:pPr>
        <w:ind w:left="166"/>
        <w:spacing w:after="0"/>
        <w:rPr>
          <w:sz w:val="20"/>
          <w:szCs w:val="20"/>
          <w:color w:val="auto"/>
        </w:rPr>
      </w:pPr>
      <w:r>
        <w:rPr>
          <w:rFonts w:ascii="Arial" w:cs="Arial" w:eastAsia="Arial" w:hAnsi="Arial"/>
          <w:sz w:val="14"/>
          <w:szCs w:val="14"/>
          <w:b w:val="1"/>
          <w:bCs w:val="1"/>
          <w:color w:val="001641"/>
        </w:rPr>
        <w:t>Wei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58293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4" w:lineRule="exact"/>
        <w:rPr>
          <w:sz w:val="20"/>
          <w:szCs w:val="20"/>
          <w:color w:val="auto"/>
        </w:rPr>
      </w:pPr>
    </w:p>
    <w:p>
      <w:pPr>
        <w:ind w:left="246" w:hanging="246"/>
        <w:spacing w:after="0"/>
        <w:tabs>
          <w:tab w:leader="none" w:pos="246" w:val="left"/>
        </w:tabs>
        <w:numPr>
          <w:ilvl w:val="0"/>
          <w:numId w:val="26"/>
        </w:numPr>
        <w:rPr>
          <w:rFonts w:ascii="Arial" w:cs="Arial" w:eastAsia="Arial" w:hAnsi="Arial"/>
          <w:sz w:val="14"/>
          <w:szCs w:val="14"/>
          <w:color w:val="4C4C4C"/>
        </w:rPr>
      </w:pPr>
      <w:r>
        <w:rPr>
          <w:rFonts w:ascii="Arial" w:cs="Arial" w:eastAsia="Arial" w:hAnsi="Arial"/>
          <w:sz w:val="14"/>
          <w:szCs w:val="14"/>
          <w:color w:val="4C4C4C"/>
        </w:rPr>
        <w:t>As Lead Independent Director, Ms. Ahrendts regularly attends all Committee meetings.</w:t>
      </w:r>
    </w:p>
    <w:p>
      <w:pPr>
        <w:spacing w:after="0" w:line="55" w:lineRule="exact"/>
        <w:rPr>
          <w:rFonts w:ascii="Arial" w:cs="Arial" w:eastAsia="Arial" w:hAnsi="Arial"/>
          <w:sz w:val="14"/>
          <w:szCs w:val="14"/>
          <w:color w:val="4C4C4C"/>
        </w:rPr>
      </w:pPr>
    </w:p>
    <w:p>
      <w:pPr>
        <w:ind w:left="246" w:right="320" w:hanging="246"/>
        <w:spacing w:after="0" w:line="285" w:lineRule="auto"/>
        <w:tabs>
          <w:tab w:leader="none" w:pos="246" w:val="left"/>
        </w:tabs>
        <w:numPr>
          <w:ilvl w:val="0"/>
          <w:numId w:val="26"/>
        </w:numPr>
        <w:rPr>
          <w:rFonts w:ascii="Arial" w:cs="Arial" w:eastAsia="Arial" w:hAnsi="Arial"/>
          <w:sz w:val="14"/>
          <w:szCs w:val="14"/>
          <w:color w:val="4C4C4C"/>
        </w:rPr>
      </w:pPr>
      <w:r>
        <w:rPr>
          <w:rFonts w:ascii="Arial" w:cs="Arial" w:eastAsia="Arial" w:hAnsi="Arial"/>
          <w:sz w:val="14"/>
          <w:szCs w:val="14"/>
          <w:color w:val="4C4C4C"/>
        </w:rPr>
        <w:t>Mr. Conde was appointed to the Board in January 2026. As a new Board member, Mr. Conde will be assigned a committee appointment after one year of service on the Board.</w:t>
      </w:r>
    </w:p>
    <w:p>
      <w:pPr>
        <w:spacing w:after="0" w:line="36" w:lineRule="exact"/>
        <w:rPr>
          <w:sz w:val="20"/>
          <w:szCs w:val="20"/>
          <w:color w:val="auto"/>
        </w:rPr>
      </w:pPr>
    </w:p>
    <w:p>
      <w:pPr>
        <w:ind w:left="146"/>
        <w:spacing w:after="0"/>
        <w:tabs>
          <w:tab w:leader="none" w:pos="1246" w:val="left"/>
        </w:tabs>
        <w:rPr>
          <w:sz w:val="20"/>
          <w:szCs w:val="20"/>
          <w:color w:val="auto"/>
        </w:rPr>
      </w:pPr>
      <w:r>
        <w:rPr>
          <w:rFonts w:ascii="Arial" w:cs="Arial" w:eastAsia="Arial" w:hAnsi="Arial"/>
          <w:sz w:val="14"/>
          <w:szCs w:val="14"/>
          <w:color w:val="4C4C4C"/>
        </w:rPr>
        <w:t> </w:t>
      </w:r>
      <w:r>
        <w:rPr>
          <w:sz w:val="20"/>
          <w:szCs w:val="20"/>
          <w:color w:val="auto"/>
        </w:rPr>
        <w:tab/>
      </w:r>
      <w:r>
        <w:rPr>
          <w:rFonts w:ascii="Arial" w:cs="Arial" w:eastAsia="Arial" w:hAnsi="Arial"/>
          <w:sz w:val="14"/>
          <w:szCs w:val="14"/>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94615" cy="128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-44450</wp:posOffset>
            </wp:positionV>
            <wp:extent cx="94615" cy="1289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94615" cy="128905"/>
                    </a:xfrm>
                    <a:prstGeom prst="rect">
                      <a:avLst/>
                    </a:prstGeom>
                    <a:noFill/>
                  </pic:spPr>
                </pic:pic>
              </a:graphicData>
            </a:graphic>
          </wp:anchor>
        </w:drawing>
      </w:r>
    </w:p>
    <w:p>
      <w:pPr>
        <w:ind w:left="286"/>
        <w:spacing w:after="0"/>
        <w:tabs>
          <w:tab w:leader="none" w:pos="1386" w:val="left"/>
        </w:tabs>
        <w:rPr>
          <w:sz w:val="20"/>
          <w:szCs w:val="20"/>
          <w:color w:val="auto"/>
        </w:rPr>
      </w:pPr>
      <w:r>
        <w:rPr>
          <w:rFonts w:ascii="Arial" w:cs="Arial" w:eastAsia="Arial" w:hAnsi="Arial"/>
          <w:sz w:val="14"/>
          <w:szCs w:val="14"/>
          <w:color w:val="4C4C4C"/>
        </w:rPr>
        <w:t xml:space="preserve">  Chair       </w:t>
      </w:r>
      <w:r>
        <w:rPr>
          <w:sz w:val="20"/>
          <w:szCs w:val="20"/>
          <w:color w:val="auto"/>
        </w:rPr>
        <w:tab/>
      </w:r>
      <w:r>
        <w:rPr>
          <w:rFonts w:ascii="Arial" w:cs="Arial" w:eastAsia="Arial" w:hAnsi="Arial"/>
          <w:sz w:val="14"/>
          <w:szCs w:val="14"/>
          <w:color w:val="4C4C4C"/>
        </w:rPr>
        <w:t xml:space="preserve">  Member 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8293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p>
      <w:pPr>
        <w:spacing w:after="0" w:line="265" w:lineRule="exact"/>
        <w:rPr>
          <w:sz w:val="20"/>
          <w:szCs w:val="20"/>
          <w:color w:val="auto"/>
        </w:rPr>
      </w:pPr>
    </w:p>
    <w:p>
      <w:pPr>
        <w:ind w:left="166" w:right="220"/>
        <w:spacing w:after="0" w:line="312" w:lineRule="auto"/>
        <w:rPr>
          <w:sz w:val="20"/>
          <w:szCs w:val="20"/>
          <w:color w:val="auto"/>
        </w:rPr>
      </w:pPr>
      <w:r>
        <w:rPr>
          <w:rFonts w:ascii="Times New Roman" w:cs="Times New Roman" w:eastAsia="Times New Roman" w:hAnsi="Times New Roman"/>
          <w:sz w:val="37"/>
          <w:szCs w:val="37"/>
          <w:color w:val="001641"/>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1270</wp:posOffset>
            </wp:positionV>
            <wp:extent cx="17145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53" w:lineRule="exact"/>
        <w:rPr>
          <w:sz w:val="20"/>
          <w:szCs w:val="20"/>
          <w:color w:val="auto"/>
        </w:rPr>
      </w:pPr>
    </w:p>
    <w:p>
      <w:pPr>
        <w:ind w:left="166"/>
        <w:spacing w:after="0"/>
        <w:rPr>
          <w:sz w:val="20"/>
          <w:szCs w:val="20"/>
          <w:color w:val="auto"/>
        </w:rPr>
      </w:pPr>
      <w:r>
        <w:rPr>
          <w:rFonts w:ascii="Arial" w:cs="Arial" w:eastAsia="Arial" w:hAnsi="Arial"/>
          <w:sz w:val="14"/>
          <w:szCs w:val="14"/>
          <w:b w:val="1"/>
          <w:bCs w:val="1"/>
          <w:color w:val="001641"/>
        </w:rPr>
        <w:t>MEMBERS</w:t>
      </w:r>
    </w:p>
    <w:p>
      <w:pPr>
        <w:spacing w:after="0" w:line="15" w:lineRule="exact"/>
        <w:rPr>
          <w:sz w:val="20"/>
          <w:szCs w:val="20"/>
          <w:color w:val="auto"/>
        </w:rPr>
      </w:pPr>
    </w:p>
    <w:p>
      <w:pPr>
        <w:ind w:left="166"/>
        <w:spacing w:after="0" w:line="249" w:lineRule="auto"/>
        <w:rPr>
          <w:sz w:val="20"/>
          <w:szCs w:val="20"/>
          <w:color w:val="auto"/>
        </w:rPr>
      </w:pPr>
      <w:r>
        <w:rPr>
          <w:rFonts w:ascii="Arial" w:cs="Arial" w:eastAsia="Arial" w:hAnsi="Arial"/>
          <w:sz w:val="14"/>
          <w:szCs w:val="14"/>
          <w:color w:val="auto"/>
        </w:rPr>
        <w:t>Mr. Michael A. George (Chair) Mr. Frank A. Bennack, Jr. Ms. Debra Cupp Ms. Valerie Jarrett</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ROLE OF THE AUDIT COMMITTEE</w:t>
      </w:r>
    </w:p>
    <w:p>
      <w:pPr>
        <w:spacing w:after="0" w:line="73" w:lineRule="exact"/>
        <w:rPr>
          <w:sz w:val="20"/>
          <w:szCs w:val="20"/>
          <w:color w:val="auto"/>
        </w:rPr>
      </w:pPr>
    </w:p>
    <w:p>
      <w:pPr>
        <w:ind w:right="200"/>
        <w:spacing w:after="0" w:line="246" w:lineRule="auto"/>
        <w:rPr>
          <w:sz w:val="20"/>
          <w:szCs w:val="20"/>
          <w:color w:val="auto"/>
        </w:rPr>
      </w:pPr>
      <w:r>
        <w:rPr>
          <w:rFonts w:ascii="Arial" w:cs="Arial" w:eastAsia="Arial" w:hAnsi="Arial"/>
          <w:sz w:val="14"/>
          <w:szCs w:val="14"/>
          <w:color w:val="001641"/>
        </w:rPr>
        <w:t>The Audit Committee appoints our independent registered public accounting firm, and approves in advance all audit and permitted non-audit services performed by them and the scope and cost of their annual audits. The Audit Committee reviews, among other things: (i) the results of the independent registered public accounting firm’s annual audits and quarterly reviews; (ii) management’s compliance with our major accounting and financial reporting policies; (iii) the adequacy of our financial organization and management’s procedures and policies relating to our internal control over financial reporting; and (iv) our compliance with applicable laws relating to accounting practice. The Audit Committee has adopted a formal policy for the approval of the performance of all audit and non-audit services of the independent registered public accounting firm. This policy is described under “Proposal 2: Ratification of Appointment of Independent Registered Public Accounting Firm.”</w:t>
      </w:r>
    </w:p>
    <w:p>
      <w:pPr>
        <w:spacing w:after="0" w:line="78"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color w:val="001641"/>
        </w:rPr>
        <w:t>In addition, the Audit Committee oversees the Corporation’s internal audit function, including the selection, remuneration, and removal of the chief internal auditor, and monitors the adequacy and effectiveness of internal control over financial reporting. The Audit Committee has also established procedures for the confidential, anonymous submission by employees of concerns regarding accounting, internal accounting controls, or auditing matters. The Audit Committee has the sole authority to retain independent legal, accounting, and other consultants to advise the Committee, and from time to time may form and delegate its authority to subcommittees or individual members of the Committee as it deems appropriate.</w:t>
      </w:r>
    </w:p>
    <w:p>
      <w:pPr>
        <w:spacing w:after="0" w:line="78" w:lineRule="exact"/>
        <w:rPr>
          <w:sz w:val="20"/>
          <w:szCs w:val="20"/>
          <w:color w:val="auto"/>
        </w:rPr>
      </w:pPr>
    </w:p>
    <w:p>
      <w:pPr>
        <w:ind w:right="220"/>
        <w:spacing w:after="0" w:line="256" w:lineRule="auto"/>
        <w:rPr>
          <w:sz w:val="20"/>
          <w:szCs w:val="20"/>
          <w:color w:val="auto"/>
        </w:rPr>
      </w:pPr>
      <w:r>
        <w:rPr>
          <w:rFonts w:ascii="Arial" w:cs="Arial" w:eastAsia="Arial" w:hAnsi="Arial"/>
          <w:sz w:val="14"/>
          <w:szCs w:val="14"/>
          <w:color w:val="001641"/>
        </w:rPr>
        <w:t>The Audit Committee also maintains oversight of the Corporation’s major risk exposures, including financial, cybersecurity, and technology and artificial intelligence risks, as well as the code of ethics for principal executive officers and senior financial officers, corporate compliance policies, and material banking, credit, and financing relationships.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AUDIT COMMITTEE FINANCIAL EXPERTS</w:t>
      </w:r>
    </w:p>
    <w:p>
      <w:pPr>
        <w:spacing w:after="0" w:line="73" w:lineRule="exact"/>
        <w:rPr>
          <w:sz w:val="20"/>
          <w:szCs w:val="20"/>
          <w:color w:val="auto"/>
        </w:rPr>
      </w:pPr>
    </w:p>
    <w:p>
      <w:pPr>
        <w:ind w:right="440"/>
        <w:spacing w:after="0" w:line="263" w:lineRule="auto"/>
        <w:rPr>
          <w:sz w:val="20"/>
          <w:szCs w:val="20"/>
          <w:color w:val="auto"/>
        </w:rPr>
      </w:pPr>
      <w:r>
        <w:rPr>
          <w:rFonts w:ascii="Arial" w:cs="Arial" w:eastAsia="Arial" w:hAnsi="Arial"/>
          <w:sz w:val="14"/>
          <w:szCs w:val="14"/>
          <w:color w:val="001641"/>
        </w:rPr>
        <w:t>The Board has determined that each member of the Audit Committee is financially literate and that three of the four members of the Audit Committee qualify as audit committee financial experts, as defined by the SEC: its Chair, Mr. George; Mr. Bennack; and Ms. Jarrett.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149860</wp:posOffset>
            </wp:positionV>
            <wp:extent cx="58293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6" w:space="420"/>
            <w:col w:w="6700"/>
          </w:cols>
          <w:pgMar w:left="1354" w:top="114" w:right="1359" w:bottom="1440" w:gutter="0" w:footer="0" w:header="0"/>
          <w:type w:val="continuous"/>
        </w:sectPr>
      </w:pPr>
    </w:p>
    <w:p>
      <w:pPr>
        <w:spacing w:after="0" w:line="252"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34</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104775</wp:posOffset>
            </wp:positionV>
            <wp:extent cx="58293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9"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001641"/>
        </w:rPr>
        <w:t>CYBERSECURITY OVERSIGHT</w:t>
      </w:r>
    </w:p>
    <w:p>
      <w:pPr>
        <w:spacing w:after="0" w:line="73" w:lineRule="exact"/>
        <w:rPr>
          <w:sz w:val="20"/>
          <w:szCs w:val="20"/>
          <w:color w:val="auto"/>
        </w:rPr>
      </w:pPr>
    </w:p>
    <w:p>
      <w:pPr>
        <w:ind w:left="2480" w:right="120"/>
        <w:spacing w:after="0" w:line="245" w:lineRule="auto"/>
        <w:rPr>
          <w:sz w:val="20"/>
          <w:szCs w:val="20"/>
          <w:color w:val="auto"/>
        </w:rPr>
      </w:pPr>
      <w:r>
        <w:rPr>
          <w:rFonts w:ascii="Arial" w:cs="Arial" w:eastAsia="Arial" w:hAnsi="Arial"/>
          <w:sz w:val="14"/>
          <w:szCs w:val="14"/>
          <w:color w:val="001641"/>
        </w:rPr>
        <w:t>The Audit Committee reviews the Company’s cybersecurity program on a quarterly basis. As part of its cybersecurity program, the Company leverages cybersecurity specialists to complete annual external audits and objective assessments of our cybersecurity program and practices, including our data protection practices, as well as to conduct targeted attack simulations. The Audit Committee also periodically convenes special meetings to conduct deeper preparedness, enterprise risk and business continuity reviews. These special meetings are open to the full Board to attend. The Audit Committee anticipates it will continue to conduct these review sessions as appropriate. The Audit Committee also provides oversight regarding the Company’s artificial intelligence risks and related governance and risk mitigation strategies. In addition, the full Board periodically receives a regular cybersecurity update. Our Chief Information Officer and Chief Information Security Officer attend all of these meetings and provide updates during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293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66" w:lineRule="exact"/>
        <w:rPr>
          <w:sz w:val="20"/>
          <w:szCs w:val="20"/>
          <w:color w:val="auto"/>
        </w:rPr>
      </w:pPr>
    </w:p>
    <w:p>
      <w:pPr>
        <w:ind w:left="160"/>
        <w:spacing w:after="0" w:line="312" w:lineRule="auto"/>
        <w:rPr>
          <w:sz w:val="20"/>
          <w:szCs w:val="20"/>
          <w:color w:val="auto"/>
        </w:rPr>
      </w:pPr>
      <w:r>
        <w:rPr>
          <w:rFonts w:ascii="Times New Roman" w:cs="Times New Roman" w:eastAsia="Times New Roman" w:hAnsi="Times New Roman"/>
          <w:sz w:val="37"/>
          <w:szCs w:val="37"/>
          <w:color w:val="001641"/>
        </w:rPr>
        <w:t>Talent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1270</wp:posOffset>
            </wp:positionV>
            <wp:extent cx="17145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1641"/>
        </w:rPr>
        <w:t>MEMBERS</w:t>
      </w:r>
    </w:p>
    <w:p>
      <w:pPr>
        <w:spacing w:after="0" w:line="15" w:lineRule="exact"/>
        <w:rPr>
          <w:sz w:val="20"/>
          <w:szCs w:val="20"/>
          <w:color w:val="auto"/>
        </w:rPr>
      </w:pPr>
    </w:p>
    <w:p>
      <w:pPr>
        <w:ind w:left="160" w:right="80"/>
        <w:spacing w:after="0" w:line="249" w:lineRule="auto"/>
        <w:rPr>
          <w:sz w:val="20"/>
          <w:szCs w:val="20"/>
          <w:color w:val="auto"/>
        </w:rPr>
      </w:pPr>
      <w:r>
        <w:rPr>
          <w:rFonts w:ascii="Arial" w:cs="Arial" w:eastAsia="Arial" w:hAnsi="Arial"/>
          <w:sz w:val="14"/>
          <w:szCs w:val="14"/>
          <w:color w:val="auto"/>
        </w:rPr>
        <w:t>Ms. Linda Findley (Chair) Ms. Angela Ahrendts Mr. Michael A. George Mr. Darren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3027680</wp:posOffset>
            </wp:positionV>
            <wp:extent cx="128905" cy="1117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ROLE OF THE TALENT COMMITTEE</w:t>
      </w:r>
    </w:p>
    <w:p>
      <w:pPr>
        <w:spacing w:after="0" w:line="86"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001641"/>
        </w:rPr>
        <w:t>The Talent Committee reviews and approves the compensation of executive officers and certain key members of our senior management and compensation plans and arrangements with respect to such executive officers and members of senior management. It also reviews and approves our compensation programs, including corporate metrics and milestones. The Talent Committee also administers the compensation plans in which certain employees may participate, including our 2019 Long-Term Stock Incentive Plan (the “2019 Stock Incentive Plan”), our currently expired Amended and Restated 2010 Long-Term Stock Incentive Plan (the “2010 Stock Incentive Plan”), which replaced our 1997 Long-Term Stock Incentive Plan (the “1997 Stock Incentive Plan”), our current Executive Officer Annual Incentive Plan (“EOAIP”), and our Executive Incentive Plan.</w:t>
      </w:r>
    </w:p>
    <w:p>
      <w:pPr>
        <w:spacing w:after="0" w:line="81" w:lineRule="exact"/>
        <w:rPr>
          <w:sz w:val="20"/>
          <w:szCs w:val="20"/>
          <w:color w:val="auto"/>
        </w:rPr>
      </w:pPr>
    </w:p>
    <w:p>
      <w:pPr>
        <w:ind w:right="180"/>
        <w:spacing w:after="0" w:line="245" w:lineRule="auto"/>
        <w:rPr>
          <w:sz w:val="20"/>
          <w:szCs w:val="20"/>
          <w:color w:val="auto"/>
        </w:rPr>
      </w:pPr>
      <w:r>
        <w:rPr>
          <w:rFonts w:ascii="Arial" w:cs="Arial" w:eastAsia="Arial" w:hAnsi="Arial"/>
          <w:sz w:val="14"/>
          <w:szCs w:val="14"/>
          <w:color w:val="001641"/>
        </w:rPr>
        <w:t>In addition, the Talent Committee maintains oversight in the development of succession plans for the NEOs, except for the Chief Executive Officer and the Chairman where the Nominating Committee maintains oversight, and for certain other specified employees, regularly meeting in executive session to evaluate internal and external candidates, presenting them to the full Board, and performing succession modeling. It also consults with the Nominating Committee regarding its review of succession planning for the Chief Executive Officer. The Talent Committee also oversees and provides feedback and guidance on certain of our programs relating to our culture, talent development and retention, employee engagement and other human capital management strategies and initiatives. The Talent Committee consults, as needed, with third-party compensation consultants, independent legal counsel and other advisors to assist the Talent Committee with its duties related to compensation and human capital management and has sole authority to terminate and replace any such consultants or advisors. From time to time, the Talent Committee may form and delegate its authority to subcommittees when appropriate.</w:t>
      </w:r>
    </w:p>
    <w:p>
      <w:pPr>
        <w:spacing w:after="0" w:line="77"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001641"/>
        </w:rPr>
        <w:t>The Talent Committee oversees stock ownership guidelines applicable to senior management and non-employee directors, and reviews and recommends to the Nominating Committee any changes to the compensation of the non-employee directors.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TALENT COMMITTEE INTERLOCKS AND INSIDER PARTICIPATION</w:t>
      </w:r>
    </w:p>
    <w:p>
      <w:pPr>
        <w:spacing w:after="0" w:line="86"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001641"/>
        </w:rPr>
        <w:t>The Talent Committee is composed entirely of directors who are not our current or former employees, each of whom meets the applicable definition of “independent” under the listing standards of the NYSE and SEC rules and regulations. None of the members of the Talent Committee during Fiscal 2026 (i) had any relationships requiring disclosure by us under the SEC’s rules requiring disclosure of related party transactions or (ii) was an executive officer of a company of which any one of our executive officers is a director. None of our executive officers serves as a member of the board of directors or compensation committee of any entity that has one or more executive officers who serve on our Board or Talent Committee. There are no Talent Committee interlocks.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149860</wp:posOffset>
            </wp:positionV>
            <wp:extent cx="58293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640"/>
            <w:col w:w="6700"/>
          </w:cols>
          <w:pgMar w:left="1360" w:top="114" w:right="1359" w:bottom="1440" w:gutter="0" w:footer="0" w:header="0"/>
          <w:type w:val="continuous"/>
        </w:sectPr>
      </w:pPr>
    </w:p>
    <w:p>
      <w:pPr>
        <w:spacing w:after="0" w:line="256" w:lineRule="exact"/>
        <w:rPr>
          <w:sz w:val="20"/>
          <w:szCs w:val="20"/>
          <w:color w:val="auto"/>
        </w:rPr>
      </w:pPr>
    </w:p>
    <w:p>
      <w:pPr>
        <w:ind w:left="6540"/>
        <w:spacing w:after="0"/>
        <w:tabs>
          <w:tab w:leader="none" w:pos="900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126365</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104775</wp:posOffset>
            </wp:positionV>
            <wp:extent cx="58293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p>
      <w:pPr>
        <w:spacing w:after="0" w:line="327" w:lineRule="exact"/>
        <w:rPr>
          <w:sz w:val="20"/>
          <w:szCs w:val="20"/>
          <w:color w:val="auto"/>
        </w:rPr>
      </w:pPr>
    </w:p>
    <w:p>
      <w:pPr>
        <w:ind w:left="160"/>
        <w:spacing w:after="0" w:line="312" w:lineRule="auto"/>
        <w:rPr>
          <w:sz w:val="20"/>
          <w:szCs w:val="20"/>
          <w:color w:val="auto"/>
        </w:rPr>
      </w:pPr>
      <w:r>
        <w:rPr>
          <w:rFonts w:ascii="Times New Roman" w:cs="Times New Roman" w:eastAsia="Times New Roman" w:hAnsi="Times New Roman"/>
          <w:sz w:val="37"/>
          <w:szCs w:val="37"/>
          <w:color w:val="001641"/>
        </w:rPr>
        <w:t>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1270</wp:posOffset>
            </wp:positionV>
            <wp:extent cx="17145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1641"/>
        </w:rPr>
        <w:t>MEMBERS</w:t>
      </w:r>
    </w:p>
    <w:p>
      <w:pPr>
        <w:spacing w:after="0" w:line="15" w:lineRule="exact"/>
        <w:rPr>
          <w:sz w:val="20"/>
          <w:szCs w:val="20"/>
          <w:color w:val="auto"/>
        </w:rPr>
      </w:pPr>
    </w:p>
    <w:p>
      <w:pPr>
        <w:ind w:left="160" w:right="160"/>
        <w:spacing w:after="0" w:line="249" w:lineRule="auto"/>
        <w:rPr>
          <w:sz w:val="20"/>
          <w:szCs w:val="20"/>
          <w:color w:val="auto"/>
        </w:rPr>
      </w:pPr>
      <w:r>
        <w:rPr>
          <w:rFonts w:ascii="Arial" w:cs="Arial" w:eastAsia="Arial" w:hAnsi="Arial"/>
          <w:sz w:val="14"/>
          <w:szCs w:val="14"/>
          <w:color w:val="auto"/>
        </w:rPr>
        <w:t>Ms. Valerie Jarrett (Chair) Mr. Frank A. Bennack, Jr. Mr. Darren Walker Ms. Wei Zhang</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ROLE OF THE NOMINATING COMMITTEE</w:t>
      </w:r>
    </w:p>
    <w:p>
      <w:pPr>
        <w:spacing w:after="0" w:line="73"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color w:val="001641"/>
        </w:rPr>
        <w:t>The Nominating Committee identifies individuals qualified to become directors, recommends director nominees to the Board, develops and recommends corporate governance policies to the Board, recommends non-employee director compensation and benefits to the Board, reviews related party transactions, exercises oversight of the evaluation of the members of the Board and Committees, recommends to the Board policies and principles for CEO succession, selection and performance reviews, and reviews the Company’s programs, policies, and practices relating to corporate governance, citizenship, sustainability, and social and environmental issues and impacts, including health and safety matters.</w:t>
      </w:r>
    </w:p>
    <w:p>
      <w:pPr>
        <w:spacing w:after="0" w:line="78"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001641"/>
        </w:rPr>
        <w:t>The Nominating Committee works closely with the Lead Independent Director on governance issues including the annual performance evaluation of the Board, Board evolution planning, director renomination considerations, and the succession of the Lead Independent Director position. The Nominating Committee and Lead Independent Director also work closely with the Chair of the Talent Committee on the annual review of succession planning for the CEO, the Executive Chairman of the Board and other key management positions. The Chair of the Nominating Committee also works with the Lead Independent Director and the Chair of the Talent Committee to review the annual performance evaluation and compensation of the CEO. In addition, the Nominating Committee annually reviews our dual-class structure to align with stockholder interests and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66040</wp:posOffset>
            </wp:positionV>
            <wp:extent cx="58293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520"/>
            <w:col w:w="6660"/>
          </w:cols>
          <w:pgMar w:left="1360" w:top="114" w:right="1399" w:bottom="1440" w:gutter="0" w:footer="0" w:header="0"/>
          <w:type w:val="continuous"/>
        </w:sectPr>
      </w:pPr>
    </w:p>
    <w:p>
      <w:pPr>
        <w:spacing w:after="0" w:line="65" w:lineRule="exact"/>
        <w:rPr>
          <w:sz w:val="20"/>
          <w:szCs w:val="20"/>
          <w:color w:val="auto"/>
        </w:rPr>
      </w:pPr>
    </w:p>
    <w:p>
      <w:pPr>
        <w:ind w:left="160" w:right="140"/>
        <w:spacing w:after="0" w:line="312" w:lineRule="auto"/>
        <w:rPr>
          <w:sz w:val="20"/>
          <w:szCs w:val="20"/>
          <w:color w:val="auto"/>
        </w:rPr>
      </w:pPr>
      <w:r>
        <w:rPr>
          <w:rFonts w:ascii="Times New Roman" w:cs="Times New Roman" w:eastAsia="Times New Roman" w:hAnsi="Times New Roman"/>
          <w:sz w:val="37"/>
          <w:szCs w:val="37"/>
          <w:color w:val="001641"/>
        </w:rPr>
        <w: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1270</wp:posOffset>
            </wp:positionV>
            <wp:extent cx="1714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1641"/>
        </w:rPr>
        <w:t>MEMBERS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Ms. Angela Ahrendts (Chair)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Ms. Debra Cupp</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Ms. Linda Findley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Mr. Michael A. George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Ms. Wei Zhang</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ROLE OF THE FINANCE COMMITTEE</w:t>
      </w:r>
    </w:p>
    <w:p>
      <w:pPr>
        <w:spacing w:after="0" w:line="86"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001641"/>
        </w:rPr>
        <w:t>The Finance Committee was established by the Company in Fiscal 2018 to oversee the Company’s financial condition, policies, practices, and activities in support of the Company’s long-range plan. The Finance Committee provides oversight to management regarding: (i) the development and execution of the Company’s key strategic plans and long-term value creation strategy (the “Long-Term Strategy”); (ii) the establishment and review of strategic accelerators for the Long-Term Strategy; (iii) the alignment of the Company’s financial resources with the Long-Term Strategy; (iv) the review and implementation of productivity drivers as part of the Long-Term Strategy; and (v) the review of corporate and systemic risks related to the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518795</wp:posOffset>
            </wp:positionV>
            <wp:extent cx="58293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763" w:lineRule="exact"/>
        <w:rPr>
          <w:sz w:val="20"/>
          <w:szCs w:val="20"/>
          <w:color w:val="auto"/>
        </w:rPr>
      </w:pPr>
    </w:p>
    <w:p>
      <w:pPr>
        <w:sectPr>
          <w:pgSz w:w="11900" w:h="16838" w:orient="portrait"/>
          <w:cols w:equalWidth="0" w:num="2">
            <w:col w:w="1980" w:space="500"/>
            <w:col w:w="6660"/>
          </w:cols>
          <w:pgMar w:left="1360" w:top="114" w:right="1399" w:bottom="1440" w:gutter="0" w:footer="0" w:header="0"/>
          <w:type w:val="continuous"/>
        </w:sect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STRATEGIC SPECIAL MEETINGS &amp; ECOSYSTEM IMMERSION TOURS</w:t>
      </w:r>
    </w:p>
    <w:p>
      <w:pPr>
        <w:spacing w:after="0" w:line="16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Board and Committees regularly convene strategic special meetings throughout the fiscal year to focus on particular risks or issues that are relevant to the Company, including review of the Company’s strategic plan and long range plan, and to provide the Board with oversight, input, and guidance regarding such issues and risks. The Board regularly engages in ecosystem immersion tours with on- location review of our regional key city ecosystems by touring certain of our regional ecosystem operations to engage directly with our strategy and consumer experience. The Board and management has recently toured certain of our North American and European operations.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BOARD OF DIRECTORS EFFECTIVENESS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INDEPENDENT BOARD ASSESSMENT</w:t>
      </w:r>
    </w:p>
    <w:p>
      <w:pPr>
        <w:spacing w:after="0" w:line="16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In addition to the Board’s annual self-evaluation assessment, the Company also conducts regular independent assessments of its Board and Board effectiveness. In Fiscal 2026, the Nominating Committee engaged an independent third-party consultant to conduct individual interviews with each director, including management members of the Board, and certain members of management, and to perform an objective analysis of the Board’s governance structure, evaluation process, and overall effectiveness. The results of the assessment were discussed with our full Board with the aim of continuing to enhance Board effectiveness.</w:t>
      </w:r>
    </w:p>
    <w:p>
      <w:pPr>
        <w:spacing w:after="0" w:line="12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Since receiving the results of this and earlier independent third-party assessments, the Nominating Committee has conducted Board effectiveness reviews to monitor the progress of implementation of certain recommendations from the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58293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6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36</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76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740" w:right="420"/>
        <w:spacing w:after="0" w:line="286" w:lineRule="auto"/>
        <w:rPr>
          <w:sz w:val="20"/>
          <w:szCs w:val="20"/>
          <w:color w:val="auto"/>
        </w:rPr>
      </w:pPr>
      <w:r>
        <w:rPr>
          <w:rFonts w:ascii="Arial" w:cs="Arial" w:eastAsia="Arial" w:hAnsi="Arial"/>
          <w:sz w:val="16"/>
          <w:szCs w:val="16"/>
          <w:color w:val="auto"/>
        </w:rPr>
        <w:t>Updated Committee mandates to more effectively support the Board’s oversight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28460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-251460</wp:posOffset>
            </wp:positionV>
            <wp:extent cx="179705" cy="1968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190" w:lineRule="exact"/>
        <w:rPr>
          <w:sz w:val="20"/>
          <w:szCs w:val="20"/>
          <w:color w:val="auto"/>
        </w:rPr>
      </w:pPr>
    </w:p>
    <w:p>
      <w:pPr>
        <w:ind w:left="740" w:right="400"/>
        <w:spacing w:after="0" w:line="266" w:lineRule="auto"/>
        <w:rPr>
          <w:sz w:val="20"/>
          <w:szCs w:val="20"/>
          <w:color w:val="auto"/>
        </w:rPr>
      </w:pPr>
      <w:r>
        <w:rPr>
          <w:rFonts w:ascii="Arial" w:cs="Arial" w:eastAsia="Arial" w:hAnsi="Arial"/>
          <w:sz w:val="16"/>
          <w:szCs w:val="16"/>
          <w:color w:val="auto"/>
        </w:rPr>
        <w:t>Expansion of independent assessment process to include feedback from select members of the Company’s senior executive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28460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-301625</wp:posOffset>
            </wp:positionV>
            <wp:extent cx="179705" cy="1968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5" w:lineRule="exact"/>
        <w:rPr>
          <w:sz w:val="20"/>
          <w:szCs w:val="20"/>
          <w:color w:val="auto"/>
        </w:rPr>
      </w:pPr>
    </w:p>
    <w:p>
      <w:pPr>
        <w:ind w:left="740" w:right="400"/>
        <w:spacing w:after="0" w:line="256" w:lineRule="auto"/>
        <w:rPr>
          <w:sz w:val="20"/>
          <w:szCs w:val="20"/>
          <w:color w:val="auto"/>
        </w:rPr>
      </w:pPr>
      <w:r>
        <w:rPr>
          <w:rFonts w:ascii="Arial" w:cs="Arial" w:eastAsia="Arial" w:hAnsi="Arial"/>
          <w:sz w:val="16"/>
          <w:szCs w:val="16"/>
          <w:color w:val="auto"/>
        </w:rPr>
        <w:t>Enhanced Board review and engagement with Company strategy, including by reintroducing regional ecosystem immersion tours and including outside experts in certain Board and Committee presentations and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28460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-416560</wp:posOffset>
            </wp:positionV>
            <wp:extent cx="179705" cy="1968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14" w:lineRule="exact"/>
        <w:rPr>
          <w:sz w:val="20"/>
          <w:szCs w:val="20"/>
          <w:color w:val="auto"/>
        </w:rPr>
      </w:pPr>
    </w:p>
    <w:p>
      <w:pPr>
        <w:ind w:left="740" w:right="560"/>
        <w:spacing w:after="0" w:line="286" w:lineRule="auto"/>
        <w:rPr>
          <w:sz w:val="20"/>
          <w:szCs w:val="20"/>
          <w:color w:val="auto"/>
        </w:rPr>
      </w:pPr>
      <w:r>
        <w:rPr>
          <w:rFonts w:ascii="Arial" w:cs="Arial" w:eastAsia="Arial" w:hAnsi="Arial"/>
          <w:sz w:val="16"/>
          <w:szCs w:val="16"/>
          <w:color w:val="auto"/>
        </w:rPr>
        <w:t>Rotation of Committee Chairs at least every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284607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-251460</wp:posOffset>
            </wp:positionV>
            <wp:extent cx="179705" cy="1974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79705" cy="197485"/>
                    </a:xfrm>
                    <a:prstGeom prst="rect">
                      <a:avLst/>
                    </a:prstGeom>
                    <a:noFill/>
                  </pic:spPr>
                </pic:pic>
              </a:graphicData>
            </a:graphic>
          </wp:anchor>
        </w:drawing>
      </w:r>
    </w:p>
    <w:p>
      <w:pPr>
        <w:spacing w:after="0" w:line="190" w:lineRule="exact"/>
        <w:rPr>
          <w:sz w:val="20"/>
          <w:szCs w:val="20"/>
          <w:color w:val="auto"/>
        </w:rPr>
      </w:pPr>
    </w:p>
    <w:p>
      <w:pPr>
        <w:ind w:left="740" w:right="760"/>
        <w:spacing w:after="0" w:line="259" w:lineRule="auto"/>
        <w:rPr>
          <w:sz w:val="20"/>
          <w:szCs w:val="20"/>
          <w:color w:val="auto"/>
        </w:rPr>
      </w:pPr>
      <w:r>
        <w:rPr>
          <w:rFonts w:ascii="Arial" w:cs="Arial" w:eastAsia="Arial" w:hAnsi="Arial"/>
          <w:sz w:val="16"/>
          <w:szCs w:val="16"/>
          <w:color w:val="auto"/>
        </w:rPr>
        <w:t>August 2023 appointment of new Committee Chairs to revitalize the leadership of most Committees with new Nominating Committee Chair appointed in August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8460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-357505</wp:posOffset>
            </wp:positionV>
            <wp:extent cx="179705" cy="1968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Continued commitment to Board evolution, including continuously evaluating new director candidates to ensure a diverse and relevant mix of skills and expertise, which resulted in the departure of seven long-tenured directors since Fiscal 2020 and the addition of five new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73025</wp:posOffset>
            </wp:positionV>
            <wp:extent cx="28460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-474980</wp:posOffset>
            </wp:positionV>
            <wp:extent cx="179705" cy="1974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79705" cy="197485"/>
                    </a:xfrm>
                    <a:prstGeom prst="rect">
                      <a:avLst/>
                    </a:prstGeom>
                    <a:noFill/>
                  </pic:spPr>
                </pic:pic>
              </a:graphicData>
            </a:graphic>
          </wp:anchor>
        </w:drawing>
      </w:r>
    </w:p>
    <w:p>
      <w:pPr>
        <w:spacing w:after="0" w:line="216"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Expansion of the Board education program and creation of an online Director Education Portal for internal Ralph Lauren classes on the Company and our business, in addition to an annual overview of external education opportunities for which each Board director receives an annual stipend to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72390</wp:posOffset>
            </wp:positionV>
            <wp:extent cx="28460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-535305</wp:posOffset>
            </wp:positionV>
            <wp:extent cx="179705" cy="1974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9705" cy="197485"/>
                    </a:xfrm>
                    <a:prstGeom prst="rect">
                      <a:avLst/>
                    </a:prstGeom>
                    <a:noFill/>
                  </pic:spPr>
                </pic:pic>
              </a:graphicData>
            </a:graphic>
          </wp:anchor>
        </w:drawing>
      </w:r>
    </w:p>
    <w:p>
      <w:pPr>
        <w:spacing w:after="0" w:line="215"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Robust Director Orientation program for new directors, consisting of one-on-one meetings with senior management, ecosystem tours and extensive written materials to familiarize the new directors with the Company’s business, financial performance, strategic plans, compensation programs, and corporate governance policies and practices;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73660</wp:posOffset>
            </wp:positionV>
            <wp:extent cx="28460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-594360</wp:posOffset>
            </wp:positionV>
            <wp:extent cx="179705" cy="1974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79705" cy="197485"/>
                    </a:xfrm>
                    <a:prstGeom prst="rect">
                      <a:avLst/>
                    </a:prstGeom>
                    <a:noFill/>
                  </pic:spPr>
                </pic:pic>
              </a:graphicData>
            </a:graphic>
          </wp:anchor>
        </w:drawing>
      </w:r>
    </w:p>
    <w:p>
      <w:pPr>
        <w:spacing w:after="0" w:line="217"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Additional training opportunities provided to directors who assume new leadership positions, e.g., Committee Chairs, in connection with Committee composition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-6350</wp:posOffset>
            </wp:positionV>
            <wp:extent cx="28460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-357505</wp:posOffset>
            </wp:positionV>
            <wp:extent cx="179705" cy="1974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79705" cy="197485"/>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4720" w:space="720"/>
            <w:col w:w="3740"/>
          </w:cols>
          <w:pgMar w:left="1360" w:top="114" w:right="1359" w:bottom="1440" w:gutter="0" w:footer="0" w:header="0"/>
          <w:type w:val="continuous"/>
        </w:sectPr>
      </w:pPr>
    </w:p>
    <w:p>
      <w:pPr>
        <w:ind w:right="40"/>
        <w:spacing w:after="0" w:line="286" w:lineRule="auto"/>
        <w:rPr>
          <w:sz w:val="20"/>
          <w:szCs w:val="20"/>
          <w:color w:val="auto"/>
        </w:rPr>
      </w:pPr>
      <w:r>
        <w:rPr>
          <w:rFonts w:ascii="Arial" w:cs="Arial" w:eastAsia="Arial" w:hAnsi="Arial"/>
          <w:sz w:val="16"/>
          <w:szCs w:val="16"/>
          <w:color w:val="auto"/>
        </w:rPr>
        <w:t>Notably, these independent assessments have led to a focus on Board exposure to management and continue to prioritize deep engagement with business strategy.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In Fiscal 2026, some of the actions in which the Board engaged include, among others:</w:t>
      </w:r>
    </w:p>
    <w:p>
      <w:pPr>
        <w:sectPr>
          <w:pgSz w:w="11900" w:h="16838" w:orient="portrait"/>
          <w:cols w:equalWidth="0" w:num="1">
            <w:col w:w="9180"/>
          </w:cols>
          <w:pgMar w:left="1360" w:top="114" w:right="1359" w:bottom="1440" w:gutter="0" w:footer="0" w:header="0"/>
          <w:type w:val="continuous"/>
        </w:sectPr>
      </w:pPr>
    </w:p>
    <w:p>
      <w:pPr>
        <w:spacing w:after="0" w:line="343" w:lineRule="exact"/>
        <w:rPr>
          <w:sz w:val="20"/>
          <w:szCs w:val="20"/>
          <w:color w:val="auto"/>
        </w:rPr>
      </w:pPr>
    </w:p>
    <w:p>
      <w:pPr>
        <w:ind w:left="740" w:right="380"/>
        <w:spacing w:after="0" w:line="259" w:lineRule="auto"/>
        <w:rPr>
          <w:sz w:val="20"/>
          <w:szCs w:val="20"/>
          <w:color w:val="auto"/>
        </w:rPr>
      </w:pPr>
      <w:r>
        <w:rPr>
          <w:rFonts w:ascii="Arial" w:cs="Arial" w:eastAsia="Arial" w:hAnsi="Arial"/>
          <w:sz w:val="16"/>
          <w:szCs w:val="16"/>
          <w:color w:val="auto"/>
        </w:rPr>
        <w:t>Opportunities for Board discussions with members of the executive leadership team, the creative design management team, as well as various levels of management across all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28460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-357505</wp:posOffset>
            </wp:positionV>
            <wp:extent cx="179705" cy="1968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12" w:lineRule="exact"/>
        <w:rPr>
          <w:sz w:val="20"/>
          <w:szCs w:val="20"/>
          <w:color w:val="auto"/>
        </w:rPr>
      </w:pPr>
    </w:p>
    <w:p>
      <w:pPr>
        <w:ind w:left="740" w:right="640"/>
        <w:spacing w:after="0" w:line="266" w:lineRule="auto"/>
        <w:rPr>
          <w:sz w:val="20"/>
          <w:szCs w:val="20"/>
          <w:color w:val="auto"/>
        </w:rPr>
      </w:pPr>
      <w:r>
        <w:rPr>
          <w:rFonts w:ascii="Arial" w:cs="Arial" w:eastAsia="Arial" w:hAnsi="Arial"/>
          <w:sz w:val="16"/>
          <w:szCs w:val="16"/>
          <w:color w:val="auto"/>
        </w:rPr>
        <w:t>A special meeting of the Finance Committee focusing on the fiscal year plan and long range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284607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-301625</wp:posOffset>
            </wp:positionV>
            <wp:extent cx="179705" cy="1968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5" w:lineRule="exact"/>
        <w:rPr>
          <w:sz w:val="20"/>
          <w:szCs w:val="20"/>
          <w:color w:val="auto"/>
        </w:rPr>
      </w:pPr>
    </w:p>
    <w:p>
      <w:pPr>
        <w:ind w:left="740" w:right="360"/>
        <w:spacing w:after="0" w:line="266" w:lineRule="auto"/>
        <w:rPr>
          <w:sz w:val="20"/>
          <w:szCs w:val="20"/>
          <w:color w:val="auto"/>
        </w:rPr>
      </w:pPr>
      <w:r>
        <w:rPr>
          <w:rFonts w:ascii="Arial" w:cs="Arial" w:eastAsia="Arial" w:hAnsi="Arial"/>
          <w:sz w:val="16"/>
          <w:szCs w:val="16"/>
          <w:color w:val="auto"/>
        </w:rPr>
        <w:t>Quarterly review and analysis of cybersecurity and artificial intelligence preparedness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284607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-301625</wp:posOffset>
            </wp:positionV>
            <wp:extent cx="179705" cy="1968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5" w:lineRule="exact"/>
        <w:rPr>
          <w:sz w:val="20"/>
          <w:szCs w:val="20"/>
          <w:color w:val="auto"/>
        </w:rPr>
      </w:pPr>
    </w:p>
    <w:p>
      <w:pPr>
        <w:ind w:left="740" w:right="500"/>
        <w:spacing w:after="0" w:line="256" w:lineRule="auto"/>
        <w:rPr>
          <w:sz w:val="20"/>
          <w:szCs w:val="20"/>
          <w:color w:val="auto"/>
        </w:rPr>
      </w:pPr>
      <w:r>
        <w:rPr>
          <w:rFonts w:ascii="Arial" w:cs="Arial" w:eastAsia="Arial" w:hAnsi="Arial"/>
          <w:sz w:val="16"/>
          <w:szCs w:val="16"/>
          <w:color w:val="auto"/>
        </w:rPr>
        <w:t>Quarterly​ review of artificial intelligence adoption and integration across teams and regions, including investments in artificial intelligence capabilities as part of the Corporation’s Next Generation Transformation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268605</wp:posOffset>
            </wp:positionV>
            <wp:extent cx="58293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-5080</wp:posOffset>
            </wp:positionV>
            <wp:extent cx="284607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-416560</wp:posOffset>
            </wp:positionV>
            <wp:extent cx="179705" cy="1968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405765</wp:posOffset>
            </wp:positionV>
            <wp:extent cx="128905" cy="1111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Quarterly review and analysis of enterprise risk management with each Board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56515</wp:posOffset>
            </wp:positionV>
            <wp:extent cx="28460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-251460</wp:posOffset>
            </wp:positionV>
            <wp:extent cx="179705" cy="1968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142240</wp:posOffset>
            </wp:positionV>
            <wp:extent cx="179705" cy="1968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A​ special Board effectiveness executive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140970</wp:posOffset>
            </wp:positionV>
            <wp:extent cx="28460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2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 dedicated session at each Board meeting for the directors and management to engage in an open discussion and Q&amp;A outside of the regular management 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70485</wp:posOffset>
            </wp:positionV>
            <wp:extent cx="28460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-357505</wp:posOffset>
            </wp:positionV>
            <wp:extent cx="179705" cy="1968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1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Regular presentations by senior executives on our Strategic Plan pillars and progress indicators at regular Board and Committee meetings;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66040</wp:posOffset>
            </wp:positionV>
            <wp:extent cx="28460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-301625</wp:posOffset>
            </wp:positionV>
            <wp:extent cx="179705" cy="1968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5"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Opportunities to review the Company’s competitive landscape and future outlook and to assess firsthand the execution and impact of the Company’s Strategic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-6350</wp:posOffset>
            </wp:positionV>
            <wp:extent cx="28460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-357505</wp:posOffset>
            </wp:positionV>
            <wp:extent cx="179705" cy="1968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720"/>
            <w:col w:w="3740"/>
          </w:cols>
          <w:pgMar w:left="1360" w:top="114" w:right="1359" w:bottom="1440" w:gutter="0" w:footer="0" w:header="0"/>
          <w:type w:val="continuous"/>
        </w:sectPr>
      </w:pPr>
    </w:p>
    <w:p>
      <w:pPr>
        <w:spacing w:after="0" w:line="239" w:lineRule="exact"/>
        <w:rPr>
          <w:sz w:val="20"/>
          <w:szCs w:val="20"/>
          <w:color w:val="auto"/>
        </w:rPr>
      </w:pPr>
    </w:p>
    <w:p>
      <w:pPr>
        <w:ind w:left="6540"/>
        <w:spacing w:after="0"/>
        <w:tabs>
          <w:tab w:leader="none" w:pos="900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Board effectiveness is a continuing focus, and the Company’s Corporate Governance Policies were amended in 2023 to codify existing practice that requires an independent third-party assessment of the Board and its effectiveness at least every three years. The most recent assessment occurred in Fiscal 2026. When the Nominating Committee engages a third party to assist it, the Committee approves the fees that we pay for these services.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FOCUS ON STRATEGY AND SUCCESSION PLANNING</w:t>
      </w:r>
    </w:p>
    <w:p>
      <w:pPr>
        <w:spacing w:after="0" w:line="16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Board is engaged with the Company’s strategy, and during Fiscal 2026, the Board was engaged in monitoring the impact of the prevailing macroeconomic and geopolitical environment. In September 2025, we hosted an Investor Day where we presented our new Next Great Chapter: Drive plan (“Strategic Plan”), which outlined our strategic priorities for the coming three years. Our entire Board reviews and oversees progress on the Company’s Strategic Plan quarterly, including during special meetings and in executive sessions without Company management present.</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Annually, the Board conducts an in-depth review of the Company’s long-term strategic plan, performance, and capital structure. The Finance Committee additionally takes a more active role in strategy oversight as it receives regular updates on strategy key performance indicators (“KPIs”) and quarterly reviews the alignment between our risk management program and our strategic priorities.</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These discussions are enhanced with experiences scheduled outside regular meetings, such as on location ecosystem immersion tours with market or store visits, which provide our directors with an opportunity to see the Company’s operations at work, to assess firsthand the execution and impact of the Company’s strategy, and to engage with senior leaders throughout the Company to deepen their understanding of our business. The Board and management regularly tour our regional ecosystems and most recently visited certain of our North American and European operations. Furthermore, a full-day strategy meeting is scheduled periodically for the Finance Committee, and all members of the Board are invited to attend.</w:t>
      </w:r>
    </w:p>
    <w:p>
      <w:pPr>
        <w:spacing w:after="0" w:line="114"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38"/>
          <w:szCs w:val="38"/>
          <w:color w:val="BFA071"/>
        </w:rPr>
        <w:t>Strategy remains at the forefront of our robust succession planning process.</w:t>
      </w:r>
    </w:p>
    <w:p>
      <w:pPr>
        <w:spacing w:after="0" w:line="27"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With a focus on evolving the Board with respect to the Company’s strategy, the Nominating Committee regularly reviews the skills and experience of the Board in consideration of the relevant needs for the upcoming year regarding the strategy, appropriate size, and current composition of the Board including an evaluation of its independence, diversity of backgrounds, skill sets, age, availability of service, and tenure of its members, among other attributes.</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Board is also actively engaged in the oversight of our corporate culture and is continuously focused on developing an inclusive culture that is aligned with our long-term mission and strategy. Due in part to our Board’s engagement and input, the Company has recently received numerous awards as a “Best Place to Work”. As part of our work to further develop and nurture the Company’s culture, the Talent Committee receives regular reviews of talent across organizations within the Company to encourage promotion from within where management identifies strong candidates, with management and the Committee working to ensure the strongest talent are fully represented in the process for promotions to the executive level.</w:t>
      </w:r>
    </w:p>
    <w:p>
      <w:pPr>
        <w:spacing w:after="0" w:line="12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Board also actively oversees succession planning with regard to senior management, including the Executive Chairman and the Chief Executive Officer. The Chair of the Talent Committee and the Chair of the Nominating Committee work with the Lead Independent Director to review succession planning for the Chief Executive Officer, Executive Chairman and certain other specified employees annually. In addition, the Talent Committee also regularly reviews and considers succession plans for certain senior executives, and reports on such plans and potential candidates during executive session of the full Board. The Talent Committee members and members of senior management regularly meet to evaluate internal and external candidates, acquaint such candidates with members of the Board, and perform succession modeling.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8293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9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38</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49" w:name="page50"/>
    <w:bookmarkEnd w:id="4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BOARD AND COMMITTEE EVALUATIONS</w:t>
      </w:r>
    </w:p>
    <w:p>
      <w:pPr>
        <w:spacing w:after="0" w:line="162" w:lineRule="exact"/>
        <w:rPr>
          <w:sz w:val="20"/>
          <w:szCs w:val="20"/>
          <w:color w:val="auto"/>
        </w:rPr>
      </w:pPr>
    </w:p>
    <w:p>
      <w:pPr>
        <w:ind w:left="6" w:right="60"/>
        <w:spacing w:after="0" w:line="286" w:lineRule="auto"/>
        <w:rPr>
          <w:sz w:val="20"/>
          <w:szCs w:val="20"/>
          <w:color w:val="auto"/>
        </w:rPr>
      </w:pPr>
      <w:r>
        <w:rPr>
          <w:rFonts w:ascii="Arial" w:cs="Arial" w:eastAsia="Arial" w:hAnsi="Arial"/>
          <w:sz w:val="16"/>
          <w:szCs w:val="16"/>
          <w:color w:val="auto"/>
        </w:rPr>
        <w:t>Pursuant to the Company’s Corporate Governance Policies and the Charters of each of the Board’s Committees, the Board and each of its Committees conducts a performance evaluation at least annually.</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6"/>
          <w:szCs w:val="16"/>
          <w:color w:val="auto"/>
        </w:rPr>
        <w:t>Our processes enable directors to provide anonymous and confidential feedback on topics including:</w:t>
      </w:r>
    </w:p>
    <w:p>
      <w:pPr>
        <w:spacing w:after="0" w:line="167" w:lineRule="exact"/>
        <w:rPr>
          <w:sz w:val="20"/>
          <w:szCs w:val="20"/>
          <w:color w:val="auto"/>
        </w:rPr>
      </w:pPr>
    </w:p>
    <w:p>
      <w:pPr>
        <w:ind w:left="166" w:hanging="166"/>
        <w:spacing w:after="0"/>
        <w:tabs>
          <w:tab w:leader="none" w:pos="1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Board/Committee information and materials;</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Board/Committee meeting mechanics;</w:t>
      </w:r>
    </w:p>
    <w:p>
      <w:pPr>
        <w:spacing w:after="0" w:line="140" w:lineRule="exact"/>
        <w:rPr>
          <w:rFonts w:ascii="Arial" w:cs="Arial" w:eastAsia="Arial" w:hAnsi="Arial"/>
          <w:sz w:val="16"/>
          <w:szCs w:val="16"/>
          <w:color w:val="auto"/>
        </w:rPr>
      </w:pPr>
    </w:p>
    <w:p>
      <w:pPr>
        <w:ind w:left="166" w:right="480" w:hanging="166"/>
        <w:spacing w:after="0" w:line="286" w:lineRule="auto"/>
        <w:tabs>
          <w:tab w:leader="none" w:pos="1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Board/Committee composition and structure, including a diverse mix of skills, qualifications, viewpoints, experience and personal backgrounds;</w:t>
      </w:r>
    </w:p>
    <w:p>
      <w:pPr>
        <w:spacing w:after="0" w:line="61" w:lineRule="exact"/>
        <w:rPr>
          <w:rFonts w:ascii="Arial" w:cs="Arial" w:eastAsia="Arial" w:hAnsi="Arial"/>
          <w:sz w:val="16"/>
          <w:szCs w:val="16"/>
          <w:color w:val="auto"/>
        </w:rPr>
      </w:pPr>
    </w:p>
    <w:p>
      <w:pPr>
        <w:ind w:left="166" w:right="720" w:hanging="166"/>
        <w:spacing w:after="0" w:line="266" w:lineRule="auto"/>
        <w:tabs>
          <w:tab w:leader="none" w:pos="1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Board/Committee responsibilities and accountability, including with respect to strategy, risk management, operating performance, CEO and management succession planning, corporate governance, citizenship and sustainability, and corporate culture;</w:t>
      </w:r>
    </w:p>
    <w:p>
      <w:pPr>
        <w:spacing w:after="0" w:line="76" w:lineRule="exact"/>
        <w:rPr>
          <w:rFonts w:ascii="Arial" w:cs="Arial" w:eastAsia="Arial" w:hAnsi="Arial"/>
          <w:sz w:val="16"/>
          <w:szCs w:val="16"/>
          <w:color w:val="auto"/>
        </w:rPr>
      </w:pPr>
    </w:p>
    <w:p>
      <w:pPr>
        <w:ind w:left="166" w:hanging="166"/>
        <w:spacing w:after="0"/>
        <w:tabs>
          <w:tab w:leader="none" w:pos="1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Board meeting and executive session conduct and culture; and</w:t>
      </w:r>
    </w:p>
    <w:p>
      <w:pPr>
        <w:spacing w:after="0" w:line="140" w:lineRule="exact"/>
        <w:rPr>
          <w:rFonts w:ascii="Arial" w:cs="Arial" w:eastAsia="Arial" w:hAnsi="Arial"/>
          <w:sz w:val="16"/>
          <w:szCs w:val="16"/>
          <w:color w:val="auto"/>
        </w:rPr>
      </w:pPr>
    </w:p>
    <w:p>
      <w:pPr>
        <w:ind w:left="166" w:hanging="166"/>
        <w:spacing w:after="0"/>
        <w:tabs>
          <w:tab w:leader="none" w:pos="1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Overall performance of Board members.</w:t>
      </w:r>
    </w:p>
    <w:p>
      <w:pPr>
        <w:spacing w:after="0" w:line="167" w:lineRule="exact"/>
        <w:rPr>
          <w:sz w:val="20"/>
          <w:szCs w:val="20"/>
          <w:color w:val="auto"/>
        </w:rPr>
      </w:pPr>
    </w:p>
    <w:p>
      <w:pPr>
        <w:jc w:val="both"/>
        <w:ind w:left="6" w:right="240"/>
        <w:spacing w:after="0" w:line="251" w:lineRule="auto"/>
        <w:rPr>
          <w:sz w:val="20"/>
          <w:szCs w:val="20"/>
          <w:color w:val="auto"/>
        </w:rPr>
      </w:pPr>
      <w:r>
        <w:rPr>
          <w:rFonts w:ascii="Arial" w:cs="Arial" w:eastAsia="Arial" w:hAnsi="Arial"/>
          <w:sz w:val="16"/>
          <w:szCs w:val="16"/>
          <w:color w:val="auto"/>
        </w:rPr>
        <w:t>To promote effectiveness of the Board, the results of the Board performance evaluation are reviewed and addressed by the Nominating Committee in executive session and then by the full Board in an executive session led by the Lead Independent Director with input from the Chair of the Nominating Committee. The results of each Committee’s performance evaluation are discussed at an executive session of the applicable Committee and further discussed by the full Board as appropriate.</w:t>
      </w:r>
    </w:p>
    <w:p>
      <w:pPr>
        <w:spacing w:after="0" w:line="2" w:lineRule="exact"/>
        <w:rPr>
          <w:sz w:val="20"/>
          <w:szCs w:val="20"/>
          <w:color w:val="auto"/>
        </w:rPr>
      </w:pPr>
    </w:p>
    <w:p>
      <w:pPr>
        <w:ind w:left="6" w:right="200"/>
        <w:spacing w:after="0" w:line="256" w:lineRule="auto"/>
        <w:rPr>
          <w:sz w:val="20"/>
          <w:szCs w:val="20"/>
          <w:color w:val="auto"/>
        </w:rPr>
      </w:pPr>
      <w:r>
        <w:rPr>
          <w:rFonts w:ascii="Arial" w:cs="Arial" w:eastAsia="Arial" w:hAnsi="Arial"/>
          <w:sz w:val="16"/>
          <w:szCs w:val="16"/>
          <w:color w:val="auto"/>
        </w:rPr>
        <w:t>Additionally, Board leadership (i.e., Committee Chairs and Lead Independent Director) also meets with senior management to discuss the results of the annual Board performance evaluation and each Committee’s performance evaluation and areas of opportunity for continued improvement.</w:t>
      </w:r>
    </w:p>
    <w:p>
      <w:pPr>
        <w:spacing w:after="0" w:line="124" w:lineRule="exact"/>
        <w:rPr>
          <w:sz w:val="20"/>
          <w:szCs w:val="20"/>
          <w:color w:val="auto"/>
        </w:rPr>
      </w:pPr>
    </w:p>
    <w:p>
      <w:pPr>
        <w:ind w:left="6" w:right="40"/>
        <w:spacing w:after="0" w:line="255" w:lineRule="auto"/>
        <w:rPr>
          <w:sz w:val="20"/>
          <w:szCs w:val="20"/>
          <w:color w:val="auto"/>
        </w:rPr>
      </w:pPr>
      <w:r>
        <w:rPr>
          <w:rFonts w:ascii="Arial" w:cs="Arial" w:eastAsia="Arial" w:hAnsi="Arial"/>
          <w:sz w:val="16"/>
          <w:szCs w:val="16"/>
          <w:color w:val="auto"/>
        </w:rPr>
        <w:t>These evaluations, as well as the Fiscal 2026 and earlier independent third-party assessment described above, have had a meaningful impact on Board evolution and succession planning. The Board’s evolution efforts demonstrate its focus on ensuring that each member of the Board brings the necessary and relevant skills and areas of expertise to contribute to discussions on the Company’s strategic initiatives and to oversee the risks that face our business and as they evolve. These assessments also in part led to the planned Board succession and evolution, including the appointment of Mr. Conde to the Board in January 2026.</w:t>
      </w:r>
    </w:p>
    <w:p>
      <w:pPr>
        <w:spacing w:after="0" w:line="200" w:lineRule="exact"/>
        <w:rPr>
          <w:sz w:val="20"/>
          <w:szCs w:val="20"/>
          <w:color w:val="auto"/>
        </w:rPr>
      </w:pPr>
    </w:p>
    <w:p>
      <w:pPr>
        <w:spacing w:after="0" w:line="28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BOARD OF DIRECTORS OVERSIGHT OF RISK</w:t>
      </w:r>
    </w:p>
    <w:p>
      <w:pPr>
        <w:spacing w:after="0" w:line="153" w:lineRule="exact"/>
        <w:rPr>
          <w:sz w:val="20"/>
          <w:szCs w:val="20"/>
          <w:color w:val="auto"/>
        </w:rPr>
      </w:pPr>
    </w:p>
    <w:p>
      <w:pPr>
        <w:ind w:left="6" w:right="120"/>
        <w:spacing w:after="0" w:line="252" w:lineRule="auto"/>
        <w:rPr>
          <w:sz w:val="20"/>
          <w:szCs w:val="20"/>
          <w:color w:val="auto"/>
        </w:rPr>
      </w:pPr>
      <w:r>
        <w:rPr>
          <w:rFonts w:ascii="Arial" w:cs="Arial" w:eastAsia="Arial" w:hAnsi="Arial"/>
          <w:sz w:val="16"/>
          <w:szCs w:val="16"/>
          <w:color w:val="auto"/>
        </w:rPr>
        <w:t>Our management is responsible for understanding and managing the risks that we face in our business, and the Board is responsible for overseeing management’s overall approach to risk management. The involvement of the full Board in reviewing our strategic objectives and business plans is a significant element of the Board’s assessment of management’s approach and tolerance for risk, including in light of macroeconomic and geopolitical developments. In addition, the Committees of the Board report to the full Board at regularly scheduled Board meetings on any identified material risks within that Committee’s area of responsibilities and oversight, including as new risks arise. The Company also regularly conducts materiality assessments to help identify and prioritize citizenship and sustainability issues, and enterprise-wide risks and opportunities that matter most to our business and stakeholders. Our most recent assessment was conducted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58293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262255</wp:posOffset>
            </wp:positionV>
            <wp:extent cx="128905" cy="1111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9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18345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82930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3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Fiscal 2026, as in prior years, each Committee reviewed a quarterly Enterprise Risk Management report setting forth the risks overseen by each Committee of the Board and mitigation opportunities. The Company’s Enterprise Risk Management program is fully updated annually and periodically updated and supplemented as new risks and opportunities are identified by management.</w:t>
      </w:r>
    </w:p>
    <w:p>
      <w:pPr>
        <w:spacing w:after="0" w:line="31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Audit Committee has responsibility for oversight of the Company’s financial statements and financial reporting related risks, including those related to our accounting, auditing, and financial reporting practices, as well as cybersecurity and artificial intelligence risks.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Finance Committee has responsibility for oversight of the development and execution of the Company’s key strategic plans, long- term value creation strategy and the assessment of financial strategic risks, including the adequacy of any policies, procedures, and controls designed by management to assess and manage these risks.</w:t>
      </w:r>
    </w:p>
    <w:p>
      <w:pPr>
        <w:spacing w:after="0" w:line="117"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Talent Committee has responsibility for the oversight of our compensation policies and practices, including conducting annual risk assessments, and evaluating and approving our executive compensation and benefit plans and programs.</w:t>
      </w:r>
    </w:p>
    <w:p>
      <w:pPr>
        <w:spacing w:after="0" w:line="10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Nominating Committee has responsibility for the oversight of the Company’s governance structure, including its dual-class structure and succession planning, and has been enhanced to oversee citizenship and sustainability risks and opportunities, and reports regularly to the full Board on these matters.</w:t>
      </w:r>
    </w:p>
    <w:p>
      <w:pPr>
        <w:spacing w:after="0" w:line="117"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The Board also receives regular reports from our CEO, COO, CFO, Chief Legal Officer, Chief People Officer, Chief Communications Officer, Chief Information Officer, Chief Digital and AI Officer, and other key members of senior management regarding various enterprise risk management issues, including operational, strategic, legal and regulatory, cybersecurity, artificial intelligence and global information systems, internal audit, financial and reputational risks. The Board is also regularly informed and engaged as new risks arise.</w:t>
      </w:r>
    </w:p>
    <w:p>
      <w:pPr>
        <w:spacing w:after="0" w:line="12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 xml:space="preserve">The Company believes that the Board’s leadership structure, discussed in detail under “Company Leadership Structure” on page </w:t>
      </w:r>
      <w:r>
        <w:rPr>
          <w:rFonts w:ascii="Arial" w:cs="Arial" w:eastAsia="Arial" w:hAnsi="Arial"/>
          <w:sz w:val="16"/>
          <w:szCs w:val="16"/>
          <w:u w:val="single" w:color="auto"/>
          <w:color w:val="0000EE"/>
        </w:rPr>
        <w:t>31</w:t>
      </w:r>
      <w:r>
        <w:rPr>
          <w:rFonts w:ascii="Arial" w:cs="Arial" w:eastAsia="Arial" w:hAnsi="Arial"/>
          <w:sz w:val="16"/>
          <w:szCs w:val="16"/>
          <w:color w:val="auto"/>
        </w:rPr>
        <w:t xml:space="preserve"> of this Proxy Statement, supports the risk oversight function of the Board by providing for a separate role for the Chairman of the Board and the CEO, and open communication between management and the Board facilitated by a Lead Independent Director. In addition, seasoned independent directors chair each of the Board’s four Committees, which provide in-depth focus on certain categories of risks.</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OVERVIEW OF CYBERSECURITY AND AI RISK</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Board recognizes that artificial intelligence (AI) presents both strategic opportunities and emerging risks. Our Board, through the Audit Committee, oversees the Company’s AI governance framework, which includes responsible-use policies, use-case vetting and approval processes, model monitoring, third-party AI risk assessment, and employee training on AI tools and data governance. Led by a global and cross-functional taskforce, the Company administers an AI and information security program that includes AI use-case vetting and controls, data governance, third-party AI and technology risk, model and tool monitoring, prevention and detection capabilities, incident response planning and exercises, continuous monitoring, vendor due diligence, and employee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8293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9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40</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Led by our Chief Digital and AI Officer, management provides regular updates to the Audit Committee and the full Board on risk trends, program maturity, significant developments and any incidents, with interim briefings as appropriate. Material risks are escalated through established enterprise risk management channels.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AI oversight and risk management is integrated into our strategy, technology roadmaps and operations through responsible-use policies, employee training, and third-party due diligence, alongside cybersecurity controls aligned to our risk profile. Over the last three fiscal years, we did not identify any cybersecurity incidents determined to be material, and we continue to evaluate our program against industry practices and regulatory developments. If a cybersecurity incident is determined to be material, we will disclose it in accordance with SEC requirements. See Item 1C (Cybersecurity) in our most recent Annual Report on Form 10-K and “Corporate Governance” in this Proxy Statement for additional information.</w:t>
      </w:r>
    </w:p>
    <w:p>
      <w:pPr>
        <w:spacing w:after="0" w:line="128"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 xml:space="preserve">For Fiscal 2026, artificial intelligence metrics in the form of a scorecard were selected by the Talent Committee to serve as a strategic goal modifier which, if met, could adjust bonuses for the NEOs (other than Mr. R. Lauren) upwards by up to 10%. Using these metrics reflects the Company’s view of the importance of our AI training and strategy to improve efficiency and productivity across our Company. For more information, see “Compensation Discussion and Analysis” starting on page </w:t>
      </w:r>
      <w:r>
        <w:rPr>
          <w:rFonts w:ascii="Arial" w:cs="Arial" w:eastAsia="Arial" w:hAnsi="Arial"/>
          <w:sz w:val="16"/>
          <w:szCs w:val="16"/>
          <w:u w:val="single" w:color="auto"/>
          <w:color w:val="0000EE"/>
        </w:rPr>
        <w:t>60</w:t>
      </w:r>
      <w:r>
        <w:rPr>
          <w:rFonts w:ascii="Arial" w:cs="Arial" w:eastAsia="Arial" w:hAnsi="Arial"/>
          <w:sz w:val="16"/>
          <w:szCs w:val="16"/>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OVERVIEW OF CITIZENSHIP &amp; SUSTAINABILITY RISK OVERSIGHT</w:t>
      </w:r>
    </w:p>
    <w:p>
      <w:pPr>
        <w:spacing w:after="0" w:line="15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believe that delivering the next 60 years for our Company means carefully managing our impact on the environment and society, and our performance is inextricably linked to the sustainability of the world in which we operate. As a result, the full Board considers sustainability to be an important element of our business strategy and the Board’s strategic oversight. Recently, we have made strides in ensuring this oversight is robust, with the following enhancements in our programs, policies, and practices:</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350"/>
        </w:trPr>
        <w:tc>
          <w:tcPr>
            <w:tcW w:w="120" w:type="dxa"/>
            <w:vAlign w:val="bottom"/>
            <w:tcBorders>
              <w:left w:val="single" w:sz="8" w:color="BFA071"/>
            </w:tcBorders>
            <w:shd w:val="clear" w:color="auto" w:fill="001641"/>
          </w:tcPr>
          <w:p>
            <w:pPr>
              <w:spacing w:after="0"/>
              <w:rPr>
                <w:sz w:val="24"/>
                <w:szCs w:val="24"/>
                <w:color w:val="auto"/>
              </w:rPr>
            </w:pPr>
          </w:p>
        </w:tc>
        <w:tc>
          <w:tcPr>
            <w:tcW w:w="2860" w:type="dxa"/>
            <w:vAlign w:val="bottom"/>
            <w:tcBorders>
              <w:right w:val="single" w:sz="8" w:color="001641"/>
            </w:tcBorders>
            <w:vMerge w:val="restart"/>
            <w:shd w:val="clear" w:color="auto" w:fill="001641"/>
          </w:tcPr>
          <w:p>
            <w:pPr>
              <w:ind w:left="520"/>
              <w:spacing w:after="0"/>
              <w:rPr>
                <w:sz w:val="20"/>
                <w:szCs w:val="20"/>
                <w:color w:val="auto"/>
              </w:rPr>
            </w:pPr>
            <w:r>
              <w:rPr>
                <w:rFonts w:ascii="Arial" w:cs="Arial" w:eastAsia="Arial" w:hAnsi="Arial"/>
                <w:sz w:val="16"/>
                <w:szCs w:val="16"/>
                <w:b w:val="1"/>
                <w:bCs w:val="1"/>
                <w:color w:val="FFFFFF"/>
              </w:rPr>
              <w:t>Nominating Committee</w:t>
            </w:r>
          </w:p>
        </w:tc>
        <w:tc>
          <w:tcPr>
            <w:tcW w:w="180" w:type="dxa"/>
            <w:vAlign w:val="bottom"/>
          </w:tcPr>
          <w:p>
            <w:pPr>
              <w:spacing w:after="0"/>
              <w:rPr>
                <w:sz w:val="24"/>
                <w:szCs w:val="24"/>
                <w:color w:val="auto"/>
              </w:rPr>
            </w:pPr>
          </w:p>
        </w:tc>
        <w:tc>
          <w:tcPr>
            <w:tcW w:w="2860" w:type="dxa"/>
            <w:vAlign w:val="bottom"/>
            <w:tcBorders>
              <w:right w:val="single" w:sz="8" w:color="001641"/>
            </w:tcBorders>
            <w:shd w:val="clear" w:color="auto" w:fill="001641"/>
          </w:tcPr>
          <w:p>
            <w:pPr>
              <w:ind w:left="580"/>
              <w:spacing w:after="0"/>
              <w:rPr>
                <w:sz w:val="20"/>
                <w:szCs w:val="20"/>
                <w:color w:val="auto"/>
              </w:rPr>
            </w:pPr>
            <w:r>
              <w:rPr>
                <w:rFonts w:ascii="Arial" w:cs="Arial" w:eastAsia="Arial" w:hAnsi="Arial"/>
                <w:sz w:val="16"/>
                <w:szCs w:val="16"/>
                <w:b w:val="1"/>
                <w:bCs w:val="1"/>
                <w:color w:val="FFFFFF"/>
              </w:rPr>
              <w:t>Audit Committee and</w:t>
            </w:r>
          </w:p>
        </w:tc>
        <w:tc>
          <w:tcPr>
            <w:tcW w:w="200" w:type="dxa"/>
            <w:vAlign w:val="bottom"/>
            <w:tcBorders>
              <w:right w:val="single" w:sz="8" w:color="001641"/>
            </w:tcBorders>
          </w:tcPr>
          <w:p>
            <w:pPr>
              <w:spacing w:after="0"/>
              <w:rPr>
                <w:sz w:val="24"/>
                <w:szCs w:val="24"/>
                <w:color w:val="auto"/>
              </w:rPr>
            </w:pPr>
          </w:p>
        </w:tc>
        <w:tc>
          <w:tcPr>
            <w:tcW w:w="2960" w:type="dxa"/>
            <w:vAlign w:val="bottom"/>
            <w:tcBorders>
              <w:right w:val="single" w:sz="8" w:color="BFA071"/>
            </w:tcBorders>
            <w:vMerge w:val="restart"/>
            <w:shd w:val="clear" w:color="auto" w:fill="001641"/>
          </w:tcPr>
          <w:p>
            <w:pPr>
              <w:ind w:left="740"/>
              <w:spacing w:after="0"/>
              <w:rPr>
                <w:sz w:val="20"/>
                <w:szCs w:val="20"/>
                <w:color w:val="auto"/>
              </w:rPr>
            </w:pPr>
            <w:r>
              <w:rPr>
                <w:rFonts w:ascii="Arial" w:cs="Arial" w:eastAsia="Arial" w:hAnsi="Arial"/>
                <w:sz w:val="16"/>
                <w:szCs w:val="16"/>
                <w:b w:val="1"/>
                <w:bCs w:val="1"/>
                <w:color w:val="FFFFFF"/>
              </w:rPr>
              <w:t>Talent Committee</w:t>
            </w:r>
          </w:p>
        </w:tc>
        <w:tc>
          <w:tcPr>
            <w:tcW w:w="0" w:type="dxa"/>
            <w:vAlign w:val="bottom"/>
          </w:tcPr>
          <w:p>
            <w:pPr>
              <w:spacing w:after="0"/>
              <w:rPr>
                <w:sz w:val="1"/>
                <w:szCs w:val="1"/>
                <w:color w:val="auto"/>
              </w:rPr>
            </w:pPr>
          </w:p>
        </w:tc>
      </w:tr>
      <w:tr>
        <w:trPr>
          <w:trHeight w:val="128"/>
        </w:trPr>
        <w:tc>
          <w:tcPr>
            <w:tcW w:w="120" w:type="dxa"/>
            <w:vAlign w:val="bottom"/>
            <w:tcBorders>
              <w:left w:val="single" w:sz="8" w:color="BFA071"/>
            </w:tcBorders>
            <w:shd w:val="clear" w:color="auto" w:fill="001641"/>
          </w:tcPr>
          <w:p>
            <w:pPr>
              <w:spacing w:after="0"/>
              <w:rPr>
                <w:sz w:val="11"/>
                <w:szCs w:val="11"/>
                <w:color w:val="auto"/>
              </w:rPr>
            </w:pPr>
          </w:p>
        </w:tc>
        <w:tc>
          <w:tcPr>
            <w:tcW w:w="2860" w:type="dxa"/>
            <w:vAlign w:val="bottom"/>
            <w:tcBorders>
              <w:right w:val="single" w:sz="8" w:color="001641"/>
            </w:tcBorders>
            <w:vMerge w:val="continue"/>
            <w:shd w:val="clear" w:color="auto" w:fill="001641"/>
          </w:tcPr>
          <w:p>
            <w:pPr>
              <w:spacing w:after="0"/>
              <w:rPr>
                <w:sz w:val="11"/>
                <w:szCs w:val="11"/>
                <w:color w:val="auto"/>
              </w:rPr>
            </w:pPr>
          </w:p>
        </w:tc>
        <w:tc>
          <w:tcPr>
            <w:tcW w:w="180" w:type="dxa"/>
            <w:vAlign w:val="bottom"/>
          </w:tcPr>
          <w:p>
            <w:pPr>
              <w:spacing w:after="0"/>
              <w:rPr>
                <w:sz w:val="11"/>
                <w:szCs w:val="11"/>
                <w:color w:val="auto"/>
              </w:rPr>
            </w:pPr>
          </w:p>
        </w:tc>
        <w:tc>
          <w:tcPr>
            <w:tcW w:w="2860" w:type="dxa"/>
            <w:vAlign w:val="bottom"/>
            <w:tcBorders>
              <w:right w:val="single" w:sz="8" w:color="001641"/>
            </w:tcBorders>
            <w:vMerge w:val="restart"/>
            <w:shd w:val="clear" w:color="auto" w:fill="001641"/>
          </w:tcPr>
          <w:p>
            <w:pPr>
              <w:ind w:left="680"/>
              <w:spacing w:after="0"/>
              <w:rPr>
                <w:sz w:val="20"/>
                <w:szCs w:val="20"/>
                <w:color w:val="auto"/>
              </w:rPr>
            </w:pPr>
            <w:r>
              <w:rPr>
                <w:rFonts w:ascii="Arial" w:cs="Arial" w:eastAsia="Arial" w:hAnsi="Arial"/>
                <w:sz w:val="16"/>
                <w:szCs w:val="16"/>
                <w:b w:val="1"/>
                <w:bCs w:val="1"/>
                <w:color w:val="FFFFFF"/>
              </w:rPr>
              <w:t>Finance Committee</w:t>
            </w:r>
          </w:p>
        </w:tc>
        <w:tc>
          <w:tcPr>
            <w:tcW w:w="200" w:type="dxa"/>
            <w:vAlign w:val="bottom"/>
            <w:tcBorders>
              <w:right w:val="single" w:sz="8" w:color="001641"/>
            </w:tcBorders>
          </w:tcPr>
          <w:p>
            <w:pPr>
              <w:spacing w:after="0"/>
              <w:rPr>
                <w:sz w:val="11"/>
                <w:szCs w:val="11"/>
                <w:color w:val="auto"/>
              </w:rPr>
            </w:pPr>
          </w:p>
        </w:tc>
        <w:tc>
          <w:tcPr>
            <w:tcW w:w="2960" w:type="dxa"/>
            <w:vAlign w:val="bottom"/>
            <w:tcBorders>
              <w:right w:val="single" w:sz="8" w:color="BFA071"/>
            </w:tcBorders>
            <w:vMerge w:val="continue"/>
            <w:shd w:val="clear" w:color="auto" w:fill="001641"/>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20" w:type="dxa"/>
            <w:vAlign w:val="bottom"/>
            <w:tcBorders>
              <w:left w:val="single" w:sz="8" w:color="BFA071"/>
              <w:bottom w:val="single" w:sz="8" w:color="001641"/>
            </w:tcBorders>
            <w:shd w:val="clear" w:color="auto" w:fill="001641"/>
          </w:tcPr>
          <w:p>
            <w:pPr>
              <w:spacing w:after="0"/>
              <w:rPr>
                <w:sz w:val="9"/>
                <w:szCs w:val="9"/>
                <w:color w:val="auto"/>
              </w:rPr>
            </w:pPr>
          </w:p>
        </w:tc>
        <w:tc>
          <w:tcPr>
            <w:tcW w:w="2860" w:type="dxa"/>
            <w:vAlign w:val="bottom"/>
            <w:tcBorders>
              <w:bottom w:val="single" w:sz="8" w:color="001641"/>
              <w:right w:val="single" w:sz="8" w:color="001641"/>
            </w:tcBorders>
            <w:shd w:val="clear" w:color="auto" w:fill="001641"/>
          </w:tcPr>
          <w:p>
            <w:pPr>
              <w:spacing w:after="0"/>
              <w:rPr>
                <w:sz w:val="9"/>
                <w:szCs w:val="9"/>
                <w:color w:val="auto"/>
              </w:rPr>
            </w:pPr>
          </w:p>
        </w:tc>
        <w:tc>
          <w:tcPr>
            <w:tcW w:w="180" w:type="dxa"/>
            <w:vAlign w:val="bottom"/>
          </w:tcPr>
          <w:p>
            <w:pPr>
              <w:spacing w:after="0"/>
              <w:rPr>
                <w:sz w:val="9"/>
                <w:szCs w:val="9"/>
                <w:color w:val="auto"/>
              </w:rPr>
            </w:pPr>
          </w:p>
        </w:tc>
        <w:tc>
          <w:tcPr>
            <w:tcW w:w="2860" w:type="dxa"/>
            <w:vAlign w:val="bottom"/>
            <w:tcBorders>
              <w:bottom w:val="single" w:sz="8" w:color="001641"/>
              <w:right w:val="single" w:sz="8" w:color="001641"/>
            </w:tcBorders>
            <w:vMerge w:val="continue"/>
            <w:shd w:val="clear" w:color="auto" w:fill="001641"/>
          </w:tcPr>
          <w:p>
            <w:pPr>
              <w:spacing w:after="0"/>
              <w:rPr>
                <w:sz w:val="9"/>
                <w:szCs w:val="9"/>
                <w:color w:val="auto"/>
              </w:rPr>
            </w:pPr>
          </w:p>
        </w:tc>
        <w:tc>
          <w:tcPr>
            <w:tcW w:w="200" w:type="dxa"/>
            <w:vAlign w:val="bottom"/>
            <w:tcBorders>
              <w:right w:val="single" w:sz="8" w:color="001641"/>
            </w:tcBorders>
          </w:tcPr>
          <w:p>
            <w:pPr>
              <w:spacing w:after="0"/>
              <w:rPr>
                <w:sz w:val="9"/>
                <w:szCs w:val="9"/>
                <w:color w:val="auto"/>
              </w:rPr>
            </w:pPr>
          </w:p>
        </w:tc>
        <w:tc>
          <w:tcPr>
            <w:tcW w:w="2960" w:type="dxa"/>
            <w:vAlign w:val="bottom"/>
            <w:tcBorders>
              <w:bottom w:val="single" w:sz="8" w:color="001641"/>
              <w:right w:val="single" w:sz="8" w:color="BFA071"/>
            </w:tcBorders>
            <w:shd w:val="clear" w:color="auto" w:fill="001641"/>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120" w:type="dxa"/>
            <w:vAlign w:val="bottom"/>
            <w:tcBorders>
              <w:left w:val="single" w:sz="8" w:color="BFA071"/>
            </w:tcBorders>
          </w:tcPr>
          <w:p>
            <w:pPr>
              <w:spacing w:after="0"/>
              <w:rPr>
                <w:sz w:val="17"/>
                <w:szCs w:val="17"/>
                <w:color w:val="auto"/>
              </w:rPr>
            </w:pPr>
          </w:p>
        </w:tc>
        <w:tc>
          <w:tcPr>
            <w:tcW w:w="2860" w:type="dxa"/>
            <w:vAlign w:val="bottom"/>
            <w:tcBorders>
              <w:right w:val="single" w:sz="8" w:color="BFA071"/>
            </w:tcBorders>
          </w:tcPr>
          <w:p>
            <w:pPr>
              <w:jc w:val="center"/>
              <w:ind w:right="87"/>
              <w:spacing w:after="0"/>
              <w:rPr>
                <w:sz w:val="20"/>
                <w:szCs w:val="20"/>
                <w:color w:val="auto"/>
              </w:rPr>
            </w:pPr>
            <w:r>
              <w:rPr>
                <w:rFonts w:ascii="Arial" w:cs="Arial" w:eastAsia="Arial" w:hAnsi="Arial"/>
                <w:sz w:val="14"/>
                <w:szCs w:val="14"/>
                <w:color w:val="001641"/>
              </w:rPr>
              <w:t>The Nominating Committee oversees, and</w:t>
            </w:r>
          </w:p>
        </w:tc>
        <w:tc>
          <w:tcPr>
            <w:tcW w:w="180" w:type="dxa"/>
            <w:vAlign w:val="bottom"/>
            <w:tcBorders>
              <w:right w:val="single" w:sz="8" w:color="BFA071"/>
            </w:tcBorders>
          </w:tcPr>
          <w:p>
            <w:pPr>
              <w:spacing w:after="0"/>
              <w:rPr>
                <w:sz w:val="17"/>
                <w:szCs w:val="17"/>
                <w:color w:val="auto"/>
              </w:rPr>
            </w:pPr>
          </w:p>
        </w:tc>
        <w:tc>
          <w:tcPr>
            <w:tcW w:w="2860" w:type="dxa"/>
            <w:vAlign w:val="bottom"/>
            <w:tcBorders>
              <w:right w:val="single" w:sz="8" w:color="BFA071"/>
            </w:tcBorders>
          </w:tcPr>
          <w:p>
            <w:pPr>
              <w:jc w:val="center"/>
              <w:ind w:right="66"/>
              <w:spacing w:after="0"/>
              <w:rPr>
                <w:sz w:val="20"/>
                <w:szCs w:val="20"/>
                <w:color w:val="auto"/>
              </w:rPr>
            </w:pPr>
            <w:r>
              <w:rPr>
                <w:rFonts w:ascii="Arial" w:cs="Arial" w:eastAsia="Arial" w:hAnsi="Arial"/>
                <w:sz w:val="14"/>
                <w:szCs w:val="14"/>
                <w:color w:val="001641"/>
              </w:rPr>
              <w:t>As part of the larger oversight of</w:t>
            </w:r>
          </w:p>
        </w:tc>
        <w:tc>
          <w:tcPr>
            <w:tcW w:w="200" w:type="dxa"/>
            <w:vAlign w:val="bottom"/>
            <w:tcBorders>
              <w:right w:val="single" w:sz="8" w:color="BFA071"/>
            </w:tcBorders>
          </w:tcPr>
          <w:p>
            <w:pPr>
              <w:spacing w:after="0"/>
              <w:rPr>
                <w:sz w:val="17"/>
                <w:szCs w:val="17"/>
                <w:color w:val="auto"/>
              </w:rPr>
            </w:pPr>
          </w:p>
        </w:tc>
        <w:tc>
          <w:tcPr>
            <w:tcW w:w="2960" w:type="dxa"/>
            <w:vAlign w:val="bottom"/>
            <w:tcBorders>
              <w:right w:val="single" w:sz="8" w:color="BFA071"/>
            </w:tcBorders>
          </w:tcPr>
          <w:p>
            <w:pPr>
              <w:jc w:val="center"/>
              <w:ind w:right="167"/>
              <w:spacing w:after="0"/>
              <w:rPr>
                <w:sz w:val="20"/>
                <w:szCs w:val="20"/>
                <w:color w:val="auto"/>
              </w:rPr>
            </w:pPr>
            <w:r>
              <w:rPr>
                <w:rFonts w:ascii="Arial" w:cs="Arial" w:eastAsia="Arial" w:hAnsi="Arial"/>
                <w:sz w:val="14"/>
                <w:szCs w:val="14"/>
                <w:color w:val="001641"/>
              </w:rPr>
              <w:t>In addition to overseeing the</w:t>
            </w:r>
          </w:p>
        </w:tc>
        <w:tc>
          <w:tcPr>
            <w:tcW w:w="0" w:type="dxa"/>
            <w:vAlign w:val="bottom"/>
          </w:tcPr>
          <w:p>
            <w:pPr>
              <w:spacing w:after="0"/>
              <w:rPr>
                <w:sz w:val="1"/>
                <w:szCs w:val="1"/>
                <w:color w:val="auto"/>
              </w:rPr>
            </w:pPr>
          </w:p>
        </w:tc>
      </w:tr>
      <w:tr>
        <w:trPr>
          <w:trHeight w:val="162"/>
        </w:trPr>
        <w:tc>
          <w:tcPr>
            <w:tcW w:w="120" w:type="dxa"/>
            <w:vAlign w:val="bottom"/>
            <w:tcBorders>
              <w:left w:val="single" w:sz="8" w:color="BFA071"/>
            </w:tcBorders>
          </w:tcPr>
          <w:p>
            <w:pPr>
              <w:spacing w:after="0"/>
              <w:rPr>
                <w:sz w:val="14"/>
                <w:szCs w:val="14"/>
                <w:color w:val="auto"/>
              </w:rPr>
            </w:pPr>
          </w:p>
        </w:tc>
        <w:tc>
          <w:tcPr>
            <w:tcW w:w="2860" w:type="dxa"/>
            <w:vAlign w:val="bottom"/>
            <w:tcBorders>
              <w:right w:val="single" w:sz="8" w:color="BFA071"/>
            </w:tcBorders>
          </w:tcPr>
          <w:p>
            <w:pPr>
              <w:jc w:val="center"/>
              <w:ind w:right="87"/>
              <w:spacing w:after="0"/>
              <w:rPr>
                <w:sz w:val="20"/>
                <w:szCs w:val="20"/>
                <w:color w:val="auto"/>
              </w:rPr>
            </w:pPr>
            <w:r>
              <w:rPr>
                <w:rFonts w:ascii="Arial" w:cs="Arial" w:eastAsia="Arial" w:hAnsi="Arial"/>
                <w:sz w:val="14"/>
                <w:szCs w:val="14"/>
                <w:color w:val="001641"/>
              </w:rPr>
              <w:t>receives regular quarterly reports on,</w:t>
            </w:r>
          </w:p>
        </w:tc>
        <w:tc>
          <w:tcPr>
            <w:tcW w:w="180" w:type="dxa"/>
            <w:vAlign w:val="bottom"/>
            <w:tcBorders>
              <w:right w:val="single" w:sz="8" w:color="BFA071"/>
            </w:tcBorders>
          </w:tcPr>
          <w:p>
            <w:pPr>
              <w:spacing w:after="0"/>
              <w:rPr>
                <w:sz w:val="14"/>
                <w:szCs w:val="14"/>
                <w:color w:val="auto"/>
              </w:rPr>
            </w:pPr>
          </w:p>
        </w:tc>
        <w:tc>
          <w:tcPr>
            <w:tcW w:w="2860" w:type="dxa"/>
            <w:vAlign w:val="bottom"/>
            <w:tcBorders>
              <w:right w:val="single" w:sz="8" w:color="BFA071"/>
            </w:tcBorders>
          </w:tcPr>
          <w:p>
            <w:pPr>
              <w:jc w:val="center"/>
              <w:ind w:right="46"/>
              <w:spacing w:after="0"/>
              <w:rPr>
                <w:sz w:val="20"/>
                <w:szCs w:val="20"/>
                <w:color w:val="auto"/>
              </w:rPr>
            </w:pPr>
            <w:r>
              <w:rPr>
                <w:rFonts w:ascii="Arial" w:cs="Arial" w:eastAsia="Arial" w:hAnsi="Arial"/>
                <w:sz w:val="14"/>
                <w:szCs w:val="14"/>
                <w:color w:val="001641"/>
              </w:rPr>
              <w:t>enterprise risk management, both the</w:t>
            </w:r>
          </w:p>
        </w:tc>
        <w:tc>
          <w:tcPr>
            <w:tcW w:w="200" w:type="dxa"/>
            <w:vAlign w:val="bottom"/>
            <w:tcBorders>
              <w:right w:val="single" w:sz="8" w:color="BFA071"/>
            </w:tcBorders>
          </w:tcPr>
          <w:p>
            <w:pPr>
              <w:spacing w:after="0"/>
              <w:rPr>
                <w:sz w:val="14"/>
                <w:szCs w:val="14"/>
                <w:color w:val="auto"/>
              </w:rPr>
            </w:pPr>
          </w:p>
        </w:tc>
        <w:tc>
          <w:tcPr>
            <w:tcW w:w="2960" w:type="dxa"/>
            <w:vAlign w:val="bottom"/>
            <w:tcBorders>
              <w:right w:val="single" w:sz="8" w:color="BFA071"/>
            </w:tcBorders>
          </w:tcPr>
          <w:p>
            <w:pPr>
              <w:jc w:val="center"/>
              <w:ind w:right="187"/>
              <w:spacing w:after="0"/>
              <w:rPr>
                <w:sz w:val="20"/>
                <w:szCs w:val="20"/>
                <w:color w:val="auto"/>
              </w:rPr>
            </w:pPr>
            <w:r>
              <w:rPr>
                <w:rFonts w:ascii="Arial" w:cs="Arial" w:eastAsia="Arial" w:hAnsi="Arial"/>
                <w:sz w:val="14"/>
                <w:szCs w:val="14"/>
                <w:color w:val="001641"/>
              </w:rPr>
              <w:t>compensation</w:t>
            </w:r>
          </w:p>
        </w:tc>
        <w:tc>
          <w:tcPr>
            <w:tcW w:w="0" w:type="dxa"/>
            <w:vAlign w:val="bottom"/>
          </w:tcPr>
          <w:p>
            <w:pPr>
              <w:spacing w:after="0"/>
              <w:rPr>
                <w:sz w:val="1"/>
                <w:szCs w:val="1"/>
                <w:color w:val="auto"/>
              </w:rPr>
            </w:pPr>
          </w:p>
        </w:tc>
      </w:tr>
      <w:tr>
        <w:trPr>
          <w:trHeight w:val="162"/>
        </w:trPr>
        <w:tc>
          <w:tcPr>
            <w:tcW w:w="120" w:type="dxa"/>
            <w:vAlign w:val="bottom"/>
            <w:tcBorders>
              <w:left w:val="single" w:sz="8" w:color="BFA071"/>
            </w:tcBorders>
          </w:tcPr>
          <w:p>
            <w:pPr>
              <w:spacing w:after="0"/>
              <w:rPr>
                <w:sz w:val="14"/>
                <w:szCs w:val="14"/>
                <w:color w:val="auto"/>
              </w:rPr>
            </w:pPr>
          </w:p>
        </w:tc>
        <w:tc>
          <w:tcPr>
            <w:tcW w:w="2860" w:type="dxa"/>
            <w:vAlign w:val="bottom"/>
            <w:tcBorders>
              <w:right w:val="single" w:sz="8" w:color="BFA071"/>
            </w:tcBorders>
          </w:tcPr>
          <w:p>
            <w:pPr>
              <w:jc w:val="center"/>
              <w:ind w:right="87"/>
              <w:spacing w:after="0"/>
              <w:rPr>
                <w:sz w:val="20"/>
                <w:szCs w:val="20"/>
                <w:color w:val="auto"/>
              </w:rPr>
            </w:pPr>
            <w:r>
              <w:rPr>
                <w:rFonts w:ascii="Arial" w:cs="Arial" w:eastAsia="Arial" w:hAnsi="Arial"/>
                <w:sz w:val="14"/>
                <w:szCs w:val="14"/>
                <w:color w:val="001641"/>
              </w:rPr>
              <w:t>citizenship and sustainability issues,</w:t>
            </w:r>
          </w:p>
        </w:tc>
        <w:tc>
          <w:tcPr>
            <w:tcW w:w="180" w:type="dxa"/>
            <w:vAlign w:val="bottom"/>
            <w:tcBorders>
              <w:right w:val="single" w:sz="8" w:color="BFA071"/>
            </w:tcBorders>
          </w:tcPr>
          <w:p>
            <w:pPr>
              <w:spacing w:after="0"/>
              <w:rPr>
                <w:sz w:val="14"/>
                <w:szCs w:val="14"/>
                <w:color w:val="auto"/>
              </w:rPr>
            </w:pPr>
          </w:p>
        </w:tc>
        <w:tc>
          <w:tcPr>
            <w:tcW w:w="2860" w:type="dxa"/>
            <w:vAlign w:val="bottom"/>
            <w:tcBorders>
              <w:right w:val="single" w:sz="8" w:color="BFA071"/>
            </w:tcBorders>
          </w:tcPr>
          <w:p>
            <w:pPr>
              <w:jc w:val="center"/>
              <w:ind w:right="46"/>
              <w:spacing w:after="0"/>
              <w:rPr>
                <w:sz w:val="20"/>
                <w:szCs w:val="20"/>
                <w:color w:val="auto"/>
              </w:rPr>
            </w:pPr>
            <w:r>
              <w:rPr>
                <w:rFonts w:ascii="Arial" w:cs="Arial" w:eastAsia="Arial" w:hAnsi="Arial"/>
                <w:sz w:val="14"/>
                <w:szCs w:val="14"/>
                <w:color w:val="001641"/>
              </w:rPr>
              <w:t>Audit Committee and the Finance</w:t>
            </w:r>
          </w:p>
        </w:tc>
        <w:tc>
          <w:tcPr>
            <w:tcW w:w="200" w:type="dxa"/>
            <w:vAlign w:val="bottom"/>
            <w:tcBorders>
              <w:right w:val="single" w:sz="8" w:color="BFA071"/>
            </w:tcBorders>
          </w:tcPr>
          <w:p>
            <w:pPr>
              <w:spacing w:after="0"/>
              <w:rPr>
                <w:sz w:val="14"/>
                <w:szCs w:val="14"/>
                <w:color w:val="auto"/>
              </w:rPr>
            </w:pPr>
          </w:p>
        </w:tc>
        <w:tc>
          <w:tcPr>
            <w:tcW w:w="2960" w:type="dxa"/>
            <w:vAlign w:val="bottom"/>
            <w:tcBorders>
              <w:right w:val="single" w:sz="8" w:color="BFA071"/>
            </w:tcBorders>
          </w:tcPr>
          <w:p>
            <w:pPr>
              <w:jc w:val="center"/>
              <w:ind w:right="187"/>
              <w:spacing w:after="0"/>
              <w:rPr>
                <w:sz w:val="20"/>
                <w:szCs w:val="20"/>
                <w:color w:val="auto"/>
              </w:rPr>
            </w:pPr>
            <w:r>
              <w:rPr>
                <w:rFonts w:ascii="Arial" w:cs="Arial" w:eastAsia="Arial" w:hAnsi="Arial"/>
                <w:sz w:val="14"/>
                <w:szCs w:val="14"/>
                <w:color w:val="001641"/>
              </w:rPr>
              <w:t>of our executive officers and certain key</w:t>
            </w:r>
          </w:p>
        </w:tc>
        <w:tc>
          <w:tcPr>
            <w:tcW w:w="0" w:type="dxa"/>
            <w:vAlign w:val="bottom"/>
          </w:tcPr>
          <w:p>
            <w:pPr>
              <w:spacing w:after="0"/>
              <w:rPr>
                <w:sz w:val="1"/>
                <w:szCs w:val="1"/>
                <w:color w:val="auto"/>
              </w:rPr>
            </w:pPr>
          </w:p>
        </w:tc>
      </w:tr>
      <w:tr>
        <w:trPr>
          <w:trHeight w:val="162"/>
        </w:trPr>
        <w:tc>
          <w:tcPr>
            <w:tcW w:w="120" w:type="dxa"/>
            <w:vAlign w:val="bottom"/>
            <w:tcBorders>
              <w:left w:val="single" w:sz="8" w:color="BFA071"/>
            </w:tcBorders>
          </w:tcPr>
          <w:p>
            <w:pPr>
              <w:spacing w:after="0"/>
              <w:rPr>
                <w:sz w:val="14"/>
                <w:szCs w:val="14"/>
                <w:color w:val="auto"/>
              </w:rPr>
            </w:pPr>
          </w:p>
        </w:tc>
        <w:tc>
          <w:tcPr>
            <w:tcW w:w="2860" w:type="dxa"/>
            <w:vAlign w:val="bottom"/>
            <w:tcBorders>
              <w:right w:val="single" w:sz="8" w:color="BFA071"/>
            </w:tcBorders>
          </w:tcPr>
          <w:p>
            <w:pPr>
              <w:jc w:val="center"/>
              <w:ind w:right="87"/>
              <w:spacing w:after="0"/>
              <w:rPr>
                <w:sz w:val="20"/>
                <w:szCs w:val="20"/>
                <w:color w:val="auto"/>
              </w:rPr>
            </w:pPr>
            <w:r>
              <w:rPr>
                <w:rFonts w:ascii="Arial" w:cs="Arial" w:eastAsia="Arial" w:hAnsi="Arial"/>
                <w:sz w:val="14"/>
                <w:szCs w:val="14"/>
                <w:color w:val="001641"/>
              </w:rPr>
              <w:t>including evolving regulation affecting the</w:t>
            </w:r>
          </w:p>
        </w:tc>
        <w:tc>
          <w:tcPr>
            <w:tcW w:w="180" w:type="dxa"/>
            <w:vAlign w:val="bottom"/>
            <w:tcBorders>
              <w:right w:val="single" w:sz="8" w:color="BFA071"/>
            </w:tcBorders>
          </w:tcPr>
          <w:p>
            <w:pPr>
              <w:spacing w:after="0"/>
              <w:rPr>
                <w:sz w:val="14"/>
                <w:szCs w:val="14"/>
                <w:color w:val="auto"/>
              </w:rPr>
            </w:pPr>
          </w:p>
        </w:tc>
        <w:tc>
          <w:tcPr>
            <w:tcW w:w="2860" w:type="dxa"/>
            <w:vAlign w:val="bottom"/>
            <w:tcBorders>
              <w:right w:val="single" w:sz="8" w:color="BFA071"/>
            </w:tcBorders>
          </w:tcPr>
          <w:p>
            <w:pPr>
              <w:jc w:val="center"/>
              <w:ind w:right="66"/>
              <w:spacing w:after="0"/>
              <w:rPr>
                <w:sz w:val="20"/>
                <w:szCs w:val="20"/>
                <w:color w:val="auto"/>
              </w:rPr>
            </w:pPr>
            <w:r>
              <w:rPr>
                <w:rFonts w:ascii="Arial" w:cs="Arial" w:eastAsia="Arial" w:hAnsi="Arial"/>
                <w:sz w:val="14"/>
                <w:szCs w:val="14"/>
                <w:color w:val="001641"/>
              </w:rPr>
              <w:t>Committee provide</w:t>
            </w:r>
          </w:p>
        </w:tc>
        <w:tc>
          <w:tcPr>
            <w:tcW w:w="200" w:type="dxa"/>
            <w:vAlign w:val="bottom"/>
            <w:tcBorders>
              <w:right w:val="single" w:sz="8" w:color="BFA071"/>
            </w:tcBorders>
          </w:tcPr>
          <w:p>
            <w:pPr>
              <w:spacing w:after="0"/>
              <w:rPr>
                <w:sz w:val="14"/>
                <w:szCs w:val="14"/>
                <w:color w:val="auto"/>
              </w:rPr>
            </w:pPr>
          </w:p>
        </w:tc>
        <w:tc>
          <w:tcPr>
            <w:tcW w:w="2960" w:type="dxa"/>
            <w:vAlign w:val="bottom"/>
            <w:tcBorders>
              <w:right w:val="single" w:sz="8" w:color="BFA071"/>
            </w:tcBorders>
          </w:tcPr>
          <w:p>
            <w:pPr>
              <w:jc w:val="center"/>
              <w:ind w:right="167"/>
              <w:spacing w:after="0"/>
              <w:rPr>
                <w:sz w:val="20"/>
                <w:szCs w:val="20"/>
                <w:color w:val="auto"/>
              </w:rPr>
            </w:pPr>
            <w:r>
              <w:rPr>
                <w:rFonts w:ascii="Arial" w:cs="Arial" w:eastAsia="Arial" w:hAnsi="Arial"/>
                <w:sz w:val="14"/>
                <w:szCs w:val="14"/>
                <w:color w:val="001641"/>
              </w:rPr>
              <w:t>members of our senior management, the</w:t>
            </w:r>
          </w:p>
        </w:tc>
        <w:tc>
          <w:tcPr>
            <w:tcW w:w="0" w:type="dxa"/>
            <w:vAlign w:val="bottom"/>
          </w:tcPr>
          <w:p>
            <w:pPr>
              <w:spacing w:after="0"/>
              <w:rPr>
                <w:sz w:val="1"/>
                <w:szCs w:val="1"/>
                <w:color w:val="auto"/>
              </w:rPr>
            </w:pPr>
          </w:p>
        </w:tc>
      </w:tr>
      <w:tr>
        <w:trPr>
          <w:trHeight w:val="162"/>
        </w:trPr>
        <w:tc>
          <w:tcPr>
            <w:tcW w:w="120" w:type="dxa"/>
            <w:vAlign w:val="bottom"/>
            <w:tcBorders>
              <w:left w:val="single" w:sz="8" w:color="BFA071"/>
            </w:tcBorders>
          </w:tcPr>
          <w:p>
            <w:pPr>
              <w:spacing w:after="0"/>
              <w:rPr>
                <w:sz w:val="14"/>
                <w:szCs w:val="14"/>
                <w:color w:val="auto"/>
              </w:rPr>
            </w:pPr>
          </w:p>
        </w:tc>
        <w:tc>
          <w:tcPr>
            <w:tcW w:w="2860" w:type="dxa"/>
            <w:vAlign w:val="bottom"/>
            <w:tcBorders>
              <w:right w:val="single" w:sz="8" w:color="BFA071"/>
            </w:tcBorders>
          </w:tcPr>
          <w:p>
            <w:pPr>
              <w:jc w:val="center"/>
              <w:ind w:right="67"/>
              <w:spacing w:after="0"/>
              <w:rPr>
                <w:sz w:val="20"/>
                <w:szCs w:val="20"/>
                <w:color w:val="auto"/>
              </w:rPr>
            </w:pPr>
            <w:r>
              <w:rPr>
                <w:rFonts w:ascii="Arial" w:cs="Arial" w:eastAsia="Arial" w:hAnsi="Arial"/>
                <w:sz w:val="14"/>
                <w:szCs w:val="14"/>
                <w:color w:val="001641"/>
              </w:rPr>
              <w:t>Company, and liaises directly with</w:t>
            </w:r>
          </w:p>
        </w:tc>
        <w:tc>
          <w:tcPr>
            <w:tcW w:w="180" w:type="dxa"/>
            <w:vAlign w:val="bottom"/>
            <w:tcBorders>
              <w:right w:val="single" w:sz="8" w:color="BFA071"/>
            </w:tcBorders>
          </w:tcPr>
          <w:p>
            <w:pPr>
              <w:spacing w:after="0"/>
              <w:rPr>
                <w:sz w:val="14"/>
                <w:szCs w:val="14"/>
                <w:color w:val="auto"/>
              </w:rPr>
            </w:pPr>
          </w:p>
        </w:tc>
        <w:tc>
          <w:tcPr>
            <w:tcW w:w="2860" w:type="dxa"/>
            <w:vAlign w:val="bottom"/>
            <w:tcBorders>
              <w:right w:val="single" w:sz="8" w:color="BFA071"/>
            </w:tcBorders>
          </w:tcPr>
          <w:p>
            <w:pPr>
              <w:jc w:val="center"/>
              <w:ind w:right="46"/>
              <w:spacing w:after="0"/>
              <w:rPr>
                <w:sz w:val="20"/>
                <w:szCs w:val="20"/>
                <w:color w:val="auto"/>
              </w:rPr>
            </w:pPr>
            <w:r>
              <w:rPr>
                <w:rFonts w:ascii="Arial" w:cs="Arial" w:eastAsia="Arial" w:hAnsi="Arial"/>
                <w:sz w:val="14"/>
                <w:szCs w:val="14"/>
                <w:color w:val="001641"/>
              </w:rPr>
              <w:t>high-level monitoring of any sustainability</w:t>
            </w:r>
          </w:p>
        </w:tc>
        <w:tc>
          <w:tcPr>
            <w:tcW w:w="200" w:type="dxa"/>
            <w:vAlign w:val="bottom"/>
            <w:tcBorders>
              <w:right w:val="single" w:sz="8" w:color="BFA071"/>
            </w:tcBorders>
          </w:tcPr>
          <w:p>
            <w:pPr>
              <w:spacing w:after="0"/>
              <w:rPr>
                <w:sz w:val="14"/>
                <w:szCs w:val="14"/>
                <w:color w:val="auto"/>
              </w:rPr>
            </w:pPr>
          </w:p>
        </w:tc>
        <w:tc>
          <w:tcPr>
            <w:tcW w:w="2960" w:type="dxa"/>
            <w:vAlign w:val="bottom"/>
            <w:tcBorders>
              <w:right w:val="single" w:sz="8" w:color="BFA071"/>
            </w:tcBorders>
          </w:tcPr>
          <w:p>
            <w:pPr>
              <w:jc w:val="center"/>
              <w:ind w:right="167"/>
              <w:spacing w:after="0"/>
              <w:rPr>
                <w:sz w:val="20"/>
                <w:szCs w:val="20"/>
                <w:color w:val="auto"/>
              </w:rPr>
            </w:pPr>
            <w:r>
              <w:rPr>
                <w:rFonts w:ascii="Arial" w:cs="Arial" w:eastAsia="Arial" w:hAnsi="Arial"/>
                <w:sz w:val="14"/>
                <w:szCs w:val="14"/>
                <w:color w:val="001641"/>
              </w:rPr>
              <w:t>Talent Committee regularly reviews the</w:t>
            </w:r>
          </w:p>
        </w:tc>
        <w:tc>
          <w:tcPr>
            <w:tcW w:w="0" w:type="dxa"/>
            <w:vAlign w:val="bottom"/>
          </w:tcPr>
          <w:p>
            <w:pPr>
              <w:spacing w:after="0"/>
              <w:rPr>
                <w:sz w:val="1"/>
                <w:szCs w:val="1"/>
                <w:color w:val="auto"/>
              </w:rPr>
            </w:pPr>
          </w:p>
        </w:tc>
      </w:tr>
      <w:tr>
        <w:trPr>
          <w:trHeight w:val="162"/>
        </w:trPr>
        <w:tc>
          <w:tcPr>
            <w:tcW w:w="120" w:type="dxa"/>
            <w:vAlign w:val="bottom"/>
            <w:tcBorders>
              <w:left w:val="single" w:sz="8" w:color="BFA071"/>
            </w:tcBorders>
          </w:tcPr>
          <w:p>
            <w:pPr>
              <w:spacing w:after="0"/>
              <w:rPr>
                <w:sz w:val="14"/>
                <w:szCs w:val="14"/>
                <w:color w:val="auto"/>
              </w:rPr>
            </w:pPr>
          </w:p>
        </w:tc>
        <w:tc>
          <w:tcPr>
            <w:tcW w:w="2860" w:type="dxa"/>
            <w:vAlign w:val="bottom"/>
            <w:tcBorders>
              <w:right w:val="single" w:sz="8" w:color="BFA071"/>
            </w:tcBorders>
          </w:tcPr>
          <w:p>
            <w:pPr>
              <w:jc w:val="center"/>
              <w:ind w:right="67"/>
              <w:spacing w:after="0"/>
              <w:rPr>
                <w:sz w:val="20"/>
                <w:szCs w:val="20"/>
                <w:color w:val="auto"/>
              </w:rPr>
            </w:pPr>
            <w:r>
              <w:rPr>
                <w:rFonts w:ascii="Arial" w:cs="Arial" w:eastAsia="Arial" w:hAnsi="Arial"/>
                <w:sz w:val="14"/>
                <w:szCs w:val="14"/>
                <w:color w:val="001641"/>
              </w:rPr>
              <w:t>members of management on such risks</w:t>
            </w:r>
          </w:p>
        </w:tc>
        <w:tc>
          <w:tcPr>
            <w:tcW w:w="180" w:type="dxa"/>
            <w:vAlign w:val="bottom"/>
            <w:tcBorders>
              <w:right w:val="single" w:sz="8" w:color="BFA071"/>
            </w:tcBorders>
          </w:tcPr>
          <w:p>
            <w:pPr>
              <w:spacing w:after="0"/>
              <w:rPr>
                <w:sz w:val="14"/>
                <w:szCs w:val="14"/>
                <w:color w:val="auto"/>
              </w:rPr>
            </w:pPr>
          </w:p>
        </w:tc>
        <w:tc>
          <w:tcPr>
            <w:tcW w:w="2860" w:type="dxa"/>
            <w:vAlign w:val="bottom"/>
            <w:tcBorders>
              <w:right w:val="single" w:sz="8" w:color="BFA071"/>
            </w:tcBorders>
          </w:tcPr>
          <w:p>
            <w:pPr>
              <w:jc w:val="center"/>
              <w:ind w:right="66"/>
              <w:spacing w:after="0"/>
              <w:rPr>
                <w:sz w:val="20"/>
                <w:szCs w:val="20"/>
                <w:color w:val="auto"/>
              </w:rPr>
            </w:pPr>
            <w:r>
              <w:rPr>
                <w:rFonts w:ascii="Arial" w:cs="Arial" w:eastAsia="Arial" w:hAnsi="Arial"/>
                <w:sz w:val="14"/>
                <w:szCs w:val="14"/>
                <w:color w:val="001641"/>
              </w:rPr>
              <w:t>risks, as applicable, and the Finance</w:t>
            </w:r>
          </w:p>
        </w:tc>
        <w:tc>
          <w:tcPr>
            <w:tcW w:w="200" w:type="dxa"/>
            <w:vAlign w:val="bottom"/>
            <w:tcBorders>
              <w:right w:val="single" w:sz="8" w:color="BFA071"/>
            </w:tcBorders>
          </w:tcPr>
          <w:p>
            <w:pPr>
              <w:spacing w:after="0"/>
              <w:rPr>
                <w:sz w:val="14"/>
                <w:szCs w:val="14"/>
                <w:color w:val="auto"/>
              </w:rPr>
            </w:pPr>
          </w:p>
        </w:tc>
        <w:tc>
          <w:tcPr>
            <w:tcW w:w="2960" w:type="dxa"/>
            <w:vAlign w:val="bottom"/>
            <w:tcBorders>
              <w:right w:val="single" w:sz="8" w:color="BFA071"/>
            </w:tcBorders>
          </w:tcPr>
          <w:p>
            <w:pPr>
              <w:jc w:val="center"/>
              <w:ind w:right="187"/>
              <w:spacing w:after="0"/>
              <w:rPr>
                <w:sz w:val="20"/>
                <w:szCs w:val="20"/>
                <w:color w:val="auto"/>
              </w:rPr>
            </w:pPr>
            <w:r>
              <w:rPr>
                <w:rFonts w:ascii="Arial" w:cs="Arial" w:eastAsia="Arial" w:hAnsi="Arial"/>
                <w:sz w:val="14"/>
                <w:szCs w:val="14"/>
                <w:color w:val="001641"/>
              </w:rPr>
              <w:t>Company’s people and development</w:t>
            </w:r>
          </w:p>
        </w:tc>
        <w:tc>
          <w:tcPr>
            <w:tcW w:w="0" w:type="dxa"/>
            <w:vAlign w:val="bottom"/>
          </w:tcPr>
          <w:p>
            <w:pPr>
              <w:spacing w:after="0"/>
              <w:rPr>
                <w:sz w:val="1"/>
                <w:szCs w:val="1"/>
                <w:color w:val="auto"/>
              </w:rPr>
            </w:pPr>
          </w:p>
        </w:tc>
      </w:tr>
      <w:tr>
        <w:trPr>
          <w:trHeight w:val="162"/>
        </w:trPr>
        <w:tc>
          <w:tcPr>
            <w:tcW w:w="120" w:type="dxa"/>
            <w:vAlign w:val="bottom"/>
            <w:tcBorders>
              <w:left w:val="single" w:sz="8" w:color="BFA071"/>
            </w:tcBorders>
          </w:tcPr>
          <w:p>
            <w:pPr>
              <w:spacing w:after="0"/>
              <w:rPr>
                <w:sz w:val="14"/>
                <w:szCs w:val="14"/>
                <w:color w:val="auto"/>
              </w:rPr>
            </w:pPr>
          </w:p>
        </w:tc>
        <w:tc>
          <w:tcPr>
            <w:tcW w:w="2860" w:type="dxa"/>
            <w:vAlign w:val="bottom"/>
            <w:tcBorders>
              <w:right w:val="single" w:sz="8" w:color="BFA071"/>
            </w:tcBorders>
          </w:tcPr>
          <w:p>
            <w:pPr>
              <w:jc w:val="center"/>
              <w:ind w:right="87"/>
              <w:spacing w:after="0"/>
              <w:rPr>
                <w:sz w:val="20"/>
                <w:szCs w:val="20"/>
                <w:color w:val="auto"/>
              </w:rPr>
            </w:pPr>
            <w:r>
              <w:rPr>
                <w:rFonts w:ascii="Arial" w:cs="Arial" w:eastAsia="Arial" w:hAnsi="Arial"/>
                <w:sz w:val="14"/>
                <w:szCs w:val="14"/>
                <w:color w:val="001641"/>
              </w:rPr>
              <w:t>and opportunities.</w:t>
            </w:r>
          </w:p>
        </w:tc>
        <w:tc>
          <w:tcPr>
            <w:tcW w:w="180" w:type="dxa"/>
            <w:vAlign w:val="bottom"/>
            <w:tcBorders>
              <w:right w:val="single" w:sz="8" w:color="BFA071"/>
            </w:tcBorders>
          </w:tcPr>
          <w:p>
            <w:pPr>
              <w:spacing w:after="0"/>
              <w:rPr>
                <w:sz w:val="14"/>
                <w:szCs w:val="14"/>
                <w:color w:val="auto"/>
              </w:rPr>
            </w:pPr>
          </w:p>
        </w:tc>
        <w:tc>
          <w:tcPr>
            <w:tcW w:w="2860" w:type="dxa"/>
            <w:vAlign w:val="bottom"/>
            <w:tcBorders>
              <w:right w:val="single" w:sz="8" w:color="BFA071"/>
            </w:tcBorders>
          </w:tcPr>
          <w:p>
            <w:pPr>
              <w:jc w:val="center"/>
              <w:ind w:right="46"/>
              <w:spacing w:after="0"/>
              <w:rPr>
                <w:sz w:val="20"/>
                <w:szCs w:val="20"/>
                <w:color w:val="auto"/>
              </w:rPr>
            </w:pPr>
            <w:r>
              <w:rPr>
                <w:rFonts w:ascii="Arial" w:cs="Arial" w:eastAsia="Arial" w:hAnsi="Arial"/>
                <w:sz w:val="14"/>
                <w:szCs w:val="14"/>
                <w:color w:val="001641"/>
              </w:rPr>
              <w:t>Committee directly engages on strategy</w:t>
            </w:r>
          </w:p>
        </w:tc>
        <w:tc>
          <w:tcPr>
            <w:tcW w:w="200" w:type="dxa"/>
            <w:vAlign w:val="bottom"/>
            <w:tcBorders>
              <w:right w:val="single" w:sz="8" w:color="BFA071"/>
            </w:tcBorders>
          </w:tcPr>
          <w:p>
            <w:pPr>
              <w:spacing w:after="0"/>
              <w:rPr>
                <w:sz w:val="14"/>
                <w:szCs w:val="14"/>
                <w:color w:val="auto"/>
              </w:rPr>
            </w:pPr>
          </w:p>
        </w:tc>
        <w:tc>
          <w:tcPr>
            <w:tcW w:w="2960" w:type="dxa"/>
            <w:vAlign w:val="bottom"/>
            <w:tcBorders>
              <w:right w:val="single" w:sz="8" w:color="BFA071"/>
            </w:tcBorders>
          </w:tcPr>
          <w:p>
            <w:pPr>
              <w:jc w:val="center"/>
              <w:ind w:right="187"/>
              <w:spacing w:after="0"/>
              <w:rPr>
                <w:sz w:val="20"/>
                <w:szCs w:val="20"/>
                <w:color w:val="auto"/>
              </w:rPr>
            </w:pPr>
            <w:r>
              <w:rPr>
                <w:rFonts w:ascii="Arial" w:cs="Arial" w:eastAsia="Arial" w:hAnsi="Arial"/>
                <w:sz w:val="14"/>
                <w:szCs w:val="14"/>
                <w:color w:val="001641"/>
              </w:rPr>
              <w:t>strategy.</w:t>
            </w:r>
          </w:p>
        </w:tc>
        <w:tc>
          <w:tcPr>
            <w:tcW w:w="0" w:type="dxa"/>
            <w:vAlign w:val="bottom"/>
          </w:tcPr>
          <w:p>
            <w:pPr>
              <w:spacing w:after="0"/>
              <w:rPr>
                <w:sz w:val="1"/>
                <w:szCs w:val="1"/>
                <w:color w:val="auto"/>
              </w:rPr>
            </w:pPr>
          </w:p>
        </w:tc>
      </w:tr>
      <w:tr>
        <w:trPr>
          <w:trHeight w:val="162"/>
        </w:trPr>
        <w:tc>
          <w:tcPr>
            <w:tcW w:w="120" w:type="dxa"/>
            <w:vAlign w:val="bottom"/>
            <w:tcBorders>
              <w:left w:val="single" w:sz="8" w:color="BFA071"/>
            </w:tcBorders>
          </w:tcPr>
          <w:p>
            <w:pPr>
              <w:spacing w:after="0"/>
              <w:rPr>
                <w:sz w:val="14"/>
                <w:szCs w:val="14"/>
                <w:color w:val="auto"/>
              </w:rPr>
            </w:pPr>
          </w:p>
        </w:tc>
        <w:tc>
          <w:tcPr>
            <w:tcW w:w="2860" w:type="dxa"/>
            <w:vAlign w:val="bottom"/>
            <w:tcBorders>
              <w:right w:val="single" w:sz="8" w:color="BFA071"/>
            </w:tcBorders>
          </w:tcPr>
          <w:p>
            <w:pPr>
              <w:spacing w:after="0"/>
              <w:rPr>
                <w:sz w:val="14"/>
                <w:szCs w:val="14"/>
                <w:color w:val="auto"/>
              </w:rPr>
            </w:pPr>
          </w:p>
        </w:tc>
        <w:tc>
          <w:tcPr>
            <w:tcW w:w="180" w:type="dxa"/>
            <w:vAlign w:val="bottom"/>
            <w:tcBorders>
              <w:right w:val="single" w:sz="8" w:color="BFA071"/>
            </w:tcBorders>
          </w:tcPr>
          <w:p>
            <w:pPr>
              <w:spacing w:after="0"/>
              <w:rPr>
                <w:sz w:val="14"/>
                <w:szCs w:val="14"/>
                <w:color w:val="auto"/>
              </w:rPr>
            </w:pPr>
          </w:p>
        </w:tc>
        <w:tc>
          <w:tcPr>
            <w:tcW w:w="2860" w:type="dxa"/>
            <w:vAlign w:val="bottom"/>
            <w:tcBorders>
              <w:right w:val="single" w:sz="8" w:color="BFA071"/>
            </w:tcBorders>
          </w:tcPr>
          <w:p>
            <w:pPr>
              <w:jc w:val="center"/>
              <w:ind w:right="66"/>
              <w:spacing w:after="0"/>
              <w:rPr>
                <w:sz w:val="20"/>
                <w:szCs w:val="20"/>
                <w:color w:val="auto"/>
              </w:rPr>
            </w:pPr>
            <w:r>
              <w:rPr>
                <w:rFonts w:ascii="Arial" w:cs="Arial" w:eastAsia="Arial" w:hAnsi="Arial"/>
                <w:sz w:val="14"/>
                <w:szCs w:val="14"/>
                <w:color w:val="001641"/>
              </w:rPr>
              <w:t>initiatives, including those impacting</w:t>
            </w:r>
          </w:p>
        </w:tc>
        <w:tc>
          <w:tcPr>
            <w:tcW w:w="200" w:type="dxa"/>
            <w:vAlign w:val="bottom"/>
            <w:tcBorders>
              <w:right w:val="single" w:sz="8" w:color="BFA071"/>
            </w:tcBorders>
          </w:tcPr>
          <w:p>
            <w:pPr>
              <w:spacing w:after="0"/>
              <w:rPr>
                <w:sz w:val="14"/>
                <w:szCs w:val="14"/>
                <w:color w:val="auto"/>
              </w:rPr>
            </w:pPr>
          </w:p>
        </w:tc>
        <w:tc>
          <w:tcPr>
            <w:tcW w:w="2960" w:type="dxa"/>
            <w:vAlign w:val="bottom"/>
            <w:tcBorders>
              <w:right w:val="single" w:sz="8" w:color="BFA071"/>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0" w:type="dxa"/>
            <w:vAlign w:val="bottom"/>
            <w:tcBorders>
              <w:left w:val="single" w:sz="8" w:color="BFA071"/>
              <w:bottom w:val="single" w:sz="8" w:color="BFA071"/>
            </w:tcBorders>
          </w:tcPr>
          <w:p>
            <w:pPr>
              <w:spacing w:after="0"/>
              <w:rPr>
                <w:sz w:val="16"/>
                <w:szCs w:val="16"/>
                <w:color w:val="auto"/>
              </w:rPr>
            </w:pPr>
          </w:p>
        </w:tc>
        <w:tc>
          <w:tcPr>
            <w:tcW w:w="2860" w:type="dxa"/>
            <w:vAlign w:val="bottom"/>
            <w:tcBorders>
              <w:bottom w:val="single" w:sz="8" w:color="BFA071"/>
              <w:right w:val="single" w:sz="8" w:color="BFA071"/>
            </w:tcBorders>
          </w:tcPr>
          <w:p>
            <w:pPr>
              <w:spacing w:after="0"/>
              <w:rPr>
                <w:sz w:val="16"/>
                <w:szCs w:val="16"/>
                <w:color w:val="auto"/>
              </w:rPr>
            </w:pPr>
          </w:p>
        </w:tc>
        <w:tc>
          <w:tcPr>
            <w:tcW w:w="180" w:type="dxa"/>
            <w:vAlign w:val="bottom"/>
            <w:tcBorders>
              <w:right w:val="single" w:sz="8" w:color="BFA071"/>
            </w:tcBorders>
          </w:tcPr>
          <w:p>
            <w:pPr>
              <w:spacing w:after="0"/>
              <w:rPr>
                <w:sz w:val="16"/>
                <w:szCs w:val="16"/>
                <w:color w:val="auto"/>
              </w:rPr>
            </w:pPr>
          </w:p>
        </w:tc>
        <w:tc>
          <w:tcPr>
            <w:tcW w:w="2860" w:type="dxa"/>
            <w:vAlign w:val="bottom"/>
            <w:tcBorders>
              <w:bottom w:val="single" w:sz="8" w:color="BFA071"/>
              <w:right w:val="single" w:sz="8" w:color="BFA071"/>
            </w:tcBorders>
          </w:tcPr>
          <w:p>
            <w:pPr>
              <w:jc w:val="center"/>
              <w:ind w:right="46"/>
              <w:spacing w:after="0"/>
              <w:rPr>
                <w:sz w:val="20"/>
                <w:szCs w:val="20"/>
                <w:color w:val="auto"/>
              </w:rPr>
            </w:pPr>
            <w:r>
              <w:rPr>
                <w:rFonts w:ascii="Arial" w:cs="Arial" w:eastAsia="Arial" w:hAnsi="Arial"/>
                <w:sz w:val="14"/>
                <w:szCs w:val="14"/>
                <w:color w:val="001641"/>
              </w:rPr>
              <w:t>sustainability and corporate citizenship.</w:t>
            </w:r>
          </w:p>
        </w:tc>
        <w:tc>
          <w:tcPr>
            <w:tcW w:w="200" w:type="dxa"/>
            <w:vAlign w:val="bottom"/>
            <w:tcBorders>
              <w:right w:val="single" w:sz="8" w:color="BFA071"/>
            </w:tcBorders>
          </w:tcPr>
          <w:p>
            <w:pPr>
              <w:spacing w:after="0"/>
              <w:rPr>
                <w:sz w:val="16"/>
                <w:szCs w:val="16"/>
                <w:color w:val="auto"/>
              </w:rPr>
            </w:pPr>
          </w:p>
        </w:tc>
        <w:tc>
          <w:tcPr>
            <w:tcW w:w="2960" w:type="dxa"/>
            <w:vAlign w:val="bottom"/>
            <w:tcBorders>
              <w:bottom w:val="single" w:sz="8" w:color="BFA071"/>
              <w:right w:val="single" w:sz="8" w:color="BFA071"/>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CHIEF GLOBAL IMPACT &amp; COMMUNICATIONS OFFICER.</w:t>
      </w:r>
    </w:p>
    <w:p>
      <w:pPr>
        <w:spacing w:after="0" w:line="162"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In April 2022, the Company re-organized its sustainability function by consolidating global sustainability, citizenship and human rights areas under the new role of Chief Global Impact &amp; Communications Officer. Our Chief Global Impact &amp; Communications Officer leads our Global Citizenship &amp; Sustainability Steering Committee, comprised of leaders from across the Company and provides management and oversight of a number of internal working groups across all business functions to define and implement our citizenship and sustainability initiatives and better measure progress to maximize impact. Our Chief Global Impact &amp; Communications Officer reports quarterly to the Nominating Committee and at least annually to the full Board.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CITIZENSHIP AND SUSTAINABILITY KPIs.</w:t>
      </w:r>
    </w:p>
    <w:p>
      <w:pPr>
        <w:spacing w:after="0" w:line="16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 xml:space="preserve">The Nominating Committee receives regular updates on the citizenship and sustainability metrics and goals presented in our Global Citizenship &amp; Sustainability Reports and reports to the Board on such progress. The Board also receives an annual citizenship and sustainability KPI update, annual Climate Risk Report, as well as copies of the Company's sustainability reports, including the annual Global Citizenship &amp; Sustainability Report available on our website at </w:t>
      </w:r>
      <w:r>
        <w:rPr>
          <w:rFonts w:ascii="Arial" w:cs="Arial" w:eastAsia="Arial" w:hAnsi="Arial"/>
          <w:sz w:val="16"/>
          <w:szCs w:val="16"/>
          <w:u w:val="single" w:color="auto"/>
          <w:color w:val="auto"/>
        </w:rPr>
        <w:t>http://corporate.ralphlauren.com</w:t>
      </w:r>
      <w:r>
        <w:rPr>
          <w:rFonts w:ascii="Arial" w:cs="Arial" w:eastAsia="Arial" w:hAnsi="Arial"/>
          <w:sz w:val="16"/>
          <w:szCs w:val="16"/>
          <w:color w:val="auto"/>
        </w:rPr>
        <w:t xml:space="preserve"> by clicking on “Citizenship &amp;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260350</wp:posOffset>
            </wp:positionV>
            <wp:extent cx="128905" cy="11112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9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52" w:name="page53"/>
    <w:bookmarkEnd w:id="5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ANALYSIS OF RISKS ARISING FROM COMPENSATION POLICIES AND PROGRAMS</w:t>
      </w:r>
    </w:p>
    <w:p>
      <w:pPr>
        <w:spacing w:after="0" w:line="153" w:lineRule="exact"/>
        <w:rPr>
          <w:sz w:val="20"/>
          <w:szCs w:val="20"/>
          <w:color w:val="auto"/>
        </w:rPr>
      </w:pPr>
    </w:p>
    <w:p>
      <w:pPr>
        <w:ind w:left="6" w:right="120"/>
        <w:spacing w:after="0" w:line="256" w:lineRule="auto"/>
        <w:rPr>
          <w:sz w:val="20"/>
          <w:szCs w:val="20"/>
          <w:color w:val="auto"/>
        </w:rPr>
      </w:pPr>
      <w:r>
        <w:rPr>
          <w:rFonts w:ascii="Arial" w:cs="Arial" w:eastAsia="Arial" w:hAnsi="Arial"/>
          <w:sz w:val="16"/>
          <w:szCs w:val="16"/>
          <w:color w:val="auto"/>
        </w:rPr>
        <w:t>At the beginning of Fiscal 2026, consistent with its annual review process, the Talent Committee reviewed an assessment by management of our compensation programs and practices for our employees, including our executive and non-executive programs and practices. This annual assessment focused on program design features and controls to evaluate whether such programs encourage unnecessary or excessive risk taking, and how policies and programs are structured to mitigate any such risks.</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Selected key elements of our compensation programs that were reviewed include the following:</w:t>
      </w:r>
    </w:p>
    <w:p>
      <w:pPr>
        <w:sectPr>
          <w:pgSz w:w="11900" w:h="16838" w:orient="portrait"/>
          <w:cols w:equalWidth="0" w:num="1">
            <w:col w:w="9166"/>
          </w:cols>
          <w:pgMar w:left="1354" w:top="114" w:right="1379" w:bottom="1440" w:gutter="0" w:footer="0" w:header="0"/>
        </w:sectPr>
      </w:pPr>
    </w:p>
    <w:p>
      <w:pPr>
        <w:spacing w:after="0" w:line="208" w:lineRule="exact"/>
        <w:rPr>
          <w:sz w:val="20"/>
          <w:szCs w:val="20"/>
          <w:color w:val="auto"/>
        </w:rPr>
      </w:pPr>
    </w:p>
    <w:p>
      <w:pPr>
        <w:ind w:left="166" w:hanging="166"/>
        <w:spacing w:after="0" w:line="297" w:lineRule="auto"/>
        <w:tabs>
          <w:tab w:leader="none" w:pos="166"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Pay Mix and Structure. </w:t>
      </w:r>
      <w:r>
        <w:rPr>
          <w:rFonts w:ascii="Arial" w:cs="Arial" w:eastAsia="Arial" w:hAnsi="Arial"/>
          <w:sz w:val="16"/>
          <w:szCs w:val="16"/>
          <w:color w:val="auto"/>
        </w:rPr>
        <w:t>Our executive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appropriately balance both short-term and long-term performance through our annual cash incentive bonus program and long-term equity awards. Equity awards granted in Fiscal 2025 deliver value to employees through stock price appreciation and Company performance. A significant portion of variable pay is delivered through equity awards with vesting schedules covering multiple years, thus emphasizing long-term Company performance and retention.</w:t>
      </w:r>
    </w:p>
    <w:p>
      <w:pPr>
        <w:spacing w:after="0" w:line="99" w:lineRule="exact"/>
        <w:rPr>
          <w:rFonts w:ascii="Arial" w:cs="Arial" w:eastAsia="Arial" w:hAnsi="Arial"/>
          <w:sz w:val="16"/>
          <w:szCs w:val="16"/>
          <w:color w:val="auto"/>
        </w:rPr>
      </w:pPr>
    </w:p>
    <w:p>
      <w:pPr>
        <w:ind w:left="166" w:hanging="166"/>
        <w:spacing w:after="0" w:line="300" w:lineRule="auto"/>
        <w:tabs>
          <w:tab w:leader="none" w:pos="166"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Incentive Caps. </w:t>
      </w:r>
      <w:r>
        <w:rPr>
          <w:rFonts w:ascii="Arial" w:cs="Arial" w:eastAsia="Arial" w:hAnsi="Arial"/>
          <w:sz w:val="16"/>
          <w:szCs w:val="16"/>
          <w:color w:val="auto"/>
        </w:rPr>
        <w:t>Our executive annual cash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bonus plan as well as our non-executive bonus plans do not allow for unlimited payouts. We believe that the range of payouts should be capped to avoid encouraging decisions that maximize short-term gain at the expense of long-term viability. In addition to the caps on all cash incentive bonus awards, the payout on performance share units (“PSUs”) cannot exceed a fixed percentage above target levels.</w:t>
      </w:r>
    </w:p>
    <w:p>
      <w:pPr>
        <w:spacing w:after="0" w:line="77" w:lineRule="exact"/>
        <w:rPr>
          <w:rFonts w:ascii="Arial" w:cs="Arial" w:eastAsia="Arial" w:hAnsi="Arial"/>
          <w:sz w:val="16"/>
          <w:szCs w:val="16"/>
          <w:color w:val="auto"/>
        </w:rPr>
      </w:pPr>
    </w:p>
    <w:p>
      <w:pPr>
        <w:ind w:left="166" w:hanging="166"/>
        <w:spacing w:after="0" w:line="295" w:lineRule="auto"/>
        <w:tabs>
          <w:tab w:leader="none" w:pos="166"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Performance. </w:t>
      </w:r>
      <w:r>
        <w:rPr>
          <w:rFonts w:ascii="Arial" w:cs="Arial" w:eastAsia="Arial" w:hAnsi="Arial"/>
          <w:sz w:val="16"/>
          <w:szCs w:val="16"/>
          <w:color w:val="auto"/>
        </w:rPr>
        <w:t>To strengthen the relationship between pay</w:t>
      </w:r>
      <w:r>
        <w:rPr>
          <w:rFonts w:ascii="Arial" w:cs="Arial" w:eastAsia="Arial" w:hAnsi="Arial"/>
          <w:sz w:val="16"/>
          <w:szCs w:val="16"/>
          <w:b w:val="1"/>
          <w:bCs w:val="1"/>
          <w:color w:val="auto"/>
        </w:rPr>
        <w:t xml:space="preserve"> </w:t>
      </w:r>
      <w:r>
        <w:rPr>
          <w:rFonts w:ascii="Arial" w:cs="Arial" w:eastAsia="Arial" w:hAnsi="Arial"/>
          <w:sz w:val="16"/>
          <w:szCs w:val="16"/>
          <w:color w:val="auto"/>
        </w:rPr>
        <w:t>and performance, our executive annual cash incentive bonus plan and our non-executive commission and bonus plans are subject to the achievement of pre-established performance goals, which are established independently of plan participants at the beginning of each fiscal year. We believe that for Fiscal 2026 our incentive plan metrics were appropriately balanced between short-term incentives such as Total Company Revenue and Adjusted Operating Profit Margin, strategic growth drivers revenue, which consisted of Women’s Apparel, Outerwear, and Handbags &amp; Small Leather Goods, an Adjusted SG&amp;A Expense metric, and AI metrics for the executive annual cash incentive bonus plan and long-term metrics such as cumulative three-year Adjusted Return on Invested Capital (“Adjusted ROIC”) and relative total shareholder return to a comparator group of companies for our PSUs. These financial metrics were adopted in response to stockholder feedback and in order to align with the Company’s Strategic Plan.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68" w:right="20" w:hanging="168"/>
        <w:spacing w:after="0" w:line="251" w:lineRule="auto"/>
        <w:tabs>
          <w:tab w:leader="none" w:pos="168"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Change in Control Policy. </w:t>
      </w:r>
      <w:r>
        <w:rPr>
          <w:rFonts w:ascii="Arial" w:cs="Arial" w:eastAsia="Arial" w:hAnsi="Arial"/>
          <w:sz w:val="16"/>
          <w:szCs w:val="16"/>
          <w:color w:val="auto"/>
        </w:rPr>
        <w:t>The 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arrangements for our NEOs provide for cash payments only upon actual termination of employment. All unvested equity awards are subject to “double-trigger” vesting so that acceleration of vesting does not occur unless the executive’s employment is actually terminated under certain limited circumstances following a change in control. Our employment agreements do not provide for any excise tax gross-up provisions.</w:t>
      </w:r>
    </w:p>
    <w:p>
      <w:pPr>
        <w:spacing w:after="0" w:line="90" w:lineRule="exact"/>
        <w:rPr>
          <w:rFonts w:ascii="Arial" w:cs="Arial" w:eastAsia="Arial" w:hAnsi="Arial"/>
          <w:sz w:val="16"/>
          <w:szCs w:val="16"/>
          <w:color w:val="auto"/>
        </w:rPr>
      </w:pPr>
    </w:p>
    <w:p>
      <w:pPr>
        <w:ind w:left="168" w:hanging="168"/>
        <w:spacing w:after="0" w:line="250" w:lineRule="auto"/>
        <w:tabs>
          <w:tab w:leader="none" w:pos="168"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Ownership Guidelines. </w:t>
      </w:r>
      <w:r>
        <w:rPr>
          <w:rFonts w:ascii="Arial" w:cs="Arial" w:eastAsia="Arial" w:hAnsi="Arial"/>
          <w:sz w:val="16"/>
          <w:szCs w:val="16"/>
          <w:color w:val="auto"/>
        </w:rPr>
        <w:t>We have stock ownership</w:t>
      </w:r>
      <w:r>
        <w:rPr>
          <w:rFonts w:ascii="Arial" w:cs="Arial" w:eastAsia="Arial" w:hAnsi="Arial"/>
          <w:sz w:val="16"/>
          <w:szCs w:val="16"/>
          <w:b w:val="1"/>
          <w:bCs w:val="1"/>
          <w:color w:val="auto"/>
        </w:rPr>
        <w:t xml:space="preserve"> </w:t>
      </w:r>
      <w:r>
        <w:rPr>
          <w:rFonts w:ascii="Arial" w:cs="Arial" w:eastAsia="Arial" w:hAnsi="Arial"/>
          <w:sz w:val="16"/>
          <w:szCs w:val="16"/>
          <w:color w:val="auto"/>
        </w:rPr>
        <w:t>guidelines for our directors, the NEOs, and select other members of our senior management group that are intended to align the interests of these individuals with our stockholders. As a result, such individuals may be less likely to take short-term risk if a meaningful portion of their personal financial investment is linked to our long-term holdings. Further details on the guidelines for non-employee directors and for executives are provided below in the “Director Compensation – Stock Ownership Guidelines” and “Compensation Discussion &amp; Analysis – Executive Stock Ownership Guidelines” sections, respectively.</w:t>
      </w:r>
    </w:p>
    <w:p>
      <w:pPr>
        <w:spacing w:after="0" w:line="89" w:lineRule="exact"/>
        <w:rPr>
          <w:rFonts w:ascii="Arial" w:cs="Arial" w:eastAsia="Arial" w:hAnsi="Arial"/>
          <w:sz w:val="16"/>
          <w:szCs w:val="16"/>
          <w:color w:val="auto"/>
        </w:rPr>
      </w:pPr>
    </w:p>
    <w:p>
      <w:pPr>
        <w:ind w:left="168" w:right="120" w:hanging="168"/>
        <w:spacing w:after="0" w:line="259" w:lineRule="auto"/>
        <w:tabs>
          <w:tab w:leader="none" w:pos="168"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Our NEOs are subject to a clawback</w:t>
      </w:r>
      <w:r>
        <w:rPr>
          <w:rFonts w:ascii="Arial" w:cs="Arial" w:eastAsia="Arial" w:hAnsi="Arial"/>
          <w:sz w:val="16"/>
          <w:szCs w:val="16"/>
          <w:b w:val="1"/>
          <w:bCs w:val="1"/>
          <w:color w:val="auto"/>
        </w:rPr>
        <w:t xml:space="preserve"> </w:t>
      </w:r>
      <w:r>
        <w:rPr>
          <w:rFonts w:ascii="Arial" w:cs="Arial" w:eastAsia="Arial" w:hAnsi="Arial"/>
          <w:sz w:val="16"/>
          <w:szCs w:val="16"/>
          <w:color w:val="auto"/>
        </w:rPr>
        <w:t>policy that provides for the mandatory recoupment of erroneously awarded incentive-based compensation in the event of an accounting restatement.</w:t>
      </w:r>
    </w:p>
    <w:p>
      <w:pPr>
        <w:spacing w:after="0" w:line="96" w:lineRule="exact"/>
        <w:rPr>
          <w:rFonts w:ascii="Arial" w:cs="Arial" w:eastAsia="Arial" w:hAnsi="Arial"/>
          <w:sz w:val="16"/>
          <w:szCs w:val="16"/>
          <w:color w:val="auto"/>
        </w:rPr>
      </w:pPr>
    </w:p>
    <w:p>
      <w:pPr>
        <w:ind w:left="168" w:right="120" w:hanging="168"/>
        <w:spacing w:after="0" w:line="250" w:lineRule="auto"/>
        <w:tabs>
          <w:tab w:leader="none" w:pos="168"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Anti-Hedging and Anti-Pledging Policies. </w:t>
      </w:r>
      <w:r>
        <w:rPr>
          <w:rFonts w:ascii="Arial" w:cs="Arial" w:eastAsia="Arial" w:hAnsi="Arial"/>
          <w:sz w:val="16"/>
          <w:szCs w:val="16"/>
          <w:color w:val="auto"/>
        </w:rPr>
        <w:t>Our NEOs as</w:t>
      </w:r>
      <w:r>
        <w:rPr>
          <w:rFonts w:ascii="Arial" w:cs="Arial" w:eastAsia="Arial" w:hAnsi="Arial"/>
          <w:sz w:val="16"/>
          <w:szCs w:val="16"/>
          <w:b w:val="1"/>
          <w:bCs w:val="1"/>
          <w:color w:val="auto"/>
        </w:rPr>
        <w:t xml:space="preserve"> </w:t>
      </w:r>
      <w:r>
        <w:rPr>
          <w:rFonts w:ascii="Arial" w:cs="Arial" w:eastAsia="Arial" w:hAnsi="Arial"/>
          <w:sz w:val="16"/>
          <w:szCs w:val="16"/>
          <w:color w:val="auto"/>
        </w:rPr>
        <w:t>well as Board members are prohibited from pledging Company securities as collateral for a loan or from holding Company securities in a margin account. In addition, all employees and Board members are prohibited from hedging Company securities, whether or not issued by the Company, including by way of forward contracts, equity swaps, collars, exchange funds, or other financial instruments that are designed to hedge or offset any decrease in the market value of the Company’s securities.</w:t>
      </w:r>
    </w:p>
    <w:p>
      <w:pPr>
        <w:spacing w:after="0" w:line="1647" w:lineRule="exact"/>
        <w:rPr>
          <w:sz w:val="20"/>
          <w:szCs w:val="20"/>
          <w:color w:val="auto"/>
        </w:rPr>
      </w:pPr>
    </w:p>
    <w:p>
      <w:pPr>
        <w:sectPr>
          <w:pgSz w:w="11900" w:h="16838" w:orient="portrait"/>
          <w:cols w:equalWidth="0" w:num="2">
            <w:col w:w="4466" w:space="232"/>
            <w:col w:w="4468"/>
          </w:cols>
          <w:pgMar w:left="1354" w:top="114" w:right="1379" w:bottom="1440" w:gutter="0" w:footer="0" w:header="0"/>
          <w:type w:val="continuous"/>
        </w:sectPr>
      </w:pPr>
    </w:p>
    <w:p>
      <w:pPr>
        <w:ind w:left="6" w:right="240"/>
        <w:spacing w:after="0" w:line="286" w:lineRule="auto"/>
        <w:rPr>
          <w:sz w:val="20"/>
          <w:szCs w:val="20"/>
          <w:color w:val="auto"/>
        </w:rPr>
      </w:pPr>
      <w:r>
        <w:rPr>
          <w:rFonts w:ascii="Arial" w:cs="Arial" w:eastAsia="Arial" w:hAnsi="Arial"/>
          <w:sz w:val="16"/>
          <w:szCs w:val="16"/>
          <w:color w:val="auto"/>
        </w:rPr>
        <w:t>As a result of this review, the Talent Committee determined that any risks that may result from our compensation policies and practices for our employees are not reasonably likely to have a material adverse effect on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66"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42</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DIRECTOR NOMINATION PROCEDURES</w:t>
      </w:r>
    </w:p>
    <w:p>
      <w:pPr>
        <w:spacing w:after="0" w:line="15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Board is comprised of individuals with diverse backgrounds, skill sets and business experiences, including financial expertise, active leadership, CEO experience in a variety of industries, international experience, product and channel experience, strong retail and digital commerce experience, digital and technology experience, including artificial intelligence, media and entertainment experience, and corporate citizenship, sustainability, regulatory governance, government affairs, and academic expertise. Our Board members also have extensive experience on the boards of other companies and organizations, which provides an understanding of different business strategies and challenges. In seeking new Board members, we focus on adding new and diverse backgrounds, skills and experiences necessary to oversee the Company’s global business strategy and initiatives and fulfill the Board’s risk oversight obligations. Our recent Board evolution is aligned with the strategic initiatives of our Chairman and our CEO and are complementary to the depth of knowledge and experience currently on our Board.</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As part of our Board evolution efforts, we were pleased to appoint Cesar Conde to our Board in January 2026, who brings extensive experience in media, entertainment, content production and distribution, global digital transformation and business leadership. Mr. Conde’s experience and background and our continued Board evolution are aligned with the strategic initiatives of our Chairman and our CEO and are complementary to the depth of knowledge and experience currently on our Board.</w:t>
      </w:r>
    </w:p>
    <w:p>
      <w:pPr>
        <w:spacing w:after="0" w:line="12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Nominating Committee identifies and evaluates candidates for nomination as directors and submits its recommendations to the full Board for its consideration. The Nominating Committee, guided by the membership criteria established by the Board in our Corporate Governance Policies, seeks highly qualified candidates who combine a broad spectrum of experience and expertise with a reputation for integrity. We maintain a significant majority of independent directors, and the Board considers a number of factors in selecting director candidates at each annual meeting. Although we do not have a formal policy concerning diversity considerations, the Nominating Committee seeks nominees with a broad range of experience from a variety of industries across geographies and professional disciplines, such as finance, professional services, retail, digital commerce, technology and artificial intelligence, and corporate citizenship, along with backgrounds that reflect our Company’s values and are relevant to our business strategy in determining the appropriate composition of the Board and identifying director nominees for election or reelection to our Board. When the Nominating Committee identifies an area in which the Board may benefit from greater representation, it may focus its candidate search on particular relevant experiences, backgrounds, and skillsets.</w:t>
      </w:r>
    </w:p>
    <w:p>
      <w:pPr>
        <w:spacing w:after="0" w:line="13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addition, the Board considers the contributions the individual can make to the Board and management as we strive for a body of directors reflecting backgrounds, professional experiences and expertise necessary for the Board to fulfill its responsibilities and leading to a more effective oversight and decision-making process. In the Board’s annual performance evaluation, one of the factors that the Board expressly considers is whether the membership of the Board provides an adequate mix of characteristics, experience, and skills to serve the Company and its stockholders effectively.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260350</wp:posOffset>
            </wp:positionV>
            <wp:extent cx="128905" cy="1117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39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BOARD NOMINEE SKILLS AND DIVERSITY MATRIX</w:t>
      </w:r>
    </w:p>
    <w:p>
      <w:pPr>
        <w:spacing w:after="0" w:line="16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As presented in the chart below, we believe our Board nominees offer a broad range of key skills and experiences to provide effective oversight of the Company and create long-term sustainable growth for our Company through successful execution of the Company’s strategic plan. Below is a high-level summary which highlights certain of the Board nominees’ skills, qualifications and experiences and is not intended to be an exhaustive list of each director nominee’s contributions to the Board. A diversity matrix is also provided.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BALANCED MIX OF SKILLS, QUALIFICATIONS AND EXPERIENCE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vMerge w:val="restart"/>
            <w:shd w:val="clear" w:color="auto" w:fill="001641"/>
          </w:tcPr>
          <w:p>
            <w:pPr>
              <w:ind w:left="40"/>
              <w:spacing w:after="0"/>
              <w:rPr>
                <w:sz w:val="20"/>
                <w:szCs w:val="20"/>
                <w:color w:val="auto"/>
              </w:rPr>
            </w:pPr>
            <w:r>
              <w:rPr>
                <w:rFonts w:ascii="Arial" w:cs="Arial" w:eastAsia="Arial" w:hAnsi="Arial"/>
                <w:sz w:val="13"/>
                <w:szCs w:val="13"/>
                <w:b w:val="1"/>
                <w:bCs w:val="1"/>
                <w:color w:val="FFFFFF"/>
              </w:rPr>
              <w:t>Name</w:t>
            </w:r>
          </w:p>
        </w:tc>
        <w:tc>
          <w:tcPr>
            <w:tcW w:w="780" w:type="dxa"/>
            <w:vAlign w:val="bottom"/>
            <w:shd w:val="clear" w:color="auto" w:fill="001641"/>
          </w:tcPr>
          <w:p>
            <w:pPr>
              <w:jc w:val="center"/>
              <w:ind w:left="17"/>
              <w:spacing w:after="0"/>
              <w:rPr>
                <w:sz w:val="20"/>
                <w:szCs w:val="20"/>
                <w:color w:val="auto"/>
              </w:rPr>
            </w:pPr>
            <w:r>
              <w:rPr>
                <w:rFonts w:ascii="Arial" w:cs="Arial" w:eastAsia="Arial" w:hAnsi="Arial"/>
                <w:sz w:val="13"/>
                <w:szCs w:val="13"/>
                <w:b w:val="1"/>
                <w:bCs w:val="1"/>
                <w:color w:val="FFFFFF"/>
                <w:w w:val="96"/>
              </w:rPr>
              <w:t>Angela</w:t>
            </w:r>
          </w:p>
        </w:tc>
        <w:tc>
          <w:tcPr>
            <w:tcW w:w="860" w:type="dxa"/>
            <w:vAlign w:val="bottom"/>
            <w:shd w:val="clear" w:color="auto" w:fill="001641"/>
          </w:tcPr>
          <w:p>
            <w:pPr>
              <w:jc w:val="center"/>
              <w:spacing w:after="0"/>
              <w:rPr>
                <w:sz w:val="20"/>
                <w:szCs w:val="20"/>
                <w:color w:val="auto"/>
              </w:rPr>
            </w:pPr>
            <w:r>
              <w:rPr>
                <w:rFonts w:ascii="Arial" w:cs="Arial" w:eastAsia="Arial" w:hAnsi="Arial"/>
                <w:sz w:val="13"/>
                <w:szCs w:val="13"/>
                <w:b w:val="1"/>
                <w:bCs w:val="1"/>
                <w:color w:val="FFFFFF"/>
                <w:w w:val="96"/>
              </w:rPr>
              <w:t>Frank A.</w:t>
            </w:r>
          </w:p>
        </w:tc>
        <w:tc>
          <w:tcPr>
            <w:tcW w:w="540" w:type="dxa"/>
            <w:vAlign w:val="bottom"/>
            <w:shd w:val="clear" w:color="auto" w:fill="001641"/>
          </w:tcPr>
          <w:p>
            <w:pPr>
              <w:ind w:left="80"/>
              <w:spacing w:after="0"/>
              <w:rPr>
                <w:sz w:val="20"/>
                <w:szCs w:val="20"/>
                <w:color w:val="auto"/>
              </w:rPr>
            </w:pPr>
            <w:r>
              <w:rPr>
                <w:rFonts w:ascii="Arial" w:cs="Arial" w:eastAsia="Arial" w:hAnsi="Arial"/>
                <w:sz w:val="13"/>
                <w:szCs w:val="13"/>
                <w:b w:val="1"/>
                <w:bCs w:val="1"/>
                <w:color w:val="FFFFFF"/>
              </w:rPr>
              <w:t>Cesar</w:t>
            </w:r>
          </w:p>
        </w:tc>
        <w:tc>
          <w:tcPr>
            <w:tcW w:w="500" w:type="dxa"/>
            <w:vAlign w:val="bottom"/>
            <w:shd w:val="clear" w:color="auto" w:fill="001641"/>
          </w:tcPr>
          <w:p>
            <w:pPr>
              <w:ind w:left="80"/>
              <w:spacing w:after="0"/>
              <w:rPr>
                <w:sz w:val="20"/>
                <w:szCs w:val="20"/>
                <w:color w:val="auto"/>
              </w:rPr>
            </w:pPr>
            <w:r>
              <w:rPr>
                <w:rFonts w:ascii="Arial" w:cs="Arial" w:eastAsia="Arial" w:hAnsi="Arial"/>
                <w:sz w:val="13"/>
                <w:szCs w:val="13"/>
                <w:b w:val="1"/>
                <w:bCs w:val="1"/>
                <w:color w:val="FFFFFF"/>
              </w:rPr>
              <w:t>Debra</w:t>
            </w:r>
          </w:p>
        </w:tc>
        <w:tc>
          <w:tcPr>
            <w:tcW w:w="580" w:type="dxa"/>
            <w:vAlign w:val="bottom"/>
            <w:shd w:val="clear" w:color="auto" w:fill="001641"/>
          </w:tcPr>
          <w:p>
            <w:pPr>
              <w:jc w:val="center"/>
              <w:spacing w:after="0"/>
              <w:rPr>
                <w:sz w:val="20"/>
                <w:szCs w:val="20"/>
                <w:color w:val="auto"/>
              </w:rPr>
            </w:pPr>
            <w:r>
              <w:rPr>
                <w:rFonts w:ascii="Arial" w:cs="Arial" w:eastAsia="Arial" w:hAnsi="Arial"/>
                <w:sz w:val="13"/>
                <w:szCs w:val="13"/>
                <w:b w:val="1"/>
                <w:bCs w:val="1"/>
                <w:color w:val="FFFFFF"/>
                <w:w w:val="97"/>
              </w:rPr>
              <w:t>Linda</w:t>
            </w:r>
          </w:p>
        </w:tc>
        <w:tc>
          <w:tcPr>
            <w:tcW w:w="780" w:type="dxa"/>
            <w:vAlign w:val="bottom"/>
            <w:shd w:val="clear" w:color="auto" w:fill="001641"/>
          </w:tcPr>
          <w:p>
            <w:pPr>
              <w:jc w:val="center"/>
              <w:spacing w:after="0"/>
              <w:rPr>
                <w:sz w:val="20"/>
                <w:szCs w:val="20"/>
                <w:color w:val="auto"/>
              </w:rPr>
            </w:pPr>
            <w:r>
              <w:rPr>
                <w:rFonts w:ascii="Arial" w:cs="Arial" w:eastAsia="Arial" w:hAnsi="Arial"/>
                <w:sz w:val="13"/>
                <w:szCs w:val="13"/>
                <w:b w:val="1"/>
                <w:bCs w:val="1"/>
                <w:color w:val="FFFFFF"/>
                <w:w w:val="96"/>
              </w:rPr>
              <w:t>Michael A.</w:t>
            </w:r>
          </w:p>
        </w:tc>
        <w:tc>
          <w:tcPr>
            <w:tcW w:w="580" w:type="dxa"/>
            <w:vAlign w:val="bottom"/>
            <w:shd w:val="clear" w:color="auto" w:fill="001641"/>
          </w:tcPr>
          <w:p>
            <w:pPr>
              <w:jc w:val="right"/>
              <w:ind w:right="17"/>
              <w:spacing w:after="0"/>
              <w:rPr>
                <w:sz w:val="20"/>
                <w:szCs w:val="20"/>
                <w:color w:val="auto"/>
              </w:rPr>
            </w:pPr>
            <w:r>
              <w:rPr>
                <w:rFonts w:ascii="Arial" w:cs="Arial" w:eastAsia="Arial" w:hAnsi="Arial"/>
                <w:sz w:val="13"/>
                <w:szCs w:val="13"/>
                <w:b w:val="1"/>
                <w:bCs w:val="1"/>
                <w:color w:val="FFFFFF"/>
              </w:rPr>
              <w:t>Valerie</w:t>
            </w:r>
          </w:p>
        </w:tc>
        <w:tc>
          <w:tcPr>
            <w:tcW w:w="560" w:type="dxa"/>
            <w:vAlign w:val="bottom"/>
            <w:shd w:val="clear" w:color="auto" w:fill="001641"/>
          </w:tcPr>
          <w:p>
            <w:pPr>
              <w:jc w:val="center"/>
              <w:spacing w:after="0"/>
              <w:rPr>
                <w:sz w:val="20"/>
                <w:szCs w:val="20"/>
                <w:color w:val="auto"/>
              </w:rPr>
            </w:pPr>
            <w:r>
              <w:rPr>
                <w:rFonts w:ascii="Arial" w:cs="Arial" w:eastAsia="Arial" w:hAnsi="Arial"/>
                <w:sz w:val="13"/>
                <w:szCs w:val="13"/>
                <w:b w:val="1"/>
                <w:bCs w:val="1"/>
                <w:color w:val="FFFFFF"/>
              </w:rPr>
              <w:t>David</w:t>
            </w:r>
          </w:p>
        </w:tc>
        <w:tc>
          <w:tcPr>
            <w:tcW w:w="560" w:type="dxa"/>
            <w:vAlign w:val="bottom"/>
            <w:shd w:val="clear" w:color="auto" w:fill="001641"/>
          </w:tcPr>
          <w:p>
            <w:pPr>
              <w:ind w:left="100"/>
              <w:spacing w:after="0"/>
              <w:rPr>
                <w:sz w:val="20"/>
                <w:szCs w:val="20"/>
                <w:color w:val="auto"/>
              </w:rPr>
            </w:pPr>
            <w:r>
              <w:rPr>
                <w:rFonts w:ascii="Arial" w:cs="Arial" w:eastAsia="Arial" w:hAnsi="Arial"/>
                <w:sz w:val="13"/>
                <w:szCs w:val="13"/>
                <w:b w:val="1"/>
                <w:bCs w:val="1"/>
                <w:color w:val="FFFFFF"/>
              </w:rPr>
              <w:t>Ralph</w:t>
            </w:r>
          </w:p>
        </w:tc>
        <w:tc>
          <w:tcPr>
            <w:tcW w:w="580" w:type="dxa"/>
            <w:vAlign w:val="bottom"/>
            <w:shd w:val="clear" w:color="auto" w:fill="001641"/>
          </w:tcPr>
          <w:p>
            <w:pPr>
              <w:ind w:left="80"/>
              <w:spacing w:after="0"/>
              <w:rPr>
                <w:sz w:val="20"/>
                <w:szCs w:val="20"/>
                <w:color w:val="auto"/>
              </w:rPr>
            </w:pPr>
            <w:r>
              <w:rPr>
                <w:rFonts w:ascii="Arial" w:cs="Arial" w:eastAsia="Arial" w:hAnsi="Arial"/>
                <w:sz w:val="13"/>
                <w:szCs w:val="13"/>
                <w:b w:val="1"/>
                <w:bCs w:val="1"/>
                <w:color w:val="FFFFFF"/>
              </w:rPr>
              <w:t>Patrice</w:t>
            </w:r>
          </w:p>
        </w:tc>
        <w:tc>
          <w:tcPr>
            <w:tcW w:w="540" w:type="dxa"/>
            <w:vAlign w:val="bottom"/>
            <w:shd w:val="clear" w:color="auto" w:fill="001641"/>
          </w:tcPr>
          <w:p>
            <w:pPr>
              <w:ind w:left="60"/>
              <w:spacing w:after="0"/>
              <w:rPr>
                <w:sz w:val="20"/>
                <w:szCs w:val="20"/>
                <w:color w:val="auto"/>
              </w:rPr>
            </w:pPr>
            <w:r>
              <w:rPr>
                <w:rFonts w:ascii="Arial" w:cs="Arial" w:eastAsia="Arial" w:hAnsi="Arial"/>
                <w:sz w:val="13"/>
                <w:szCs w:val="13"/>
                <w:b w:val="1"/>
                <w:bCs w:val="1"/>
                <w:color w:val="FFFFFF"/>
              </w:rPr>
              <w:t>Darren</w:t>
            </w:r>
          </w:p>
        </w:tc>
        <w:tc>
          <w:tcPr>
            <w:tcW w:w="500" w:type="dxa"/>
            <w:vAlign w:val="bottom"/>
            <w:shd w:val="clear" w:color="auto" w:fill="001641"/>
          </w:tcPr>
          <w:p>
            <w:pPr>
              <w:jc w:val="center"/>
              <w:spacing w:after="0"/>
              <w:rPr>
                <w:sz w:val="20"/>
                <w:szCs w:val="20"/>
                <w:color w:val="auto"/>
              </w:rPr>
            </w:pPr>
            <w:r>
              <w:rPr>
                <w:rFonts w:ascii="Arial" w:cs="Arial" w:eastAsia="Arial" w:hAnsi="Arial"/>
                <w:sz w:val="13"/>
                <w:szCs w:val="13"/>
                <w:b w:val="1"/>
                <w:bCs w:val="1"/>
                <w:color w:val="FFFFFF"/>
                <w:w w:val="94"/>
              </w:rPr>
              <w:t>Wei</w:t>
            </w:r>
          </w:p>
        </w:tc>
        <w:tc>
          <w:tcPr>
            <w:tcW w:w="0" w:type="dxa"/>
            <w:vAlign w:val="bottom"/>
          </w:tcPr>
          <w:p>
            <w:pPr>
              <w:spacing w:after="0"/>
              <w:rPr>
                <w:sz w:val="1"/>
                <w:szCs w:val="1"/>
                <w:color w:val="auto"/>
              </w:rPr>
            </w:pPr>
          </w:p>
        </w:tc>
      </w:tr>
      <w:tr>
        <w:trPr>
          <w:trHeight w:val="200"/>
        </w:trPr>
        <w:tc>
          <w:tcPr>
            <w:tcW w:w="1820" w:type="dxa"/>
            <w:vAlign w:val="bottom"/>
            <w:tcBorders>
              <w:bottom w:val="single" w:sz="8" w:color="001641"/>
            </w:tcBorders>
            <w:vMerge w:val="continue"/>
            <w:shd w:val="clear" w:color="auto" w:fill="001641"/>
          </w:tcPr>
          <w:p>
            <w:pPr>
              <w:spacing w:after="0"/>
              <w:rPr>
                <w:sz w:val="17"/>
                <w:szCs w:val="17"/>
                <w:color w:val="auto"/>
              </w:rPr>
            </w:pPr>
          </w:p>
        </w:tc>
        <w:tc>
          <w:tcPr>
            <w:tcW w:w="780" w:type="dxa"/>
            <w:vAlign w:val="bottom"/>
            <w:tcBorders>
              <w:bottom w:val="single" w:sz="8" w:color="001641"/>
            </w:tcBorders>
            <w:shd w:val="clear" w:color="auto" w:fill="001641"/>
          </w:tcPr>
          <w:p>
            <w:pPr>
              <w:jc w:val="center"/>
              <w:ind w:left="57"/>
              <w:spacing w:after="0"/>
              <w:rPr>
                <w:sz w:val="20"/>
                <w:szCs w:val="20"/>
                <w:color w:val="auto"/>
              </w:rPr>
            </w:pPr>
            <w:r>
              <w:rPr>
                <w:rFonts w:ascii="Arial" w:cs="Arial" w:eastAsia="Arial" w:hAnsi="Arial"/>
                <w:sz w:val="13"/>
                <w:szCs w:val="13"/>
                <w:b w:val="1"/>
                <w:bCs w:val="1"/>
                <w:color w:val="FFFFFF"/>
                <w:w w:val="94"/>
              </w:rPr>
              <w:t>Ahrendts</w:t>
            </w:r>
          </w:p>
        </w:tc>
        <w:tc>
          <w:tcPr>
            <w:tcW w:w="860" w:type="dxa"/>
            <w:vAlign w:val="bottom"/>
            <w:tcBorders>
              <w:bottom w:val="single" w:sz="8" w:color="001641"/>
            </w:tcBorders>
            <w:shd w:val="clear" w:color="auto" w:fill="001641"/>
          </w:tcPr>
          <w:p>
            <w:pPr>
              <w:jc w:val="center"/>
              <w:spacing w:after="0"/>
              <w:rPr>
                <w:sz w:val="20"/>
                <w:szCs w:val="20"/>
                <w:color w:val="auto"/>
              </w:rPr>
            </w:pPr>
            <w:r>
              <w:rPr>
                <w:rFonts w:ascii="Arial" w:cs="Arial" w:eastAsia="Arial" w:hAnsi="Arial"/>
                <w:sz w:val="13"/>
                <w:szCs w:val="13"/>
                <w:b w:val="1"/>
                <w:bCs w:val="1"/>
                <w:color w:val="FFFFFF"/>
                <w:w w:val="95"/>
              </w:rPr>
              <w:t>Bennack, Jr.</w:t>
            </w:r>
          </w:p>
        </w:tc>
        <w:tc>
          <w:tcPr>
            <w:tcW w:w="540" w:type="dxa"/>
            <w:vAlign w:val="bottom"/>
            <w:tcBorders>
              <w:bottom w:val="single" w:sz="8" w:color="001641"/>
            </w:tcBorders>
            <w:shd w:val="clear" w:color="auto" w:fill="001641"/>
          </w:tcPr>
          <w:p>
            <w:pPr>
              <w:ind w:left="80"/>
              <w:spacing w:after="0"/>
              <w:rPr>
                <w:sz w:val="20"/>
                <w:szCs w:val="20"/>
                <w:color w:val="auto"/>
              </w:rPr>
            </w:pPr>
            <w:r>
              <w:rPr>
                <w:rFonts w:ascii="Arial" w:cs="Arial" w:eastAsia="Arial" w:hAnsi="Arial"/>
                <w:sz w:val="13"/>
                <w:szCs w:val="13"/>
                <w:b w:val="1"/>
                <w:bCs w:val="1"/>
                <w:color w:val="FFFFFF"/>
              </w:rPr>
              <w:t>Conde</w:t>
            </w:r>
          </w:p>
        </w:tc>
        <w:tc>
          <w:tcPr>
            <w:tcW w:w="500" w:type="dxa"/>
            <w:vAlign w:val="bottom"/>
            <w:tcBorders>
              <w:bottom w:val="single" w:sz="8" w:color="001641"/>
            </w:tcBorders>
            <w:shd w:val="clear" w:color="auto" w:fill="001641"/>
          </w:tcPr>
          <w:p>
            <w:pPr>
              <w:ind w:left="100"/>
              <w:spacing w:after="0"/>
              <w:rPr>
                <w:sz w:val="20"/>
                <w:szCs w:val="20"/>
                <w:color w:val="auto"/>
              </w:rPr>
            </w:pPr>
            <w:r>
              <w:rPr>
                <w:rFonts w:ascii="Arial" w:cs="Arial" w:eastAsia="Arial" w:hAnsi="Arial"/>
                <w:sz w:val="13"/>
                <w:szCs w:val="13"/>
                <w:b w:val="1"/>
                <w:bCs w:val="1"/>
                <w:color w:val="FFFFFF"/>
              </w:rPr>
              <w:t>Cupp</w:t>
            </w:r>
          </w:p>
        </w:tc>
        <w:tc>
          <w:tcPr>
            <w:tcW w:w="580" w:type="dxa"/>
            <w:vAlign w:val="bottom"/>
            <w:tcBorders>
              <w:bottom w:val="single" w:sz="8" w:color="001641"/>
            </w:tcBorders>
            <w:shd w:val="clear" w:color="auto" w:fill="001641"/>
          </w:tcPr>
          <w:p>
            <w:pPr>
              <w:jc w:val="center"/>
              <w:spacing w:after="0"/>
              <w:rPr>
                <w:sz w:val="20"/>
                <w:szCs w:val="20"/>
                <w:color w:val="auto"/>
              </w:rPr>
            </w:pPr>
            <w:r>
              <w:rPr>
                <w:rFonts w:ascii="Arial" w:cs="Arial" w:eastAsia="Arial" w:hAnsi="Arial"/>
                <w:sz w:val="13"/>
                <w:szCs w:val="13"/>
                <w:b w:val="1"/>
                <w:bCs w:val="1"/>
                <w:color w:val="FFFFFF"/>
                <w:w w:val="96"/>
              </w:rPr>
              <w:t>Findley</w:t>
            </w:r>
          </w:p>
        </w:tc>
        <w:tc>
          <w:tcPr>
            <w:tcW w:w="780" w:type="dxa"/>
            <w:vAlign w:val="bottom"/>
            <w:tcBorders>
              <w:bottom w:val="single" w:sz="8" w:color="001641"/>
            </w:tcBorders>
            <w:shd w:val="clear" w:color="auto" w:fill="001641"/>
          </w:tcPr>
          <w:p>
            <w:pPr>
              <w:jc w:val="center"/>
              <w:spacing w:after="0"/>
              <w:rPr>
                <w:sz w:val="20"/>
                <w:szCs w:val="20"/>
                <w:color w:val="auto"/>
              </w:rPr>
            </w:pPr>
            <w:r>
              <w:rPr>
                <w:rFonts w:ascii="Arial" w:cs="Arial" w:eastAsia="Arial" w:hAnsi="Arial"/>
                <w:sz w:val="13"/>
                <w:szCs w:val="13"/>
                <w:b w:val="1"/>
                <w:bCs w:val="1"/>
                <w:color w:val="FFFFFF"/>
                <w:w w:val="96"/>
              </w:rPr>
              <w:t>George</w:t>
            </w:r>
          </w:p>
        </w:tc>
        <w:tc>
          <w:tcPr>
            <w:tcW w:w="580" w:type="dxa"/>
            <w:vAlign w:val="bottom"/>
            <w:tcBorders>
              <w:bottom w:val="single" w:sz="8" w:color="001641"/>
            </w:tcBorders>
            <w:shd w:val="clear" w:color="auto" w:fill="001641"/>
          </w:tcPr>
          <w:p>
            <w:pPr>
              <w:jc w:val="right"/>
              <w:ind w:right="17"/>
              <w:spacing w:after="0"/>
              <w:rPr>
                <w:sz w:val="20"/>
                <w:szCs w:val="20"/>
                <w:color w:val="auto"/>
              </w:rPr>
            </w:pPr>
            <w:r>
              <w:rPr>
                <w:rFonts w:ascii="Arial" w:cs="Arial" w:eastAsia="Arial" w:hAnsi="Arial"/>
                <w:sz w:val="13"/>
                <w:szCs w:val="13"/>
                <w:b w:val="1"/>
                <w:bCs w:val="1"/>
                <w:color w:val="FFFFFF"/>
              </w:rPr>
              <w:t>Jarrett</w:t>
            </w:r>
          </w:p>
        </w:tc>
        <w:tc>
          <w:tcPr>
            <w:tcW w:w="560" w:type="dxa"/>
            <w:vAlign w:val="bottom"/>
            <w:tcBorders>
              <w:bottom w:val="single" w:sz="8" w:color="001641"/>
            </w:tcBorders>
            <w:shd w:val="clear" w:color="auto" w:fill="001641"/>
          </w:tcPr>
          <w:p>
            <w:pPr>
              <w:jc w:val="center"/>
              <w:spacing w:after="0"/>
              <w:rPr>
                <w:sz w:val="20"/>
                <w:szCs w:val="20"/>
                <w:color w:val="auto"/>
              </w:rPr>
            </w:pPr>
            <w:r>
              <w:rPr>
                <w:rFonts w:ascii="Arial" w:cs="Arial" w:eastAsia="Arial" w:hAnsi="Arial"/>
                <w:sz w:val="13"/>
                <w:szCs w:val="13"/>
                <w:b w:val="1"/>
                <w:bCs w:val="1"/>
                <w:color w:val="FFFFFF"/>
                <w:w w:val="96"/>
              </w:rPr>
              <w:t>Lauren</w:t>
            </w:r>
          </w:p>
        </w:tc>
        <w:tc>
          <w:tcPr>
            <w:tcW w:w="560" w:type="dxa"/>
            <w:vAlign w:val="bottom"/>
            <w:tcBorders>
              <w:bottom w:val="single" w:sz="8" w:color="001641"/>
            </w:tcBorders>
            <w:shd w:val="clear" w:color="auto" w:fill="001641"/>
          </w:tcPr>
          <w:p>
            <w:pPr>
              <w:ind w:left="80"/>
              <w:spacing w:after="0"/>
              <w:rPr>
                <w:sz w:val="20"/>
                <w:szCs w:val="20"/>
                <w:color w:val="auto"/>
              </w:rPr>
            </w:pPr>
            <w:r>
              <w:rPr>
                <w:rFonts w:ascii="Arial" w:cs="Arial" w:eastAsia="Arial" w:hAnsi="Arial"/>
                <w:sz w:val="13"/>
                <w:szCs w:val="13"/>
                <w:b w:val="1"/>
                <w:bCs w:val="1"/>
                <w:color w:val="FFFFFF"/>
              </w:rPr>
              <w:t>Lauren</w:t>
            </w:r>
          </w:p>
        </w:tc>
        <w:tc>
          <w:tcPr>
            <w:tcW w:w="580" w:type="dxa"/>
            <w:vAlign w:val="bottom"/>
            <w:tcBorders>
              <w:bottom w:val="single" w:sz="8" w:color="001641"/>
            </w:tcBorders>
            <w:shd w:val="clear" w:color="auto" w:fill="001641"/>
          </w:tcPr>
          <w:p>
            <w:pPr>
              <w:ind w:left="80"/>
              <w:spacing w:after="0"/>
              <w:rPr>
                <w:sz w:val="20"/>
                <w:szCs w:val="20"/>
                <w:color w:val="auto"/>
              </w:rPr>
            </w:pPr>
            <w:r>
              <w:rPr>
                <w:rFonts w:ascii="Arial" w:cs="Arial" w:eastAsia="Arial" w:hAnsi="Arial"/>
                <w:sz w:val="13"/>
                <w:szCs w:val="13"/>
                <w:b w:val="1"/>
                <w:bCs w:val="1"/>
                <w:color w:val="FFFFFF"/>
              </w:rPr>
              <w:t>Louvet</w:t>
            </w:r>
          </w:p>
        </w:tc>
        <w:tc>
          <w:tcPr>
            <w:tcW w:w="540" w:type="dxa"/>
            <w:vAlign w:val="bottom"/>
            <w:tcBorders>
              <w:bottom w:val="single" w:sz="8" w:color="001641"/>
            </w:tcBorders>
            <w:shd w:val="clear" w:color="auto" w:fill="001641"/>
          </w:tcPr>
          <w:p>
            <w:pPr>
              <w:ind w:left="60"/>
              <w:spacing w:after="0"/>
              <w:rPr>
                <w:sz w:val="20"/>
                <w:szCs w:val="20"/>
                <w:color w:val="auto"/>
              </w:rPr>
            </w:pPr>
            <w:r>
              <w:rPr>
                <w:rFonts w:ascii="Arial" w:cs="Arial" w:eastAsia="Arial" w:hAnsi="Arial"/>
                <w:sz w:val="13"/>
                <w:szCs w:val="13"/>
                <w:b w:val="1"/>
                <w:bCs w:val="1"/>
                <w:color w:val="FFFFFF"/>
              </w:rPr>
              <w:t>Walker</w:t>
            </w:r>
          </w:p>
        </w:tc>
        <w:tc>
          <w:tcPr>
            <w:tcW w:w="500" w:type="dxa"/>
            <w:vAlign w:val="bottom"/>
            <w:tcBorders>
              <w:bottom w:val="single" w:sz="8" w:color="001641"/>
            </w:tcBorders>
            <w:shd w:val="clear" w:color="auto" w:fill="001641"/>
          </w:tcPr>
          <w:p>
            <w:pPr>
              <w:jc w:val="center"/>
              <w:spacing w:after="0"/>
              <w:rPr>
                <w:sz w:val="20"/>
                <w:szCs w:val="20"/>
                <w:color w:val="auto"/>
              </w:rPr>
            </w:pPr>
            <w:r>
              <w:rPr>
                <w:rFonts w:ascii="Arial" w:cs="Arial" w:eastAsia="Arial" w:hAnsi="Arial"/>
                <w:sz w:val="13"/>
                <w:szCs w:val="13"/>
                <w:b w:val="1"/>
                <w:bCs w:val="1"/>
                <w:color w:val="FFFFFF"/>
                <w:w w:val="97"/>
              </w:rPr>
              <w:t>Zhang</w:t>
            </w:r>
          </w:p>
        </w:tc>
        <w:tc>
          <w:tcPr>
            <w:tcW w:w="0" w:type="dxa"/>
            <w:vAlign w:val="bottom"/>
          </w:tcPr>
          <w:p>
            <w:pPr>
              <w:spacing w:after="0"/>
              <w:rPr>
                <w:sz w:val="1"/>
                <w:szCs w:val="1"/>
                <w:color w:val="auto"/>
              </w:rPr>
            </w:pPr>
          </w:p>
        </w:tc>
      </w:tr>
      <w:tr>
        <w:trPr>
          <w:trHeight w:val="237"/>
        </w:trPr>
        <w:tc>
          <w:tcPr>
            <w:tcW w:w="1820" w:type="dxa"/>
            <w:vAlign w:val="bottom"/>
            <w:tcBorders>
              <w:bottom w:val="single" w:sz="8" w:color="BFA071"/>
            </w:tcBorders>
            <w:shd w:val="clear" w:color="auto" w:fill="BFA071"/>
          </w:tcPr>
          <w:p>
            <w:pPr>
              <w:ind w:left="40"/>
              <w:spacing w:after="0"/>
              <w:rPr>
                <w:sz w:val="20"/>
                <w:szCs w:val="20"/>
                <w:color w:val="auto"/>
              </w:rPr>
            </w:pPr>
            <w:r>
              <w:rPr>
                <w:rFonts w:ascii="Arial" w:cs="Arial" w:eastAsia="Arial" w:hAnsi="Arial"/>
                <w:sz w:val="13"/>
                <w:szCs w:val="13"/>
                <w:b w:val="1"/>
                <w:bCs w:val="1"/>
                <w:color w:val="FFFFFF"/>
              </w:rPr>
              <w:t>Attributes/Experiences</w:t>
            </w:r>
          </w:p>
        </w:tc>
        <w:tc>
          <w:tcPr>
            <w:tcW w:w="780" w:type="dxa"/>
            <w:vAlign w:val="bottom"/>
            <w:tcBorders>
              <w:bottom w:val="single" w:sz="8" w:color="BFA071"/>
            </w:tcBorders>
            <w:shd w:val="clear" w:color="auto" w:fill="BFA071"/>
          </w:tcPr>
          <w:p>
            <w:pPr>
              <w:spacing w:after="0"/>
              <w:rPr>
                <w:sz w:val="20"/>
                <w:szCs w:val="20"/>
                <w:color w:val="auto"/>
              </w:rPr>
            </w:pPr>
          </w:p>
        </w:tc>
        <w:tc>
          <w:tcPr>
            <w:tcW w:w="860" w:type="dxa"/>
            <w:vAlign w:val="bottom"/>
            <w:tcBorders>
              <w:bottom w:val="single" w:sz="8" w:color="BFA071"/>
            </w:tcBorders>
            <w:shd w:val="clear" w:color="auto" w:fill="BFA071"/>
          </w:tcPr>
          <w:p>
            <w:pPr>
              <w:spacing w:after="0"/>
              <w:rPr>
                <w:sz w:val="20"/>
                <w:szCs w:val="20"/>
                <w:color w:val="auto"/>
              </w:rPr>
            </w:pPr>
          </w:p>
        </w:tc>
        <w:tc>
          <w:tcPr>
            <w:tcW w:w="540" w:type="dxa"/>
            <w:vAlign w:val="bottom"/>
            <w:tcBorders>
              <w:bottom w:val="single" w:sz="8" w:color="BFA071"/>
            </w:tcBorders>
            <w:shd w:val="clear" w:color="auto" w:fill="BFA071"/>
          </w:tcPr>
          <w:p>
            <w:pPr>
              <w:spacing w:after="0"/>
              <w:rPr>
                <w:sz w:val="20"/>
                <w:szCs w:val="20"/>
                <w:color w:val="auto"/>
              </w:rPr>
            </w:pPr>
          </w:p>
        </w:tc>
        <w:tc>
          <w:tcPr>
            <w:tcW w:w="500" w:type="dxa"/>
            <w:vAlign w:val="bottom"/>
            <w:tcBorders>
              <w:bottom w:val="single" w:sz="8" w:color="BFA071"/>
            </w:tcBorders>
            <w:shd w:val="clear" w:color="auto" w:fill="BFA071"/>
          </w:tcPr>
          <w:p>
            <w:pPr>
              <w:spacing w:after="0"/>
              <w:rPr>
                <w:sz w:val="20"/>
                <w:szCs w:val="20"/>
                <w:color w:val="auto"/>
              </w:rPr>
            </w:pPr>
          </w:p>
        </w:tc>
        <w:tc>
          <w:tcPr>
            <w:tcW w:w="580" w:type="dxa"/>
            <w:vAlign w:val="bottom"/>
            <w:tcBorders>
              <w:bottom w:val="single" w:sz="8" w:color="BFA071"/>
            </w:tcBorders>
            <w:shd w:val="clear" w:color="auto" w:fill="BFA071"/>
          </w:tcPr>
          <w:p>
            <w:pPr>
              <w:spacing w:after="0"/>
              <w:rPr>
                <w:sz w:val="20"/>
                <w:szCs w:val="20"/>
                <w:color w:val="auto"/>
              </w:rPr>
            </w:pPr>
          </w:p>
        </w:tc>
        <w:tc>
          <w:tcPr>
            <w:tcW w:w="780" w:type="dxa"/>
            <w:vAlign w:val="bottom"/>
            <w:tcBorders>
              <w:bottom w:val="single" w:sz="8" w:color="BFA071"/>
            </w:tcBorders>
            <w:shd w:val="clear" w:color="auto" w:fill="BFA071"/>
          </w:tcPr>
          <w:p>
            <w:pPr>
              <w:spacing w:after="0"/>
              <w:rPr>
                <w:sz w:val="20"/>
                <w:szCs w:val="20"/>
                <w:color w:val="auto"/>
              </w:rPr>
            </w:pPr>
          </w:p>
        </w:tc>
        <w:tc>
          <w:tcPr>
            <w:tcW w:w="580" w:type="dxa"/>
            <w:vAlign w:val="bottom"/>
            <w:tcBorders>
              <w:bottom w:val="single" w:sz="8" w:color="BFA071"/>
            </w:tcBorders>
            <w:shd w:val="clear" w:color="auto" w:fill="BFA071"/>
          </w:tcPr>
          <w:p>
            <w:pPr>
              <w:spacing w:after="0"/>
              <w:rPr>
                <w:sz w:val="20"/>
                <w:szCs w:val="20"/>
                <w:color w:val="auto"/>
              </w:rPr>
            </w:pPr>
          </w:p>
        </w:tc>
        <w:tc>
          <w:tcPr>
            <w:tcW w:w="560" w:type="dxa"/>
            <w:vAlign w:val="bottom"/>
            <w:tcBorders>
              <w:bottom w:val="single" w:sz="8" w:color="BFA071"/>
            </w:tcBorders>
            <w:shd w:val="clear" w:color="auto" w:fill="BFA071"/>
          </w:tcPr>
          <w:p>
            <w:pPr>
              <w:spacing w:after="0"/>
              <w:rPr>
                <w:sz w:val="20"/>
                <w:szCs w:val="20"/>
                <w:color w:val="auto"/>
              </w:rPr>
            </w:pPr>
          </w:p>
        </w:tc>
        <w:tc>
          <w:tcPr>
            <w:tcW w:w="560" w:type="dxa"/>
            <w:vAlign w:val="bottom"/>
            <w:tcBorders>
              <w:bottom w:val="single" w:sz="8" w:color="BFA071"/>
            </w:tcBorders>
            <w:shd w:val="clear" w:color="auto" w:fill="BFA071"/>
          </w:tcPr>
          <w:p>
            <w:pPr>
              <w:spacing w:after="0"/>
              <w:rPr>
                <w:sz w:val="20"/>
                <w:szCs w:val="20"/>
                <w:color w:val="auto"/>
              </w:rPr>
            </w:pPr>
          </w:p>
        </w:tc>
        <w:tc>
          <w:tcPr>
            <w:tcW w:w="580" w:type="dxa"/>
            <w:vAlign w:val="bottom"/>
            <w:tcBorders>
              <w:bottom w:val="single" w:sz="8" w:color="BFA071"/>
            </w:tcBorders>
            <w:shd w:val="clear" w:color="auto" w:fill="BFA071"/>
          </w:tcPr>
          <w:p>
            <w:pPr>
              <w:spacing w:after="0"/>
              <w:rPr>
                <w:sz w:val="20"/>
                <w:szCs w:val="20"/>
                <w:color w:val="auto"/>
              </w:rPr>
            </w:pPr>
          </w:p>
        </w:tc>
        <w:tc>
          <w:tcPr>
            <w:tcW w:w="540" w:type="dxa"/>
            <w:vAlign w:val="bottom"/>
            <w:tcBorders>
              <w:bottom w:val="single" w:sz="8" w:color="BFA071"/>
            </w:tcBorders>
            <w:shd w:val="clear" w:color="auto" w:fill="BFA071"/>
          </w:tcPr>
          <w:p>
            <w:pPr>
              <w:spacing w:after="0"/>
              <w:rPr>
                <w:sz w:val="20"/>
                <w:szCs w:val="20"/>
                <w:color w:val="auto"/>
              </w:rPr>
            </w:pPr>
          </w:p>
        </w:tc>
        <w:tc>
          <w:tcPr>
            <w:tcW w:w="500" w:type="dxa"/>
            <w:vAlign w:val="bottom"/>
            <w:tcBorders>
              <w:bottom w:val="single" w:sz="8" w:color="BFA071"/>
            </w:tcBorders>
            <w:shd w:val="clear" w:color="auto" w:fill="BFA071"/>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820" w:type="dxa"/>
            <w:vAlign w:val="bottom"/>
            <w:tcBorders>
              <w:bottom w:val="single" w:sz="8" w:color="BFA071"/>
            </w:tcBorders>
          </w:tcPr>
          <w:p>
            <w:pPr>
              <w:ind w:left="40"/>
              <w:spacing w:after="0"/>
              <w:rPr>
                <w:sz w:val="20"/>
                <w:szCs w:val="20"/>
                <w:color w:val="auto"/>
              </w:rPr>
            </w:pPr>
            <w:r>
              <w:rPr>
                <w:rFonts w:ascii="Arial" w:cs="Arial" w:eastAsia="Arial" w:hAnsi="Arial"/>
                <w:sz w:val="13"/>
                <w:szCs w:val="13"/>
                <w:b w:val="1"/>
                <w:bCs w:val="1"/>
                <w:color w:val="001641"/>
              </w:rPr>
              <w:t>CEO</w:t>
            </w:r>
            <w:r>
              <w:rPr>
                <w:rFonts w:ascii="Arial" w:cs="Arial" w:eastAsia="Arial" w:hAnsi="Arial"/>
                <w:sz w:val="20"/>
                <w:szCs w:val="20"/>
                <w:b w:val="1"/>
                <w:bCs w:val="1"/>
                <w:color w:val="001641"/>
                <w:vertAlign w:val="superscript"/>
              </w:rPr>
              <w:t>1</w:t>
            </w:r>
          </w:p>
        </w:tc>
        <w:tc>
          <w:tcPr>
            <w:tcW w:w="780" w:type="dxa"/>
            <w:vAlign w:val="bottom"/>
            <w:tcBorders>
              <w:bottom w:val="single" w:sz="8" w:color="BFA071"/>
            </w:tcBorders>
          </w:tcPr>
          <w:p>
            <w:pPr>
              <w:spacing w:after="0"/>
              <w:rPr>
                <w:sz w:val="24"/>
                <w:szCs w:val="24"/>
                <w:color w:val="auto"/>
              </w:rPr>
            </w:pPr>
          </w:p>
        </w:tc>
        <w:tc>
          <w:tcPr>
            <w:tcW w:w="860" w:type="dxa"/>
            <w:vAlign w:val="bottom"/>
            <w:tcBorders>
              <w:bottom w:val="single" w:sz="8" w:color="BFA071"/>
            </w:tcBorders>
          </w:tcPr>
          <w:p>
            <w:pPr>
              <w:spacing w:after="0"/>
              <w:rPr>
                <w:sz w:val="24"/>
                <w:szCs w:val="24"/>
                <w:color w:val="auto"/>
              </w:rPr>
            </w:pPr>
          </w:p>
        </w:tc>
        <w:tc>
          <w:tcPr>
            <w:tcW w:w="540" w:type="dxa"/>
            <w:vAlign w:val="bottom"/>
            <w:tcBorders>
              <w:bottom w:val="single" w:sz="8" w:color="BFA071"/>
            </w:tcBorders>
          </w:tcPr>
          <w:p>
            <w:pPr>
              <w:spacing w:after="0"/>
              <w:rPr>
                <w:sz w:val="24"/>
                <w:szCs w:val="24"/>
                <w:color w:val="auto"/>
              </w:rPr>
            </w:pPr>
          </w:p>
        </w:tc>
        <w:tc>
          <w:tcPr>
            <w:tcW w:w="500" w:type="dxa"/>
            <w:vAlign w:val="bottom"/>
            <w:tcBorders>
              <w:bottom w:val="single" w:sz="8" w:color="BFA071"/>
            </w:tcBorders>
          </w:tcPr>
          <w:p>
            <w:pPr>
              <w:spacing w:after="0"/>
              <w:rPr>
                <w:sz w:val="24"/>
                <w:szCs w:val="24"/>
                <w:color w:val="auto"/>
              </w:rPr>
            </w:pPr>
          </w:p>
        </w:tc>
        <w:tc>
          <w:tcPr>
            <w:tcW w:w="580" w:type="dxa"/>
            <w:vAlign w:val="bottom"/>
            <w:tcBorders>
              <w:bottom w:val="single" w:sz="8" w:color="BFA071"/>
            </w:tcBorders>
          </w:tcPr>
          <w:p>
            <w:pPr>
              <w:spacing w:after="0"/>
              <w:rPr>
                <w:sz w:val="24"/>
                <w:szCs w:val="24"/>
                <w:color w:val="auto"/>
              </w:rPr>
            </w:pPr>
          </w:p>
        </w:tc>
        <w:tc>
          <w:tcPr>
            <w:tcW w:w="780" w:type="dxa"/>
            <w:vAlign w:val="bottom"/>
            <w:tcBorders>
              <w:bottom w:val="single" w:sz="8" w:color="BFA071"/>
            </w:tcBorders>
          </w:tcPr>
          <w:p>
            <w:pPr>
              <w:spacing w:after="0"/>
              <w:rPr>
                <w:sz w:val="24"/>
                <w:szCs w:val="24"/>
                <w:color w:val="auto"/>
              </w:rPr>
            </w:pPr>
          </w:p>
        </w:tc>
        <w:tc>
          <w:tcPr>
            <w:tcW w:w="580" w:type="dxa"/>
            <w:vAlign w:val="bottom"/>
            <w:tcBorders>
              <w:bottom w:val="single" w:sz="8" w:color="BFA071"/>
            </w:tcBorders>
          </w:tcPr>
          <w:p>
            <w:pPr>
              <w:spacing w:after="0"/>
              <w:rPr>
                <w:sz w:val="24"/>
                <w:szCs w:val="24"/>
                <w:color w:val="auto"/>
              </w:rPr>
            </w:pPr>
          </w:p>
        </w:tc>
        <w:tc>
          <w:tcPr>
            <w:tcW w:w="560" w:type="dxa"/>
            <w:vAlign w:val="bottom"/>
            <w:tcBorders>
              <w:bottom w:val="single" w:sz="8" w:color="BFA071"/>
            </w:tcBorders>
          </w:tcPr>
          <w:p>
            <w:pPr>
              <w:spacing w:after="0"/>
              <w:rPr>
                <w:sz w:val="24"/>
                <w:szCs w:val="24"/>
                <w:color w:val="auto"/>
              </w:rPr>
            </w:pPr>
          </w:p>
        </w:tc>
        <w:tc>
          <w:tcPr>
            <w:tcW w:w="560" w:type="dxa"/>
            <w:vAlign w:val="bottom"/>
            <w:tcBorders>
              <w:bottom w:val="single" w:sz="8" w:color="BFA071"/>
            </w:tcBorders>
          </w:tcPr>
          <w:p>
            <w:pPr>
              <w:spacing w:after="0"/>
              <w:rPr>
                <w:sz w:val="24"/>
                <w:szCs w:val="24"/>
                <w:color w:val="auto"/>
              </w:rPr>
            </w:pPr>
          </w:p>
        </w:tc>
        <w:tc>
          <w:tcPr>
            <w:tcW w:w="580" w:type="dxa"/>
            <w:vAlign w:val="bottom"/>
            <w:tcBorders>
              <w:bottom w:val="single" w:sz="8" w:color="BFA071"/>
            </w:tcBorders>
          </w:tcPr>
          <w:p>
            <w:pPr>
              <w:spacing w:after="0"/>
              <w:rPr>
                <w:sz w:val="24"/>
                <w:szCs w:val="24"/>
                <w:color w:val="auto"/>
              </w:rPr>
            </w:pPr>
          </w:p>
        </w:tc>
        <w:tc>
          <w:tcPr>
            <w:tcW w:w="540" w:type="dxa"/>
            <w:vAlign w:val="bottom"/>
            <w:tcBorders>
              <w:bottom w:val="single" w:sz="8" w:color="BFA071"/>
            </w:tcBorders>
          </w:tcPr>
          <w:p>
            <w:pPr>
              <w:spacing w:after="0"/>
              <w:rPr>
                <w:sz w:val="24"/>
                <w:szCs w:val="24"/>
                <w:color w:val="auto"/>
              </w:rPr>
            </w:pPr>
          </w:p>
        </w:tc>
        <w:tc>
          <w:tcPr>
            <w:tcW w:w="500" w:type="dxa"/>
            <w:vAlign w:val="bottom"/>
            <w:tcBorders>
              <w:bottom w:val="single" w:sz="8" w:color="BFA071"/>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820" w:type="dxa"/>
            <w:vAlign w:val="bottom"/>
          </w:tcPr>
          <w:p>
            <w:pPr>
              <w:ind w:left="40"/>
              <w:spacing w:after="0"/>
              <w:rPr>
                <w:sz w:val="20"/>
                <w:szCs w:val="20"/>
                <w:color w:val="auto"/>
              </w:rPr>
            </w:pPr>
            <w:r>
              <w:rPr>
                <w:rFonts w:ascii="Arial" w:cs="Arial" w:eastAsia="Arial" w:hAnsi="Arial"/>
                <w:sz w:val="13"/>
                <w:szCs w:val="13"/>
                <w:b w:val="1"/>
                <w:bCs w:val="1"/>
                <w:color w:val="001641"/>
              </w:rPr>
              <w:t>International Experience</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1820" w:type="dxa"/>
            <w:vAlign w:val="bottom"/>
            <w:tcBorders>
              <w:bottom w:val="single" w:sz="8" w:color="BFA071"/>
            </w:tcBorders>
          </w:tcPr>
          <w:p>
            <w:pPr>
              <w:spacing w:after="0"/>
              <w:rPr>
                <w:sz w:val="3"/>
                <w:szCs w:val="3"/>
                <w:color w:val="auto"/>
              </w:rPr>
            </w:pPr>
          </w:p>
        </w:tc>
        <w:tc>
          <w:tcPr>
            <w:tcW w:w="780" w:type="dxa"/>
            <w:vAlign w:val="bottom"/>
            <w:tcBorders>
              <w:bottom w:val="single" w:sz="8" w:color="BFA071"/>
            </w:tcBorders>
          </w:tcPr>
          <w:p>
            <w:pPr>
              <w:spacing w:after="0"/>
              <w:rPr>
                <w:sz w:val="3"/>
                <w:szCs w:val="3"/>
                <w:color w:val="auto"/>
              </w:rPr>
            </w:pPr>
          </w:p>
        </w:tc>
        <w:tc>
          <w:tcPr>
            <w:tcW w:w="860" w:type="dxa"/>
            <w:vAlign w:val="bottom"/>
            <w:tcBorders>
              <w:bottom w:val="single" w:sz="8" w:color="BFA071"/>
            </w:tcBorders>
          </w:tcPr>
          <w:p>
            <w:pPr>
              <w:spacing w:after="0"/>
              <w:rPr>
                <w:sz w:val="3"/>
                <w:szCs w:val="3"/>
                <w:color w:val="auto"/>
              </w:rPr>
            </w:pPr>
          </w:p>
        </w:tc>
        <w:tc>
          <w:tcPr>
            <w:tcW w:w="540" w:type="dxa"/>
            <w:vAlign w:val="bottom"/>
            <w:tcBorders>
              <w:bottom w:val="single" w:sz="8" w:color="BFA071"/>
            </w:tcBorders>
          </w:tcPr>
          <w:p>
            <w:pPr>
              <w:spacing w:after="0"/>
              <w:rPr>
                <w:sz w:val="3"/>
                <w:szCs w:val="3"/>
                <w:color w:val="auto"/>
              </w:rPr>
            </w:pPr>
          </w:p>
        </w:tc>
        <w:tc>
          <w:tcPr>
            <w:tcW w:w="50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78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560" w:type="dxa"/>
            <w:vAlign w:val="bottom"/>
            <w:tcBorders>
              <w:bottom w:val="single" w:sz="8" w:color="BFA071"/>
            </w:tcBorders>
          </w:tcPr>
          <w:p>
            <w:pPr>
              <w:spacing w:after="0"/>
              <w:rPr>
                <w:sz w:val="3"/>
                <w:szCs w:val="3"/>
                <w:color w:val="auto"/>
              </w:rPr>
            </w:pPr>
          </w:p>
        </w:tc>
        <w:tc>
          <w:tcPr>
            <w:tcW w:w="56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540" w:type="dxa"/>
            <w:vAlign w:val="bottom"/>
            <w:tcBorders>
              <w:bottom w:val="single" w:sz="8" w:color="BFA071"/>
            </w:tcBorders>
          </w:tcPr>
          <w:p>
            <w:pPr>
              <w:spacing w:after="0"/>
              <w:rPr>
                <w:sz w:val="3"/>
                <w:szCs w:val="3"/>
                <w:color w:val="auto"/>
              </w:rPr>
            </w:pPr>
          </w:p>
        </w:tc>
        <w:tc>
          <w:tcPr>
            <w:tcW w:w="500" w:type="dxa"/>
            <w:vAlign w:val="bottom"/>
            <w:tcBorders>
              <w:bottom w:val="single" w:sz="8" w:color="BFA071"/>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1820" w:type="dxa"/>
            <w:vAlign w:val="bottom"/>
          </w:tcPr>
          <w:p>
            <w:pPr>
              <w:ind w:left="40"/>
              <w:spacing w:after="0"/>
              <w:rPr>
                <w:sz w:val="20"/>
                <w:szCs w:val="20"/>
                <w:color w:val="auto"/>
              </w:rPr>
            </w:pPr>
            <w:r>
              <w:rPr>
                <w:rFonts w:ascii="Arial" w:cs="Arial" w:eastAsia="Arial" w:hAnsi="Arial"/>
                <w:sz w:val="13"/>
                <w:szCs w:val="13"/>
                <w:b w:val="1"/>
                <w:bCs w:val="1"/>
                <w:color w:val="001641"/>
              </w:rPr>
              <w:t>Additional Public</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20" w:type="dxa"/>
            <w:vAlign w:val="bottom"/>
          </w:tcPr>
          <w:p>
            <w:pPr>
              <w:ind w:left="40"/>
              <w:spacing w:after="0"/>
              <w:rPr>
                <w:sz w:val="20"/>
                <w:szCs w:val="20"/>
                <w:color w:val="auto"/>
              </w:rPr>
            </w:pPr>
            <w:r>
              <w:rPr>
                <w:rFonts w:ascii="Arial" w:cs="Arial" w:eastAsia="Arial" w:hAnsi="Arial"/>
                <w:sz w:val="13"/>
                <w:szCs w:val="13"/>
                <w:b w:val="1"/>
                <w:bCs w:val="1"/>
                <w:color w:val="001641"/>
              </w:rPr>
              <w:t>Company Executive</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1820" w:type="dxa"/>
            <w:vAlign w:val="bottom"/>
            <w:tcBorders>
              <w:bottom w:val="single" w:sz="8" w:color="BFA071"/>
            </w:tcBorders>
          </w:tcPr>
          <w:p>
            <w:pPr>
              <w:spacing w:after="0"/>
              <w:rPr>
                <w:sz w:val="3"/>
                <w:szCs w:val="3"/>
                <w:color w:val="auto"/>
              </w:rPr>
            </w:pPr>
          </w:p>
        </w:tc>
        <w:tc>
          <w:tcPr>
            <w:tcW w:w="780" w:type="dxa"/>
            <w:vAlign w:val="bottom"/>
            <w:tcBorders>
              <w:bottom w:val="single" w:sz="8" w:color="BFA071"/>
            </w:tcBorders>
          </w:tcPr>
          <w:p>
            <w:pPr>
              <w:spacing w:after="0"/>
              <w:rPr>
                <w:sz w:val="3"/>
                <w:szCs w:val="3"/>
                <w:color w:val="auto"/>
              </w:rPr>
            </w:pPr>
          </w:p>
        </w:tc>
        <w:tc>
          <w:tcPr>
            <w:tcW w:w="860" w:type="dxa"/>
            <w:vAlign w:val="bottom"/>
            <w:tcBorders>
              <w:bottom w:val="single" w:sz="8" w:color="BFA071"/>
            </w:tcBorders>
          </w:tcPr>
          <w:p>
            <w:pPr>
              <w:spacing w:after="0"/>
              <w:rPr>
                <w:sz w:val="3"/>
                <w:szCs w:val="3"/>
                <w:color w:val="auto"/>
              </w:rPr>
            </w:pPr>
          </w:p>
        </w:tc>
        <w:tc>
          <w:tcPr>
            <w:tcW w:w="540" w:type="dxa"/>
            <w:vAlign w:val="bottom"/>
            <w:tcBorders>
              <w:bottom w:val="single" w:sz="8" w:color="BFA071"/>
            </w:tcBorders>
          </w:tcPr>
          <w:p>
            <w:pPr>
              <w:spacing w:after="0"/>
              <w:rPr>
                <w:sz w:val="3"/>
                <w:szCs w:val="3"/>
                <w:color w:val="auto"/>
              </w:rPr>
            </w:pPr>
          </w:p>
        </w:tc>
        <w:tc>
          <w:tcPr>
            <w:tcW w:w="50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78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560" w:type="dxa"/>
            <w:vAlign w:val="bottom"/>
            <w:tcBorders>
              <w:bottom w:val="single" w:sz="8" w:color="BFA071"/>
            </w:tcBorders>
          </w:tcPr>
          <w:p>
            <w:pPr>
              <w:spacing w:after="0"/>
              <w:rPr>
                <w:sz w:val="3"/>
                <w:szCs w:val="3"/>
                <w:color w:val="auto"/>
              </w:rPr>
            </w:pPr>
          </w:p>
        </w:tc>
        <w:tc>
          <w:tcPr>
            <w:tcW w:w="56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540" w:type="dxa"/>
            <w:vAlign w:val="bottom"/>
            <w:tcBorders>
              <w:bottom w:val="single" w:sz="8" w:color="BFA071"/>
            </w:tcBorders>
          </w:tcPr>
          <w:p>
            <w:pPr>
              <w:spacing w:after="0"/>
              <w:rPr>
                <w:sz w:val="3"/>
                <w:szCs w:val="3"/>
                <w:color w:val="auto"/>
              </w:rPr>
            </w:pPr>
          </w:p>
        </w:tc>
        <w:tc>
          <w:tcPr>
            <w:tcW w:w="500" w:type="dxa"/>
            <w:vAlign w:val="bottom"/>
            <w:tcBorders>
              <w:bottom w:val="single" w:sz="8" w:color="BFA071"/>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820" w:type="dxa"/>
            <w:vAlign w:val="bottom"/>
          </w:tcPr>
          <w:p>
            <w:pPr>
              <w:ind w:left="40"/>
              <w:spacing w:after="0"/>
              <w:rPr>
                <w:sz w:val="20"/>
                <w:szCs w:val="20"/>
                <w:color w:val="auto"/>
              </w:rPr>
            </w:pPr>
            <w:r>
              <w:rPr>
                <w:rFonts w:ascii="Arial" w:cs="Arial" w:eastAsia="Arial" w:hAnsi="Arial"/>
                <w:sz w:val="13"/>
                <w:szCs w:val="13"/>
                <w:b w:val="1"/>
                <w:bCs w:val="1"/>
                <w:color w:val="001641"/>
              </w:rPr>
              <w:t>Retail/Consumer Products</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1820" w:type="dxa"/>
            <w:vAlign w:val="bottom"/>
            <w:tcBorders>
              <w:bottom w:val="single" w:sz="8" w:color="BFA071"/>
            </w:tcBorders>
          </w:tcPr>
          <w:p>
            <w:pPr>
              <w:spacing w:after="0"/>
              <w:rPr>
                <w:sz w:val="3"/>
                <w:szCs w:val="3"/>
                <w:color w:val="auto"/>
              </w:rPr>
            </w:pPr>
          </w:p>
        </w:tc>
        <w:tc>
          <w:tcPr>
            <w:tcW w:w="780" w:type="dxa"/>
            <w:vAlign w:val="bottom"/>
            <w:tcBorders>
              <w:bottom w:val="single" w:sz="8" w:color="BFA071"/>
            </w:tcBorders>
          </w:tcPr>
          <w:p>
            <w:pPr>
              <w:spacing w:after="0"/>
              <w:rPr>
                <w:sz w:val="3"/>
                <w:szCs w:val="3"/>
                <w:color w:val="auto"/>
              </w:rPr>
            </w:pPr>
          </w:p>
        </w:tc>
        <w:tc>
          <w:tcPr>
            <w:tcW w:w="860" w:type="dxa"/>
            <w:vAlign w:val="bottom"/>
            <w:tcBorders>
              <w:bottom w:val="single" w:sz="8" w:color="BFA071"/>
            </w:tcBorders>
          </w:tcPr>
          <w:p>
            <w:pPr>
              <w:spacing w:after="0"/>
              <w:rPr>
                <w:sz w:val="3"/>
                <w:szCs w:val="3"/>
                <w:color w:val="auto"/>
              </w:rPr>
            </w:pPr>
          </w:p>
        </w:tc>
        <w:tc>
          <w:tcPr>
            <w:tcW w:w="540" w:type="dxa"/>
            <w:vAlign w:val="bottom"/>
            <w:tcBorders>
              <w:bottom w:val="single" w:sz="8" w:color="BFA071"/>
            </w:tcBorders>
          </w:tcPr>
          <w:p>
            <w:pPr>
              <w:spacing w:after="0"/>
              <w:rPr>
                <w:sz w:val="3"/>
                <w:szCs w:val="3"/>
                <w:color w:val="auto"/>
              </w:rPr>
            </w:pPr>
          </w:p>
        </w:tc>
        <w:tc>
          <w:tcPr>
            <w:tcW w:w="50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78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560" w:type="dxa"/>
            <w:vAlign w:val="bottom"/>
            <w:tcBorders>
              <w:bottom w:val="single" w:sz="8" w:color="BFA071"/>
            </w:tcBorders>
          </w:tcPr>
          <w:p>
            <w:pPr>
              <w:spacing w:after="0"/>
              <w:rPr>
                <w:sz w:val="3"/>
                <w:szCs w:val="3"/>
                <w:color w:val="auto"/>
              </w:rPr>
            </w:pPr>
          </w:p>
        </w:tc>
        <w:tc>
          <w:tcPr>
            <w:tcW w:w="56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540" w:type="dxa"/>
            <w:vAlign w:val="bottom"/>
            <w:tcBorders>
              <w:bottom w:val="single" w:sz="8" w:color="BFA071"/>
            </w:tcBorders>
          </w:tcPr>
          <w:p>
            <w:pPr>
              <w:spacing w:after="0"/>
              <w:rPr>
                <w:sz w:val="3"/>
                <w:szCs w:val="3"/>
                <w:color w:val="auto"/>
              </w:rPr>
            </w:pPr>
          </w:p>
        </w:tc>
        <w:tc>
          <w:tcPr>
            <w:tcW w:w="500" w:type="dxa"/>
            <w:vAlign w:val="bottom"/>
            <w:tcBorders>
              <w:bottom w:val="single" w:sz="8" w:color="BFA071"/>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1820" w:type="dxa"/>
            <w:vAlign w:val="bottom"/>
          </w:tcPr>
          <w:p>
            <w:pPr>
              <w:ind w:left="40"/>
              <w:spacing w:after="0"/>
              <w:rPr>
                <w:sz w:val="20"/>
                <w:szCs w:val="20"/>
                <w:color w:val="auto"/>
              </w:rPr>
            </w:pPr>
            <w:r>
              <w:rPr>
                <w:rFonts w:ascii="Arial" w:cs="Arial" w:eastAsia="Arial" w:hAnsi="Arial"/>
                <w:sz w:val="13"/>
                <w:szCs w:val="13"/>
                <w:b w:val="1"/>
                <w:bCs w:val="1"/>
                <w:color w:val="001641"/>
              </w:rPr>
              <w:t>E-commerce/Digital/</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20" w:type="dxa"/>
            <w:vAlign w:val="bottom"/>
          </w:tcPr>
          <w:p>
            <w:pPr>
              <w:ind w:left="40"/>
              <w:spacing w:after="0"/>
              <w:rPr>
                <w:sz w:val="20"/>
                <w:szCs w:val="20"/>
                <w:color w:val="auto"/>
              </w:rPr>
            </w:pPr>
            <w:r>
              <w:rPr>
                <w:rFonts w:ascii="Arial" w:cs="Arial" w:eastAsia="Arial" w:hAnsi="Arial"/>
                <w:sz w:val="13"/>
                <w:szCs w:val="13"/>
                <w:b w:val="1"/>
                <w:bCs w:val="1"/>
                <w:color w:val="001641"/>
              </w:rPr>
              <w:t>Technology/AI</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1820" w:type="dxa"/>
            <w:vAlign w:val="bottom"/>
            <w:tcBorders>
              <w:bottom w:val="single" w:sz="8" w:color="BFA071"/>
            </w:tcBorders>
          </w:tcPr>
          <w:p>
            <w:pPr>
              <w:spacing w:after="0"/>
              <w:rPr>
                <w:sz w:val="3"/>
                <w:szCs w:val="3"/>
                <w:color w:val="auto"/>
              </w:rPr>
            </w:pPr>
          </w:p>
        </w:tc>
        <w:tc>
          <w:tcPr>
            <w:tcW w:w="780" w:type="dxa"/>
            <w:vAlign w:val="bottom"/>
            <w:tcBorders>
              <w:bottom w:val="single" w:sz="8" w:color="BFA071"/>
            </w:tcBorders>
          </w:tcPr>
          <w:p>
            <w:pPr>
              <w:spacing w:after="0"/>
              <w:rPr>
                <w:sz w:val="3"/>
                <w:szCs w:val="3"/>
                <w:color w:val="auto"/>
              </w:rPr>
            </w:pPr>
          </w:p>
        </w:tc>
        <w:tc>
          <w:tcPr>
            <w:tcW w:w="860" w:type="dxa"/>
            <w:vAlign w:val="bottom"/>
            <w:tcBorders>
              <w:bottom w:val="single" w:sz="8" w:color="BFA071"/>
            </w:tcBorders>
          </w:tcPr>
          <w:p>
            <w:pPr>
              <w:spacing w:after="0"/>
              <w:rPr>
                <w:sz w:val="3"/>
                <w:szCs w:val="3"/>
                <w:color w:val="auto"/>
              </w:rPr>
            </w:pPr>
          </w:p>
        </w:tc>
        <w:tc>
          <w:tcPr>
            <w:tcW w:w="540" w:type="dxa"/>
            <w:vAlign w:val="bottom"/>
            <w:tcBorders>
              <w:bottom w:val="single" w:sz="8" w:color="BFA071"/>
            </w:tcBorders>
          </w:tcPr>
          <w:p>
            <w:pPr>
              <w:spacing w:after="0"/>
              <w:rPr>
                <w:sz w:val="3"/>
                <w:szCs w:val="3"/>
                <w:color w:val="auto"/>
              </w:rPr>
            </w:pPr>
          </w:p>
        </w:tc>
        <w:tc>
          <w:tcPr>
            <w:tcW w:w="50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78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560" w:type="dxa"/>
            <w:vAlign w:val="bottom"/>
            <w:tcBorders>
              <w:bottom w:val="single" w:sz="8" w:color="BFA071"/>
            </w:tcBorders>
          </w:tcPr>
          <w:p>
            <w:pPr>
              <w:spacing w:after="0"/>
              <w:rPr>
                <w:sz w:val="3"/>
                <w:szCs w:val="3"/>
                <w:color w:val="auto"/>
              </w:rPr>
            </w:pPr>
          </w:p>
        </w:tc>
        <w:tc>
          <w:tcPr>
            <w:tcW w:w="56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540" w:type="dxa"/>
            <w:vAlign w:val="bottom"/>
            <w:tcBorders>
              <w:bottom w:val="single" w:sz="8" w:color="BFA071"/>
            </w:tcBorders>
          </w:tcPr>
          <w:p>
            <w:pPr>
              <w:spacing w:after="0"/>
              <w:rPr>
                <w:sz w:val="3"/>
                <w:szCs w:val="3"/>
                <w:color w:val="auto"/>
              </w:rPr>
            </w:pPr>
          </w:p>
        </w:tc>
        <w:tc>
          <w:tcPr>
            <w:tcW w:w="500" w:type="dxa"/>
            <w:vAlign w:val="bottom"/>
            <w:tcBorders>
              <w:bottom w:val="single" w:sz="8" w:color="BFA071"/>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820" w:type="dxa"/>
            <w:vAlign w:val="bottom"/>
          </w:tcPr>
          <w:p>
            <w:pPr>
              <w:ind w:left="40"/>
              <w:spacing w:after="0"/>
              <w:rPr>
                <w:sz w:val="20"/>
                <w:szCs w:val="20"/>
                <w:color w:val="auto"/>
              </w:rPr>
            </w:pPr>
            <w:r>
              <w:rPr>
                <w:rFonts w:ascii="Arial" w:cs="Arial" w:eastAsia="Arial" w:hAnsi="Arial"/>
                <w:sz w:val="13"/>
                <w:szCs w:val="13"/>
                <w:b w:val="1"/>
                <w:bCs w:val="1"/>
                <w:color w:val="001641"/>
              </w:rPr>
              <w:t>Data protection/Cyber/IT</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1820" w:type="dxa"/>
            <w:vAlign w:val="bottom"/>
            <w:tcBorders>
              <w:bottom w:val="single" w:sz="8" w:color="BFA071"/>
            </w:tcBorders>
          </w:tcPr>
          <w:p>
            <w:pPr>
              <w:spacing w:after="0"/>
              <w:rPr>
                <w:sz w:val="3"/>
                <w:szCs w:val="3"/>
                <w:color w:val="auto"/>
              </w:rPr>
            </w:pPr>
          </w:p>
        </w:tc>
        <w:tc>
          <w:tcPr>
            <w:tcW w:w="780" w:type="dxa"/>
            <w:vAlign w:val="bottom"/>
            <w:tcBorders>
              <w:bottom w:val="single" w:sz="8" w:color="BFA071"/>
            </w:tcBorders>
          </w:tcPr>
          <w:p>
            <w:pPr>
              <w:spacing w:after="0"/>
              <w:rPr>
                <w:sz w:val="3"/>
                <w:szCs w:val="3"/>
                <w:color w:val="auto"/>
              </w:rPr>
            </w:pPr>
          </w:p>
        </w:tc>
        <w:tc>
          <w:tcPr>
            <w:tcW w:w="860" w:type="dxa"/>
            <w:vAlign w:val="bottom"/>
            <w:tcBorders>
              <w:bottom w:val="single" w:sz="8" w:color="BFA071"/>
            </w:tcBorders>
          </w:tcPr>
          <w:p>
            <w:pPr>
              <w:spacing w:after="0"/>
              <w:rPr>
                <w:sz w:val="3"/>
                <w:szCs w:val="3"/>
                <w:color w:val="auto"/>
              </w:rPr>
            </w:pPr>
          </w:p>
        </w:tc>
        <w:tc>
          <w:tcPr>
            <w:tcW w:w="540" w:type="dxa"/>
            <w:vAlign w:val="bottom"/>
            <w:tcBorders>
              <w:bottom w:val="single" w:sz="8" w:color="BFA071"/>
            </w:tcBorders>
          </w:tcPr>
          <w:p>
            <w:pPr>
              <w:spacing w:after="0"/>
              <w:rPr>
                <w:sz w:val="3"/>
                <w:szCs w:val="3"/>
                <w:color w:val="auto"/>
              </w:rPr>
            </w:pPr>
          </w:p>
        </w:tc>
        <w:tc>
          <w:tcPr>
            <w:tcW w:w="50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78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560" w:type="dxa"/>
            <w:vAlign w:val="bottom"/>
            <w:tcBorders>
              <w:bottom w:val="single" w:sz="8" w:color="BFA071"/>
            </w:tcBorders>
          </w:tcPr>
          <w:p>
            <w:pPr>
              <w:spacing w:after="0"/>
              <w:rPr>
                <w:sz w:val="3"/>
                <w:szCs w:val="3"/>
                <w:color w:val="auto"/>
              </w:rPr>
            </w:pPr>
          </w:p>
        </w:tc>
        <w:tc>
          <w:tcPr>
            <w:tcW w:w="56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540" w:type="dxa"/>
            <w:vAlign w:val="bottom"/>
            <w:tcBorders>
              <w:bottom w:val="single" w:sz="8" w:color="BFA071"/>
            </w:tcBorders>
          </w:tcPr>
          <w:p>
            <w:pPr>
              <w:spacing w:after="0"/>
              <w:rPr>
                <w:sz w:val="3"/>
                <w:szCs w:val="3"/>
                <w:color w:val="auto"/>
              </w:rPr>
            </w:pPr>
          </w:p>
        </w:tc>
        <w:tc>
          <w:tcPr>
            <w:tcW w:w="500" w:type="dxa"/>
            <w:vAlign w:val="bottom"/>
            <w:tcBorders>
              <w:bottom w:val="single" w:sz="8" w:color="BFA071"/>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820" w:type="dxa"/>
            <w:vAlign w:val="bottom"/>
          </w:tcPr>
          <w:p>
            <w:pPr>
              <w:ind w:left="40"/>
              <w:spacing w:after="0"/>
              <w:rPr>
                <w:sz w:val="20"/>
                <w:szCs w:val="20"/>
                <w:color w:val="auto"/>
              </w:rPr>
            </w:pPr>
            <w:r>
              <w:rPr>
                <w:rFonts w:ascii="Arial" w:cs="Arial" w:eastAsia="Arial" w:hAnsi="Arial"/>
                <w:sz w:val="13"/>
                <w:szCs w:val="13"/>
                <w:b w:val="1"/>
                <w:bCs w:val="1"/>
                <w:color w:val="001641"/>
              </w:rPr>
              <w:t>Finance/Capital Allocation</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1820" w:type="dxa"/>
            <w:vAlign w:val="bottom"/>
            <w:tcBorders>
              <w:bottom w:val="single" w:sz="8" w:color="BFA071"/>
            </w:tcBorders>
          </w:tcPr>
          <w:p>
            <w:pPr>
              <w:spacing w:after="0"/>
              <w:rPr>
                <w:sz w:val="3"/>
                <w:szCs w:val="3"/>
                <w:color w:val="auto"/>
              </w:rPr>
            </w:pPr>
          </w:p>
        </w:tc>
        <w:tc>
          <w:tcPr>
            <w:tcW w:w="780" w:type="dxa"/>
            <w:vAlign w:val="bottom"/>
            <w:tcBorders>
              <w:bottom w:val="single" w:sz="8" w:color="BFA071"/>
            </w:tcBorders>
          </w:tcPr>
          <w:p>
            <w:pPr>
              <w:spacing w:after="0"/>
              <w:rPr>
                <w:sz w:val="3"/>
                <w:szCs w:val="3"/>
                <w:color w:val="auto"/>
              </w:rPr>
            </w:pPr>
          </w:p>
        </w:tc>
        <w:tc>
          <w:tcPr>
            <w:tcW w:w="860" w:type="dxa"/>
            <w:vAlign w:val="bottom"/>
            <w:tcBorders>
              <w:bottom w:val="single" w:sz="8" w:color="BFA071"/>
            </w:tcBorders>
          </w:tcPr>
          <w:p>
            <w:pPr>
              <w:spacing w:after="0"/>
              <w:rPr>
                <w:sz w:val="3"/>
                <w:szCs w:val="3"/>
                <w:color w:val="auto"/>
              </w:rPr>
            </w:pPr>
          </w:p>
        </w:tc>
        <w:tc>
          <w:tcPr>
            <w:tcW w:w="540" w:type="dxa"/>
            <w:vAlign w:val="bottom"/>
            <w:tcBorders>
              <w:bottom w:val="single" w:sz="8" w:color="BFA071"/>
            </w:tcBorders>
          </w:tcPr>
          <w:p>
            <w:pPr>
              <w:spacing w:after="0"/>
              <w:rPr>
                <w:sz w:val="3"/>
                <w:szCs w:val="3"/>
                <w:color w:val="auto"/>
              </w:rPr>
            </w:pPr>
          </w:p>
        </w:tc>
        <w:tc>
          <w:tcPr>
            <w:tcW w:w="50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78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560" w:type="dxa"/>
            <w:vAlign w:val="bottom"/>
            <w:tcBorders>
              <w:bottom w:val="single" w:sz="8" w:color="BFA071"/>
            </w:tcBorders>
          </w:tcPr>
          <w:p>
            <w:pPr>
              <w:spacing w:after="0"/>
              <w:rPr>
                <w:sz w:val="3"/>
                <w:szCs w:val="3"/>
                <w:color w:val="auto"/>
              </w:rPr>
            </w:pPr>
          </w:p>
        </w:tc>
        <w:tc>
          <w:tcPr>
            <w:tcW w:w="560" w:type="dxa"/>
            <w:vAlign w:val="bottom"/>
            <w:tcBorders>
              <w:bottom w:val="single" w:sz="8" w:color="BFA071"/>
            </w:tcBorders>
          </w:tcPr>
          <w:p>
            <w:pPr>
              <w:spacing w:after="0"/>
              <w:rPr>
                <w:sz w:val="3"/>
                <w:szCs w:val="3"/>
                <w:color w:val="auto"/>
              </w:rPr>
            </w:pPr>
          </w:p>
        </w:tc>
        <w:tc>
          <w:tcPr>
            <w:tcW w:w="580" w:type="dxa"/>
            <w:vAlign w:val="bottom"/>
            <w:tcBorders>
              <w:bottom w:val="single" w:sz="8" w:color="BFA071"/>
            </w:tcBorders>
          </w:tcPr>
          <w:p>
            <w:pPr>
              <w:spacing w:after="0"/>
              <w:rPr>
                <w:sz w:val="3"/>
                <w:szCs w:val="3"/>
                <w:color w:val="auto"/>
              </w:rPr>
            </w:pPr>
          </w:p>
        </w:tc>
        <w:tc>
          <w:tcPr>
            <w:tcW w:w="540" w:type="dxa"/>
            <w:vAlign w:val="bottom"/>
            <w:tcBorders>
              <w:bottom w:val="single" w:sz="8" w:color="BFA071"/>
            </w:tcBorders>
          </w:tcPr>
          <w:p>
            <w:pPr>
              <w:spacing w:after="0"/>
              <w:rPr>
                <w:sz w:val="3"/>
                <w:szCs w:val="3"/>
                <w:color w:val="auto"/>
              </w:rPr>
            </w:pPr>
          </w:p>
        </w:tc>
        <w:tc>
          <w:tcPr>
            <w:tcW w:w="500" w:type="dxa"/>
            <w:vAlign w:val="bottom"/>
            <w:tcBorders>
              <w:bottom w:val="single" w:sz="8" w:color="BFA071"/>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1820" w:type="dxa"/>
            <w:vAlign w:val="bottom"/>
          </w:tcPr>
          <w:p>
            <w:pPr>
              <w:ind w:left="40"/>
              <w:spacing w:after="0"/>
              <w:rPr>
                <w:sz w:val="20"/>
                <w:szCs w:val="20"/>
                <w:color w:val="auto"/>
              </w:rPr>
            </w:pPr>
            <w:r>
              <w:rPr>
                <w:rFonts w:ascii="Arial" w:cs="Arial" w:eastAsia="Arial" w:hAnsi="Arial"/>
                <w:sz w:val="13"/>
                <w:szCs w:val="13"/>
                <w:b w:val="1"/>
                <w:bCs w:val="1"/>
                <w:color w:val="001641"/>
              </w:rPr>
              <w:t>Consumer Insights/</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20" w:type="dxa"/>
            <w:vAlign w:val="bottom"/>
          </w:tcPr>
          <w:p>
            <w:pPr>
              <w:ind w:left="40"/>
              <w:spacing w:after="0"/>
              <w:rPr>
                <w:sz w:val="20"/>
                <w:szCs w:val="20"/>
                <w:color w:val="auto"/>
              </w:rPr>
            </w:pPr>
            <w:r>
              <w:rPr>
                <w:rFonts w:ascii="Arial" w:cs="Arial" w:eastAsia="Arial" w:hAnsi="Arial"/>
                <w:sz w:val="13"/>
                <w:szCs w:val="13"/>
                <w:b w:val="1"/>
                <w:bCs w:val="1"/>
                <w:color w:val="001641"/>
              </w:rPr>
              <w:t>Marketing/Sales</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82930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-1503045</wp:posOffset>
            </wp:positionV>
            <wp:extent cx="94615" cy="685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-1503045</wp:posOffset>
            </wp:positionV>
            <wp:extent cx="93980" cy="6858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-1503045</wp:posOffset>
            </wp:positionV>
            <wp:extent cx="94615" cy="685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-1503045</wp:posOffset>
            </wp:positionV>
            <wp:extent cx="93980" cy="685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-1503045</wp:posOffset>
            </wp:positionV>
            <wp:extent cx="93980" cy="6858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-1503045</wp:posOffset>
            </wp:positionV>
            <wp:extent cx="93980" cy="685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-1503045</wp:posOffset>
            </wp:positionV>
            <wp:extent cx="93980" cy="685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-1503045</wp:posOffset>
            </wp:positionV>
            <wp:extent cx="93980" cy="685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-1503045</wp:posOffset>
            </wp:positionV>
            <wp:extent cx="93980" cy="685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-1323340</wp:posOffset>
            </wp:positionV>
            <wp:extent cx="94615" cy="685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-1323340</wp:posOffset>
            </wp:positionV>
            <wp:extent cx="93980" cy="6858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-1323340</wp:posOffset>
            </wp:positionV>
            <wp:extent cx="94615" cy="6858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-1323340</wp:posOffset>
            </wp:positionV>
            <wp:extent cx="93980" cy="685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-1323340</wp:posOffset>
            </wp:positionV>
            <wp:extent cx="93980" cy="6858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-1323340</wp:posOffset>
            </wp:positionV>
            <wp:extent cx="93980" cy="685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-1323340</wp:posOffset>
            </wp:positionV>
            <wp:extent cx="93980" cy="6858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-1323340</wp:posOffset>
            </wp:positionV>
            <wp:extent cx="93980" cy="6858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-1323340</wp:posOffset>
            </wp:positionV>
            <wp:extent cx="93980" cy="685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-1323340</wp:posOffset>
            </wp:positionV>
            <wp:extent cx="93980" cy="685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-1323340</wp:posOffset>
            </wp:positionV>
            <wp:extent cx="94615" cy="685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-1117600</wp:posOffset>
            </wp:positionV>
            <wp:extent cx="94615" cy="6858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-1117600</wp:posOffset>
            </wp:positionV>
            <wp:extent cx="93980" cy="685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-1117600</wp:posOffset>
            </wp:positionV>
            <wp:extent cx="93980" cy="6858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-1117600</wp:posOffset>
            </wp:positionV>
            <wp:extent cx="93980" cy="685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-1117600</wp:posOffset>
            </wp:positionV>
            <wp:extent cx="93980" cy="6858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-1117600</wp:posOffset>
            </wp:positionV>
            <wp:extent cx="93980" cy="6858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-1117600</wp:posOffset>
            </wp:positionV>
            <wp:extent cx="93980" cy="685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-1117600</wp:posOffset>
            </wp:positionV>
            <wp:extent cx="94615" cy="6858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-911860</wp:posOffset>
            </wp:positionV>
            <wp:extent cx="94615" cy="6858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-911860</wp:posOffset>
            </wp:positionV>
            <wp:extent cx="93980" cy="685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-911860</wp:posOffset>
            </wp:positionV>
            <wp:extent cx="93980" cy="6858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-911860</wp:posOffset>
            </wp:positionV>
            <wp:extent cx="93980" cy="685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-911860</wp:posOffset>
            </wp:positionV>
            <wp:extent cx="93980" cy="6858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-911860</wp:posOffset>
            </wp:positionV>
            <wp:extent cx="93980" cy="6858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-911860</wp:posOffset>
            </wp:positionV>
            <wp:extent cx="93980" cy="6858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-911860</wp:posOffset>
            </wp:positionV>
            <wp:extent cx="93980" cy="685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-911860</wp:posOffset>
            </wp:positionV>
            <wp:extent cx="94615" cy="685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-706120</wp:posOffset>
            </wp:positionV>
            <wp:extent cx="94615" cy="6858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-706120</wp:posOffset>
            </wp:positionV>
            <wp:extent cx="94615" cy="685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-706120</wp:posOffset>
            </wp:positionV>
            <wp:extent cx="93980" cy="6858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-706120</wp:posOffset>
            </wp:positionV>
            <wp:extent cx="93980" cy="6858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-706120</wp:posOffset>
            </wp:positionV>
            <wp:extent cx="93980" cy="685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-706120</wp:posOffset>
            </wp:positionV>
            <wp:extent cx="93980" cy="6858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-706120</wp:posOffset>
            </wp:positionV>
            <wp:extent cx="93980" cy="6858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-706120</wp:posOffset>
            </wp:positionV>
            <wp:extent cx="94615" cy="6858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-500380</wp:posOffset>
            </wp:positionV>
            <wp:extent cx="94615" cy="6858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-500380</wp:posOffset>
            </wp:positionV>
            <wp:extent cx="93980" cy="6858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-500380</wp:posOffset>
            </wp:positionV>
            <wp:extent cx="93980" cy="6858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-500380</wp:posOffset>
            </wp:positionV>
            <wp:extent cx="93980" cy="6858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-500380</wp:posOffset>
            </wp:positionV>
            <wp:extent cx="93980" cy="6858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-500380</wp:posOffset>
            </wp:positionV>
            <wp:extent cx="93980" cy="6858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-500380</wp:posOffset>
            </wp:positionV>
            <wp:extent cx="93980" cy="6858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-337185</wp:posOffset>
            </wp:positionV>
            <wp:extent cx="94615" cy="6858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-337185</wp:posOffset>
            </wp:positionV>
            <wp:extent cx="93980" cy="6858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-337185</wp:posOffset>
            </wp:positionV>
            <wp:extent cx="94615" cy="6858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-337185</wp:posOffset>
            </wp:positionV>
            <wp:extent cx="93980" cy="6858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-337185</wp:posOffset>
            </wp:positionV>
            <wp:extent cx="93980" cy="6858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-337185</wp:posOffset>
            </wp:positionV>
            <wp:extent cx="93980" cy="6858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-337185</wp:posOffset>
            </wp:positionV>
            <wp:extent cx="93980" cy="6858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-337185</wp:posOffset>
            </wp:positionV>
            <wp:extent cx="93980" cy="6858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-337185</wp:posOffset>
            </wp:positionV>
            <wp:extent cx="93980" cy="6858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-337185</wp:posOffset>
            </wp:positionV>
            <wp:extent cx="94615" cy="6858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-131445</wp:posOffset>
            </wp:positionV>
            <wp:extent cx="94615" cy="6858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-131445</wp:posOffset>
            </wp:positionV>
            <wp:extent cx="93980" cy="6858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-131445</wp:posOffset>
            </wp:positionV>
            <wp:extent cx="94615" cy="6858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-131445</wp:posOffset>
            </wp:positionV>
            <wp:extent cx="93980" cy="6858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-131445</wp:posOffset>
            </wp:positionV>
            <wp:extent cx="93980" cy="6858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-131445</wp:posOffset>
            </wp:positionV>
            <wp:extent cx="93980" cy="6858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-131445</wp:posOffset>
            </wp:positionV>
            <wp:extent cx="93980" cy="6858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-131445</wp:posOffset>
            </wp:positionV>
            <wp:extent cx="93980" cy="6858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-131445</wp:posOffset>
            </wp:positionV>
            <wp:extent cx="93980" cy="6858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-131445</wp:posOffset>
            </wp:positionV>
            <wp:extent cx="94615" cy="6858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94615" cy="6858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001641"/>
        </w:rPr>
        <w:t>Policy/Regulatory/Governance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5829300" cy="1714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829300" cy="171450"/>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-74295</wp:posOffset>
            </wp:positionV>
            <wp:extent cx="94615" cy="6858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-74295</wp:posOffset>
            </wp:positionV>
            <wp:extent cx="93980" cy="6858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-74295</wp:posOffset>
            </wp:positionV>
            <wp:extent cx="94615" cy="6858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-74295</wp:posOffset>
            </wp:positionV>
            <wp:extent cx="93980" cy="6858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-74295</wp:posOffset>
            </wp:positionV>
            <wp:extent cx="93980" cy="6858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-74295</wp:posOffset>
            </wp:positionV>
            <wp:extent cx="93980" cy="6858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-74295</wp:posOffset>
            </wp:positionV>
            <wp:extent cx="93980" cy="6858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93980" cy="68580"/>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5829300" cy="643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829300" cy="643255"/>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001641"/>
        </w:rPr>
        <w:t>Race/Ethnicity</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001641"/>
        </w:rPr>
        <w:t>Gender</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001641"/>
        </w:rPr>
        <w:t>Nationality</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001641"/>
        </w:rPr>
        <w:t>Sexual Orientation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58293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4C4C4C"/>
        </w:rPr>
        <w:t>   1  Current or former CEO or President experience, public, private and non-profit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220980</wp:posOffset>
            </wp:positionV>
            <wp:extent cx="5314950" cy="24257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31495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582930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44</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760"/>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55" w:name="page56"/>
    <w:bookmarkEnd w:id="5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ROLE OF NOMINATING COMMITTEE IN DIRECTOR NOMINATION</w:t>
      </w:r>
    </w:p>
    <w:p>
      <w:pPr>
        <w:spacing w:after="0" w:line="162" w:lineRule="exact"/>
        <w:rPr>
          <w:sz w:val="20"/>
          <w:szCs w:val="20"/>
          <w:color w:val="auto"/>
        </w:rPr>
      </w:pPr>
    </w:p>
    <w:p>
      <w:pPr>
        <w:ind w:left="6" w:right="140"/>
        <w:spacing w:after="0" w:line="259" w:lineRule="auto"/>
        <w:rPr>
          <w:sz w:val="20"/>
          <w:szCs w:val="20"/>
          <w:color w:val="auto"/>
        </w:rPr>
      </w:pPr>
      <w:r>
        <w:rPr>
          <w:rFonts w:ascii="Arial" w:cs="Arial" w:eastAsia="Arial" w:hAnsi="Arial"/>
          <w:sz w:val="16"/>
          <w:szCs w:val="16"/>
          <w:color w:val="auto"/>
        </w:rPr>
        <w:t>The Nominating Committee solicits and receives suggestions for, as well as comments upon, director candidates from other directors, including the Executive Chairman of the Board and the Lead Independent Director, and usually engages third parties either to assist in the search for director candidates or to assist in gathering information regarding director candidates’ background, experience, and skills.</w:t>
      </w:r>
    </w:p>
    <w:p>
      <w:pPr>
        <w:spacing w:after="0" w:line="124" w:lineRule="exact"/>
        <w:rPr>
          <w:sz w:val="20"/>
          <w:szCs w:val="20"/>
          <w:color w:val="auto"/>
        </w:rPr>
      </w:pPr>
    </w:p>
    <w:p>
      <w:pPr>
        <w:ind w:left="6" w:right="120"/>
        <w:spacing w:after="0" w:line="251" w:lineRule="auto"/>
        <w:rPr>
          <w:sz w:val="20"/>
          <w:szCs w:val="20"/>
          <w:color w:val="auto"/>
        </w:rPr>
      </w:pPr>
      <w:r>
        <w:rPr>
          <w:rFonts w:ascii="Arial" w:cs="Arial" w:eastAsia="Arial" w:hAnsi="Arial"/>
          <w:sz w:val="16"/>
          <w:szCs w:val="16"/>
          <w:color w:val="auto"/>
        </w:rPr>
        <w:t>The Nominating Committee will consider candidates recommended by our directors, members of management and stockholders, and will evaluate candidates properly recommended by stockholders on the same basis as other candidates. Candidates should have experience in positions with a high degree of responsibility and be leaders in the companies or institutions with which they are affiliated. Upon receiving a stockholder recommendation, the Nominating Committee will initially determine the need for additional or replacement members of the Board and then evaluate the candidate based on the information it receives with the stockholder recommendation or that it may otherwise acquire, and may, in its discretion, consult with the Executive Chairman, the Lead Independent Director and other members of our Board. If the Nominating Committee determines that a more comprehensive evaluation is warranted, it may obtain additional information about the director candidate’s background and experience, including by means of interviews with the candidate.</w:t>
      </w:r>
    </w:p>
    <w:p>
      <w:pPr>
        <w:spacing w:after="0" w:line="131" w:lineRule="exact"/>
        <w:rPr>
          <w:sz w:val="20"/>
          <w:szCs w:val="20"/>
          <w:color w:val="auto"/>
        </w:rPr>
      </w:pPr>
    </w:p>
    <w:p>
      <w:pPr>
        <w:ind w:left="6"/>
        <w:spacing w:after="0" w:line="252" w:lineRule="auto"/>
        <w:rPr>
          <w:sz w:val="20"/>
          <w:szCs w:val="20"/>
          <w:color w:val="auto"/>
        </w:rPr>
      </w:pPr>
      <w:r>
        <w:rPr>
          <w:rFonts w:ascii="Arial" w:cs="Arial" w:eastAsia="Arial" w:hAnsi="Arial"/>
          <w:sz w:val="16"/>
          <w:szCs w:val="16"/>
          <w:color w:val="auto"/>
        </w:rPr>
        <w:t>Our stockholders may recommend candidates at any time, but the Nominating Committee requires recommendations for election at an annual meeting of stockholders to be submitted to the Nominating Committee no later than 120 days before the first anniversary of the date of the proxy statement sent to stockholders in connection with the previous year’s Annual Meeting of Stockholders in order to be considered for nomination by the Nominating Committee. The Nominating Committee believes this deadline is appropriate and in our best interests and those of our stockholders because it ensures that it has sufficient time to evaluate properly all proposed candidates. Therefore, to submit a candidate for consideration for nomination at the 2027 Annual Meeting of Stockholders, a stockholder must submit the recommendation, in writing, by February 18, 2027. The written notice must include:</w:t>
      </w:r>
    </w:p>
    <w:p>
      <w:pPr>
        <w:spacing w:after="0" w:line="129" w:lineRule="exact"/>
        <w:rPr>
          <w:sz w:val="20"/>
          <w:szCs w:val="20"/>
          <w:color w:val="auto"/>
        </w:rPr>
      </w:pPr>
    </w:p>
    <w:p>
      <w:pPr>
        <w:ind w:left="166" w:right="20" w:hanging="166"/>
        <w:spacing w:after="0" w:line="259" w:lineRule="auto"/>
        <w:tabs>
          <w:tab w:leader="none" w:pos="166"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information relating to each potential candidate whom the stockholder is recommending that would be required to be disclosed in a solicitation of proxies for the election of such person as a director pursuant to Regulation 14A under the Exchange Act, including such person’s written consent to being named in the proxy statement as a nominee and to serve as a director if elected;</w:t>
      </w:r>
    </w:p>
    <w:p>
      <w:pPr>
        <w:spacing w:after="0" w:line="83" w:lineRule="exact"/>
        <w:rPr>
          <w:rFonts w:ascii="Arial" w:cs="Arial" w:eastAsia="Arial" w:hAnsi="Arial"/>
          <w:sz w:val="16"/>
          <w:szCs w:val="16"/>
          <w:color w:val="auto"/>
        </w:rPr>
      </w:pPr>
    </w:p>
    <w:p>
      <w:pPr>
        <w:ind w:left="166" w:right="340" w:hanging="166"/>
        <w:spacing w:after="0" w:line="286" w:lineRule="auto"/>
        <w:tabs>
          <w:tab w:leader="none" w:pos="16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name and address of the stockholder giving the notice, as they appear on the Company’s books, and of the beneficial owner of those shares; and</w:t>
      </w:r>
    </w:p>
    <w:p>
      <w:pPr>
        <w:spacing w:after="0" w:line="61" w:lineRule="exact"/>
        <w:rPr>
          <w:rFonts w:ascii="Arial" w:cs="Arial" w:eastAsia="Arial" w:hAnsi="Arial"/>
          <w:sz w:val="16"/>
          <w:szCs w:val="16"/>
          <w:color w:val="auto"/>
        </w:rPr>
      </w:pPr>
    </w:p>
    <w:p>
      <w:pPr>
        <w:ind w:left="166" w:hanging="166"/>
        <w:spacing w:after="0"/>
        <w:tabs>
          <w:tab w:leader="none" w:pos="16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class and number of shares which are owned beneficially or of record by the stockholder and the beneficial owner.</w:t>
      </w:r>
    </w:p>
    <w:p>
      <w:pPr>
        <w:spacing w:after="0" w:line="167" w:lineRule="exact"/>
        <w:rPr>
          <w:sz w:val="20"/>
          <w:szCs w:val="20"/>
          <w:color w:val="auto"/>
        </w:rPr>
      </w:pPr>
    </w:p>
    <w:p>
      <w:pPr>
        <w:ind w:left="6" w:right="500"/>
        <w:spacing w:after="0" w:line="266" w:lineRule="auto"/>
        <w:rPr>
          <w:sz w:val="20"/>
          <w:szCs w:val="20"/>
          <w:color w:val="auto"/>
        </w:rPr>
      </w:pPr>
      <w:r>
        <w:rPr>
          <w:rFonts w:ascii="Arial" w:cs="Arial" w:eastAsia="Arial" w:hAnsi="Arial"/>
          <w:sz w:val="16"/>
          <w:szCs w:val="16"/>
          <w:color w:val="auto"/>
        </w:rPr>
        <w:t>Recommendations must be sent to the Nominating, Governance, Citizenship &amp; Sustainability Committee, Office of the Corporate Secretary/Legal Department, Ralph Lauren Corporation, 100 Metro Boulevard, Nutley, New Jersey, 07110, and received by the date above.</w:t>
      </w:r>
    </w:p>
    <w:p>
      <w:pPr>
        <w:spacing w:after="0" w:line="117" w:lineRule="exact"/>
        <w:rPr>
          <w:sz w:val="20"/>
          <w:szCs w:val="20"/>
          <w:color w:val="auto"/>
        </w:rPr>
      </w:pPr>
    </w:p>
    <w:p>
      <w:pPr>
        <w:ind w:left="6" w:right="360"/>
        <w:spacing w:after="0" w:line="266" w:lineRule="auto"/>
        <w:rPr>
          <w:sz w:val="20"/>
          <w:szCs w:val="20"/>
          <w:color w:val="auto"/>
        </w:rPr>
      </w:pPr>
      <w:r>
        <w:rPr>
          <w:rFonts w:ascii="Arial" w:cs="Arial" w:eastAsia="Arial" w:hAnsi="Arial"/>
          <w:sz w:val="16"/>
          <w:szCs w:val="16"/>
          <w:color w:val="auto"/>
        </w:rPr>
        <w:t>Our stockholders may directly nominate an individual for election as a director at an annual meeting of stockholders by complying with the nominating procedures set forth in our Fifth Amended and Restated By-laws, which are described below under the caption “Additional Matters — Stockholder Proposals for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82930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128905" cy="11112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8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126365</wp:posOffset>
            </wp:positionV>
            <wp:extent cx="699516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6" w:name="page57"/>
    <w:bookmarkEnd w:id="5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5829300" cy="180848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829300" cy="1808480"/>
                    </a:xfrm>
                    <a:prstGeom prst="rect">
                      <a:avLst/>
                    </a:prstGeom>
                    <a:noFill/>
                  </pic:spPr>
                </pic:pic>
              </a:graphicData>
            </a:graphic>
          </wp:anchor>
        </w:drawing>
      </w:r>
    </w:p>
    <w:p>
      <w:pPr>
        <w:sectPr>
          <w:pgSz w:w="11900" w:h="16838" w:orient="portrait"/>
          <w:cols w:equalWidth="0" w:num="1">
            <w:col w:w="9146"/>
          </w:cols>
          <w:pgMar w:left="1354" w:top="114"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6"/>
        <w:spacing w:after="0"/>
        <w:rPr>
          <w:sz w:val="20"/>
          <w:szCs w:val="20"/>
          <w:color w:val="auto"/>
        </w:rPr>
      </w:pPr>
      <w:r>
        <w:rPr>
          <w:rFonts w:ascii="Times New Roman" w:cs="Times New Roman" w:eastAsia="Times New Roman" w:hAnsi="Times New Roman"/>
          <w:sz w:val="22"/>
          <w:szCs w:val="22"/>
          <w:b w:val="1"/>
          <w:bCs w:val="1"/>
          <w:color w:val="FFFFFF"/>
        </w:rPr>
        <w:t>Timeless by Design 2030</w:t>
      </w:r>
    </w:p>
    <w:p>
      <w:pPr>
        <w:spacing w:after="0" w:line="48" w:lineRule="exact"/>
        <w:rPr>
          <w:sz w:val="20"/>
          <w:szCs w:val="20"/>
          <w:color w:val="auto"/>
        </w:rPr>
      </w:pPr>
    </w:p>
    <w:p>
      <w:pPr>
        <w:ind w:left="166"/>
        <w:spacing w:after="0" w:line="242" w:lineRule="auto"/>
        <w:rPr>
          <w:sz w:val="20"/>
          <w:szCs w:val="20"/>
          <w:color w:val="auto"/>
        </w:rPr>
      </w:pPr>
      <w:r>
        <w:rPr>
          <w:rFonts w:ascii="Times New Roman" w:cs="Times New Roman" w:eastAsia="Times New Roman" w:hAnsi="Times New Roman"/>
          <w:sz w:val="16"/>
          <w:szCs w:val="16"/>
          <w:color w:val="FFFFFF"/>
        </w:rPr>
        <w:t>Since our founding, we have believed in creating things that are timeless — that last and that never go out of style. Our iconic products are intended to be worn, loved and passed on through generations.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GLOBAL CITIZENSHIP &amp; SUSTAINABILITY</w:t>
      </w:r>
    </w:p>
    <w:p>
      <w:pPr>
        <w:spacing w:after="0" w:line="11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 xml:space="preserve">For nearly 60 years, Ralph Lauren has created iconic products that are timeless – pieces that can be worn, loved and passed on from one generation to the next. Guided by our Purpose – to inspire the dream of a better life through authenticity and timeless style – Timeless by Design is our intentional approach to enhancing the resilience of the teams, communities, partners and natural resources essential to our business and operating a company that endures. Our Global Citizenship &amp; Sustainability strategy, </w:t>
      </w:r>
      <w:r>
        <w:rPr>
          <w:rFonts w:ascii="Arial" w:cs="Arial" w:eastAsia="Arial" w:hAnsi="Arial"/>
          <w:sz w:val="16"/>
          <w:szCs w:val="16"/>
          <w:i w:val="1"/>
          <w:iCs w:val="1"/>
          <w:color w:val="auto"/>
        </w:rPr>
        <w:t>Timeless by</w:t>
      </w:r>
      <w:r>
        <w:rPr>
          <w:rFonts w:ascii="Arial" w:cs="Arial" w:eastAsia="Arial" w:hAnsi="Arial"/>
          <w:sz w:val="16"/>
          <w:szCs w:val="16"/>
          <w:color w:val="auto"/>
        </w:rPr>
        <w:t xml:space="preserve"> </w:t>
      </w:r>
      <w:r>
        <w:rPr>
          <w:rFonts w:ascii="Arial" w:cs="Arial" w:eastAsia="Arial" w:hAnsi="Arial"/>
          <w:sz w:val="16"/>
          <w:szCs w:val="16"/>
          <w:i w:val="1"/>
          <w:iCs w:val="1"/>
          <w:color w:val="auto"/>
        </w:rPr>
        <w:t>Design 2030</w:t>
      </w:r>
      <w:r>
        <w:rPr>
          <w:rFonts w:ascii="Arial" w:cs="Arial" w:eastAsia="Arial" w:hAnsi="Arial"/>
          <w:sz w:val="16"/>
          <w:szCs w:val="16"/>
          <w:color w:val="auto"/>
        </w:rPr>
        <w:t>, advances this work with a focus on four pillars – Partner for Impact,</w:t>
      </w:r>
      <w:r>
        <w:rPr>
          <w:rFonts w:ascii="Arial" w:cs="Arial" w:eastAsia="Arial" w:hAnsi="Arial"/>
          <w:sz w:val="16"/>
          <w:szCs w:val="16"/>
          <w:i w:val="1"/>
          <w:iCs w:val="1"/>
          <w:color w:val="auto"/>
        </w:rPr>
        <w:t xml:space="preserve"> </w:t>
      </w:r>
      <w:r>
        <w:rPr>
          <w:rFonts w:ascii="Arial" w:cs="Arial" w:eastAsia="Arial" w:hAnsi="Arial"/>
          <w:sz w:val="16"/>
          <w:szCs w:val="16"/>
          <w:color w:val="auto"/>
        </w:rPr>
        <w:t>Protect Natural Resources, Engage &amp; Enable Teams and Care for Communities – where we seek to drive measurable progress in priority areas. Each pillar is anchored by a flagship program with defined targets representing initiatives where Ralph Lauren can have a unique and positive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-1717675</wp:posOffset>
            </wp:positionH>
            <wp:positionV relativeFrom="paragraph">
              <wp:posOffset>67310</wp:posOffset>
            </wp:positionV>
            <wp:extent cx="582930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1104900</wp:posOffset>
            </wp:positionV>
            <wp:extent cx="5751830" cy="1405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751830" cy="1405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6" w:space="240"/>
            <w:col w:w="6440"/>
          </w:cols>
          <w:pgMar w:left="1354" w:top="114"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166370</wp:posOffset>
            </wp:positionV>
            <wp:extent cx="5777865" cy="197993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77786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
        <w:spacing w:after="0"/>
        <w:rPr>
          <w:sz w:val="20"/>
          <w:szCs w:val="20"/>
          <w:color w:val="auto"/>
        </w:rPr>
      </w:pPr>
      <w:r>
        <w:rPr>
          <w:rFonts w:ascii="Arial" w:cs="Arial" w:eastAsia="Arial" w:hAnsi="Arial"/>
          <w:sz w:val="16"/>
          <w:szCs w:val="16"/>
          <w:color w:val="auto"/>
        </w:rPr>
        <w:t> </w:t>
      </w:r>
    </w:p>
    <w:p>
      <w:pPr>
        <w:spacing w:after="0" w:line="24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001641"/>
        </w:rPr>
        <w:t>PARTNER FOR IMPACT</w:t>
      </w:r>
    </w:p>
    <w:p>
      <w:pPr>
        <w:spacing w:after="0" w:line="86" w:lineRule="exact"/>
        <w:rPr>
          <w:sz w:val="20"/>
          <w:szCs w:val="20"/>
          <w:color w:val="auto"/>
        </w:rPr>
      </w:pPr>
    </w:p>
    <w:p>
      <w:pPr>
        <w:ind w:left="6" w:right="400"/>
        <w:spacing w:after="0" w:line="286" w:lineRule="auto"/>
        <w:rPr>
          <w:sz w:val="20"/>
          <w:szCs w:val="20"/>
          <w:color w:val="auto"/>
        </w:rPr>
      </w:pPr>
      <w:r>
        <w:rPr>
          <w:rFonts w:ascii="Arial" w:cs="Arial" w:eastAsia="Arial" w:hAnsi="Arial"/>
          <w:sz w:val="16"/>
          <w:szCs w:val="16"/>
          <w:color w:val="auto"/>
        </w:rPr>
        <w:t>We collaborate with partners throughout our value chain to help drive positive impact — from preserving heritage craft and reducing emissions, to respecting the rights and well-being of the people who make our products.</w:t>
      </w:r>
    </w:p>
    <w:p>
      <w:pPr>
        <w:spacing w:after="0" w:line="75" w:lineRule="exact"/>
        <w:rPr>
          <w:sz w:val="20"/>
          <w:szCs w:val="20"/>
          <w:color w:val="auto"/>
        </w:rPr>
      </w:pPr>
    </w:p>
    <w:p>
      <w:pPr>
        <w:ind w:left="166" w:right="180" w:hanging="166"/>
        <w:spacing w:after="0" w:line="286" w:lineRule="auto"/>
        <w:tabs>
          <w:tab w:leader="none" w:pos="166"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Design with Intent </w:t>
      </w:r>
      <w:r>
        <w:rPr>
          <w:rFonts w:ascii="Arial" w:cs="Arial" w:eastAsia="Arial" w:hAnsi="Arial"/>
          <w:sz w:val="16"/>
          <w:szCs w:val="16"/>
          <w:color w:val="000000"/>
        </w:rPr>
        <w:t>— our flagship program — is our industry-leading work to ensure the products we make and the stories</w:t>
      </w:r>
      <w:r>
        <w:rPr>
          <w:rFonts w:ascii="Arial" w:cs="Arial" w:eastAsia="Arial" w:hAnsi="Arial"/>
          <w:sz w:val="16"/>
          <w:szCs w:val="16"/>
          <w:b w:val="1"/>
          <w:bCs w:val="1"/>
          <w:color w:val="001641"/>
        </w:rPr>
        <w:t xml:space="preserve"> </w:t>
      </w:r>
      <w:r>
        <w:rPr>
          <w:rFonts w:ascii="Arial" w:cs="Arial" w:eastAsia="Arial" w:hAnsi="Arial"/>
          <w:sz w:val="16"/>
          <w:szCs w:val="16"/>
          <w:color w:val="000000"/>
        </w:rPr>
        <w:t>we tell are authentic expressions of heritage.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66"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46</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760"/>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6"/>
          </w:cols>
          <w:pgMar w:left="1354" w:top="114" w:right="1399" w:bottom="1440" w:gutter="0" w:footer="0" w:header="0"/>
          <w:type w:val="continuous"/>
        </w:sectPr>
      </w:pPr>
    </w:p>
    <w:bookmarkStart w:id="57" w:name="page58"/>
    <w:bookmarkEnd w:id="5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582930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66" w:right="20" w:hanging="166"/>
        <w:spacing w:after="0" w:line="286" w:lineRule="auto"/>
        <w:tabs>
          <w:tab w:leader="none" w:pos="166"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Supplier Engagement </w:t>
      </w:r>
      <w:r>
        <w:rPr>
          <w:rFonts w:ascii="Arial" w:cs="Arial" w:eastAsia="Arial" w:hAnsi="Arial"/>
          <w:sz w:val="16"/>
          <w:szCs w:val="16"/>
          <w:color w:val="000000"/>
        </w:rPr>
        <w:t>— We are investing time and resources to build strong partnerships to support an agile, resilient value</w:t>
      </w:r>
      <w:r>
        <w:rPr>
          <w:rFonts w:ascii="Arial" w:cs="Arial" w:eastAsia="Arial" w:hAnsi="Arial"/>
          <w:sz w:val="16"/>
          <w:szCs w:val="16"/>
          <w:b w:val="1"/>
          <w:bCs w:val="1"/>
          <w:color w:val="001641"/>
        </w:rPr>
        <w:t xml:space="preserve"> </w:t>
      </w:r>
      <w:r>
        <w:rPr>
          <w:rFonts w:ascii="Arial" w:cs="Arial" w:eastAsia="Arial" w:hAnsi="Arial"/>
          <w:sz w:val="16"/>
          <w:szCs w:val="16"/>
          <w:color w:val="000000"/>
        </w:rPr>
        <w:t>chain network that can respond to disruption and change.</w:t>
      </w:r>
    </w:p>
    <w:p>
      <w:pPr>
        <w:spacing w:after="0" w:line="61" w:lineRule="exact"/>
        <w:rPr>
          <w:rFonts w:ascii="Arial" w:cs="Arial" w:eastAsia="Arial" w:hAnsi="Arial"/>
          <w:sz w:val="16"/>
          <w:szCs w:val="16"/>
          <w:b w:val="1"/>
          <w:bCs w:val="1"/>
          <w:color w:val="auto"/>
        </w:rPr>
      </w:pPr>
    </w:p>
    <w:p>
      <w:pPr>
        <w:jc w:val="both"/>
        <w:ind w:left="166" w:right="80" w:hanging="166"/>
        <w:spacing w:after="0" w:line="286" w:lineRule="auto"/>
        <w:tabs>
          <w:tab w:leader="none" w:pos="166"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Worker Well-Being </w:t>
      </w:r>
      <w:r>
        <w:rPr>
          <w:rFonts w:ascii="Arial" w:cs="Arial" w:eastAsia="Arial" w:hAnsi="Arial"/>
          <w:sz w:val="16"/>
          <w:szCs w:val="16"/>
          <w:color w:val="000000"/>
        </w:rPr>
        <w:t>— Throughout our global supply chain, we are advancing ethical practices, respect for human rights and</w:t>
      </w:r>
      <w:r>
        <w:rPr>
          <w:rFonts w:ascii="Arial" w:cs="Arial" w:eastAsia="Arial" w:hAnsi="Arial"/>
          <w:sz w:val="16"/>
          <w:szCs w:val="16"/>
          <w:b w:val="1"/>
          <w:bCs w:val="1"/>
          <w:color w:val="001641"/>
        </w:rPr>
        <w:t xml:space="preserve"> </w:t>
      </w:r>
      <w:r>
        <w:rPr>
          <w:rFonts w:ascii="Arial" w:cs="Arial" w:eastAsia="Arial" w:hAnsi="Arial"/>
          <w:sz w:val="16"/>
          <w:szCs w:val="16"/>
          <w:color w:val="000000"/>
        </w:rPr>
        <w:t>meaningful opportunities for the people who make our products by partnering with suppliers and other external stakeholders.</w:t>
      </w:r>
    </w:p>
    <w:p>
      <w:pPr>
        <w:spacing w:after="0" w:line="61" w:lineRule="exact"/>
        <w:rPr>
          <w:rFonts w:ascii="Arial" w:cs="Arial" w:eastAsia="Arial" w:hAnsi="Arial"/>
          <w:sz w:val="16"/>
          <w:szCs w:val="16"/>
          <w:b w:val="1"/>
          <w:bCs w:val="1"/>
          <w:color w:val="auto"/>
        </w:rPr>
      </w:pPr>
    </w:p>
    <w:p>
      <w:pPr>
        <w:ind w:left="166" w:right="400" w:hanging="166"/>
        <w:spacing w:after="0" w:line="286" w:lineRule="auto"/>
        <w:tabs>
          <w:tab w:leader="none" w:pos="166"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Supply Chain Decarbonization </w:t>
      </w:r>
      <w:r>
        <w:rPr>
          <w:rFonts w:ascii="Arial" w:cs="Arial" w:eastAsia="Arial" w:hAnsi="Arial"/>
          <w:sz w:val="16"/>
          <w:szCs w:val="16"/>
          <w:color w:val="000000"/>
        </w:rPr>
        <w:t>— In collaboration with industry partners and leading organizations, we are engaging in</w:t>
      </w:r>
      <w:r>
        <w:rPr>
          <w:rFonts w:ascii="Arial" w:cs="Arial" w:eastAsia="Arial" w:hAnsi="Arial"/>
          <w:sz w:val="16"/>
          <w:szCs w:val="16"/>
          <w:b w:val="1"/>
          <w:bCs w:val="1"/>
          <w:color w:val="001641"/>
        </w:rPr>
        <w:t xml:space="preserve"> </w:t>
      </w:r>
      <w:r>
        <w:rPr>
          <w:rFonts w:ascii="Arial" w:cs="Arial" w:eastAsia="Arial" w:hAnsi="Arial"/>
          <w:sz w:val="16"/>
          <w:szCs w:val="16"/>
          <w:color w:val="000000"/>
        </w:rPr>
        <w:t>collective efforts to reduce global greenhouse gas emissions and enhance the resilience of our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193675</wp:posOffset>
            </wp:positionV>
            <wp:extent cx="5777865" cy="190309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77786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  </w:t>
      </w:r>
    </w:p>
    <w:p>
      <w:pPr>
        <w:spacing w:after="0" w:line="24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001641"/>
        </w:rPr>
        <w:t>PROTECT NATURAL RESOURCES</w:t>
      </w:r>
    </w:p>
    <w:p>
      <w:pPr>
        <w:spacing w:after="0" w:line="100" w:lineRule="exact"/>
        <w:rPr>
          <w:sz w:val="20"/>
          <w:szCs w:val="20"/>
          <w:color w:val="auto"/>
        </w:rPr>
      </w:pPr>
    </w:p>
    <w:p>
      <w:pPr>
        <w:ind w:left="6" w:right="220"/>
        <w:spacing w:after="0" w:line="286" w:lineRule="auto"/>
        <w:rPr>
          <w:sz w:val="20"/>
          <w:szCs w:val="20"/>
          <w:color w:val="auto"/>
        </w:rPr>
      </w:pPr>
      <w:r>
        <w:rPr>
          <w:rFonts w:ascii="Arial" w:cs="Arial" w:eastAsia="Arial" w:hAnsi="Arial"/>
          <w:sz w:val="16"/>
          <w:szCs w:val="16"/>
          <w:color w:val="auto"/>
        </w:rPr>
        <w:t>To create timeless products that are made to live on, we aim to advance efforts to enhance the resilience of natural resources and reduce our environmental impacts — supported by innovation that helps us achieve both of these objectives.</w:t>
      </w:r>
    </w:p>
    <w:p>
      <w:pPr>
        <w:spacing w:after="0" w:line="61" w:lineRule="exact"/>
        <w:rPr>
          <w:sz w:val="20"/>
          <w:szCs w:val="20"/>
          <w:color w:val="auto"/>
        </w:rPr>
      </w:pPr>
    </w:p>
    <w:p>
      <w:pPr>
        <w:ind w:left="166" w:right="60" w:hanging="166"/>
        <w:spacing w:after="0" w:line="275" w:lineRule="auto"/>
        <w:tabs>
          <w:tab w:leader="none" w:pos="166"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Cotton Stewardship </w:t>
      </w:r>
      <w:r>
        <w:rPr>
          <w:rFonts w:ascii="Arial" w:cs="Arial" w:eastAsia="Arial" w:hAnsi="Arial"/>
          <w:sz w:val="16"/>
          <w:szCs w:val="16"/>
          <w:color w:val="000000"/>
        </w:rPr>
        <w:t>— our flagship program — Cotton is the most widely used material in our products. We work to address</w:t>
      </w:r>
      <w:r>
        <w:rPr>
          <w:rFonts w:ascii="Arial" w:cs="Arial" w:eastAsia="Arial" w:hAnsi="Arial"/>
          <w:sz w:val="16"/>
          <w:szCs w:val="16"/>
          <w:b w:val="1"/>
          <w:bCs w:val="1"/>
          <w:color w:val="001641"/>
        </w:rPr>
        <w:t xml:space="preserve"> </w:t>
      </w:r>
      <w:r>
        <w:rPr>
          <w:rFonts w:ascii="Arial" w:cs="Arial" w:eastAsia="Arial" w:hAnsi="Arial"/>
          <w:sz w:val="16"/>
          <w:szCs w:val="16"/>
          <w:color w:val="000000"/>
        </w:rPr>
        <w:t>its key climate- and nature-related impacts and support its resilience, enabling us to continue to produce high-quality products.</w:t>
      </w:r>
    </w:p>
    <w:p>
      <w:pPr>
        <w:spacing w:after="0" w:line="280" w:lineRule="exact"/>
        <w:rPr>
          <w:rFonts w:ascii="Arial" w:cs="Arial" w:eastAsia="Arial" w:hAnsi="Arial"/>
          <w:sz w:val="16"/>
          <w:szCs w:val="16"/>
          <w:b w:val="1"/>
          <w:bCs w:val="1"/>
          <w:color w:val="auto"/>
        </w:rPr>
      </w:pPr>
    </w:p>
    <w:p>
      <w:pPr>
        <w:ind w:left="166" w:right="120" w:hanging="166"/>
        <w:spacing w:after="0" w:line="266" w:lineRule="auto"/>
        <w:tabs>
          <w:tab w:leader="none" w:pos="166"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Resilience in Natural Materials </w:t>
      </w:r>
      <w:r>
        <w:rPr>
          <w:rFonts w:ascii="Arial" w:cs="Arial" w:eastAsia="Arial" w:hAnsi="Arial"/>
          <w:sz w:val="16"/>
          <w:szCs w:val="16"/>
          <w:color w:val="000000"/>
        </w:rPr>
        <w:t>— To ensure long-term access to high-quality preferred materials — including both plant —</w:t>
      </w:r>
      <w:r>
        <w:rPr>
          <w:rFonts w:ascii="Arial" w:cs="Arial" w:eastAsia="Arial" w:hAnsi="Arial"/>
          <w:sz w:val="16"/>
          <w:szCs w:val="16"/>
          <w:b w:val="1"/>
          <w:bCs w:val="1"/>
          <w:color w:val="001641"/>
        </w:rPr>
        <w:t xml:space="preserve"> </w:t>
      </w:r>
      <w:r>
        <w:rPr>
          <w:rFonts w:ascii="Arial" w:cs="Arial" w:eastAsia="Arial" w:hAnsi="Arial"/>
          <w:sz w:val="16"/>
          <w:szCs w:val="16"/>
          <w:color w:val="000000"/>
        </w:rPr>
        <w:t>and animal-based — we are engaging partners to help improve soil health and strengthen land management and animal welfare practices, helping to reduce sourcing risk and protect nature.</w:t>
      </w:r>
    </w:p>
    <w:p>
      <w:pPr>
        <w:spacing w:after="0" w:line="76" w:lineRule="exact"/>
        <w:rPr>
          <w:rFonts w:ascii="Arial" w:cs="Arial" w:eastAsia="Arial" w:hAnsi="Arial"/>
          <w:sz w:val="16"/>
          <w:szCs w:val="16"/>
          <w:b w:val="1"/>
          <w:bCs w:val="1"/>
          <w:color w:val="auto"/>
        </w:rPr>
      </w:pPr>
    </w:p>
    <w:p>
      <w:pPr>
        <w:ind w:left="166" w:right="420" w:hanging="166"/>
        <w:spacing w:after="0" w:line="286" w:lineRule="auto"/>
        <w:tabs>
          <w:tab w:leader="none" w:pos="166"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Circular Design &amp; Experiences </w:t>
      </w:r>
      <w:r>
        <w:rPr>
          <w:rFonts w:ascii="Arial" w:cs="Arial" w:eastAsia="Arial" w:hAnsi="Arial"/>
          <w:sz w:val="16"/>
          <w:szCs w:val="16"/>
          <w:color w:val="000000"/>
        </w:rPr>
        <w:t>— Our commitment to circularity is embedded throughout our design and development</w:t>
      </w:r>
      <w:r>
        <w:rPr>
          <w:rFonts w:ascii="Arial" w:cs="Arial" w:eastAsia="Arial" w:hAnsi="Arial"/>
          <w:sz w:val="16"/>
          <w:szCs w:val="16"/>
          <w:b w:val="1"/>
          <w:bCs w:val="1"/>
          <w:color w:val="001641"/>
        </w:rPr>
        <w:t xml:space="preserve"> </w:t>
      </w:r>
      <w:r>
        <w:rPr>
          <w:rFonts w:ascii="Arial" w:cs="Arial" w:eastAsia="Arial" w:hAnsi="Arial"/>
          <w:sz w:val="16"/>
          <w:szCs w:val="16"/>
          <w:color w:val="000000"/>
        </w:rPr>
        <w:t>process, enabling our products to be loved and passed on through generations.</w:t>
      </w:r>
    </w:p>
    <w:p>
      <w:pPr>
        <w:spacing w:after="0" w:line="61" w:lineRule="exact"/>
        <w:rPr>
          <w:rFonts w:ascii="Arial" w:cs="Arial" w:eastAsia="Arial" w:hAnsi="Arial"/>
          <w:sz w:val="16"/>
          <w:szCs w:val="16"/>
          <w:b w:val="1"/>
          <w:bCs w:val="1"/>
          <w:color w:val="auto"/>
        </w:rPr>
      </w:pPr>
    </w:p>
    <w:p>
      <w:pPr>
        <w:ind w:left="166" w:right="200" w:hanging="166"/>
        <w:spacing w:after="0" w:line="266" w:lineRule="auto"/>
        <w:tabs>
          <w:tab w:leader="none" w:pos="166"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Next Gen Materials </w:t>
      </w:r>
      <w:r>
        <w:rPr>
          <w:rFonts w:ascii="Arial" w:cs="Arial" w:eastAsia="Arial" w:hAnsi="Arial"/>
          <w:sz w:val="16"/>
          <w:szCs w:val="16"/>
          <w:color w:val="000000"/>
        </w:rPr>
        <w:t>— For years, we have explored the use of innovative materials that meet our — and our customers’ —</w:t>
      </w:r>
      <w:r>
        <w:rPr>
          <w:rFonts w:ascii="Arial" w:cs="Arial" w:eastAsia="Arial" w:hAnsi="Arial"/>
          <w:sz w:val="16"/>
          <w:szCs w:val="16"/>
          <w:b w:val="1"/>
          <w:bCs w:val="1"/>
          <w:color w:val="001641"/>
        </w:rPr>
        <w:t xml:space="preserve"> </w:t>
      </w:r>
      <w:r>
        <w:rPr>
          <w:rFonts w:ascii="Arial" w:cs="Arial" w:eastAsia="Arial" w:hAnsi="Arial"/>
          <w:sz w:val="16"/>
          <w:szCs w:val="16"/>
          <w:color w:val="000000"/>
        </w:rPr>
        <w:t>high expectations of quality, and we will continue to source new materials that reduce environmental impact and enable circularity, all while delivering for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82930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128905" cy="11112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8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126365</wp:posOffset>
            </wp:positionV>
            <wp:extent cx="699516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8" w:name="page59"/>
    <w:bookmarkEnd w:id="5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5829300" cy="19888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82930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  </w:t>
      </w:r>
    </w:p>
    <w:p>
      <w:pPr>
        <w:spacing w:after="0" w:line="23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001641"/>
        </w:rPr>
        <w:t>ENGAGE AND ENABLE TEAMS</w:t>
      </w:r>
    </w:p>
    <w:p>
      <w:pPr>
        <w:spacing w:after="0" w:line="100" w:lineRule="exact"/>
        <w:rPr>
          <w:sz w:val="20"/>
          <w:szCs w:val="20"/>
          <w:color w:val="auto"/>
        </w:rPr>
      </w:pPr>
    </w:p>
    <w:p>
      <w:pPr>
        <w:ind w:left="6"/>
        <w:spacing w:after="0" w:line="266" w:lineRule="auto"/>
        <w:rPr>
          <w:sz w:val="20"/>
          <w:szCs w:val="20"/>
          <w:color w:val="auto"/>
        </w:rPr>
      </w:pPr>
      <w:r>
        <w:rPr>
          <w:rFonts w:ascii="Arial" w:cs="Arial" w:eastAsia="Arial" w:hAnsi="Arial"/>
          <w:sz w:val="16"/>
          <w:szCs w:val="16"/>
          <w:color w:val="auto"/>
        </w:rPr>
        <w:t>Our teams are at the center of our success. We enable our employees to reach their full potential through opportunities for growth and development, programs that support their well-being and by fostering a culture of belonging — creating an employee experience that attracts and retains the industry’s best talent.</w:t>
      </w:r>
    </w:p>
    <w:p>
      <w:pPr>
        <w:spacing w:after="0" w:line="77" w:lineRule="exact"/>
        <w:rPr>
          <w:sz w:val="20"/>
          <w:szCs w:val="20"/>
          <w:color w:val="auto"/>
        </w:rPr>
      </w:pPr>
    </w:p>
    <w:p>
      <w:pPr>
        <w:ind w:left="166" w:right="20" w:hanging="166"/>
        <w:spacing w:after="0" w:line="286" w:lineRule="auto"/>
        <w:tabs>
          <w:tab w:leader="none" w:pos="166"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Only at RL </w:t>
      </w:r>
      <w:r>
        <w:rPr>
          <w:rFonts w:ascii="Arial" w:cs="Arial" w:eastAsia="Arial" w:hAnsi="Arial"/>
          <w:sz w:val="16"/>
          <w:szCs w:val="16"/>
          <w:color w:val="000000"/>
        </w:rPr>
        <w:t>— our flagship program — Only at RL encompasses the unique experience of working at Ralph Lauren. It reflects</w:t>
      </w:r>
      <w:r>
        <w:rPr>
          <w:rFonts w:ascii="Arial" w:cs="Arial" w:eastAsia="Arial" w:hAnsi="Arial"/>
          <w:sz w:val="16"/>
          <w:szCs w:val="16"/>
          <w:b w:val="1"/>
          <w:bCs w:val="1"/>
          <w:color w:val="001641"/>
        </w:rPr>
        <w:t xml:space="preserve"> </w:t>
      </w:r>
      <w:r>
        <w:rPr>
          <w:rFonts w:ascii="Arial" w:cs="Arial" w:eastAsia="Arial" w:hAnsi="Arial"/>
          <w:sz w:val="16"/>
          <w:szCs w:val="16"/>
          <w:color w:val="000000"/>
        </w:rPr>
        <w:t>what we expect of our employees, how we build careers and how we create an environment where everyone feels valued.</w:t>
      </w:r>
    </w:p>
    <w:p>
      <w:pPr>
        <w:spacing w:after="0" w:line="61" w:lineRule="exact"/>
        <w:rPr>
          <w:rFonts w:ascii="Arial" w:cs="Arial" w:eastAsia="Arial" w:hAnsi="Arial"/>
          <w:sz w:val="16"/>
          <w:szCs w:val="16"/>
          <w:b w:val="1"/>
          <w:bCs w:val="1"/>
          <w:color w:val="auto"/>
        </w:rPr>
      </w:pPr>
    </w:p>
    <w:p>
      <w:pPr>
        <w:ind w:left="166" w:right="200" w:hanging="166"/>
        <w:spacing w:after="0" w:line="286" w:lineRule="auto"/>
        <w:tabs>
          <w:tab w:leader="none" w:pos="166"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Belonging &amp; Equity </w:t>
      </w:r>
      <w:r>
        <w:rPr>
          <w:rFonts w:ascii="Arial" w:cs="Arial" w:eastAsia="Arial" w:hAnsi="Arial"/>
          <w:sz w:val="16"/>
          <w:szCs w:val="16"/>
          <w:color w:val="000000"/>
        </w:rPr>
        <w:t>— We create and maintain a culture of inclusion within our Company and throughout the communities</w:t>
      </w:r>
      <w:r>
        <w:rPr>
          <w:rFonts w:ascii="Arial" w:cs="Arial" w:eastAsia="Arial" w:hAnsi="Arial"/>
          <w:sz w:val="16"/>
          <w:szCs w:val="16"/>
          <w:b w:val="1"/>
          <w:bCs w:val="1"/>
          <w:color w:val="001641"/>
        </w:rPr>
        <w:t xml:space="preserve"> </w:t>
      </w:r>
      <w:r>
        <w:rPr>
          <w:rFonts w:ascii="Arial" w:cs="Arial" w:eastAsia="Arial" w:hAnsi="Arial"/>
          <w:sz w:val="16"/>
          <w:szCs w:val="16"/>
          <w:color w:val="000000"/>
        </w:rPr>
        <w:t>we serve, enabling all people to thrive.</w:t>
      </w:r>
    </w:p>
    <w:p>
      <w:pPr>
        <w:spacing w:after="0" w:line="74" w:lineRule="exact"/>
        <w:rPr>
          <w:rFonts w:ascii="Arial" w:cs="Arial" w:eastAsia="Arial" w:hAnsi="Arial"/>
          <w:sz w:val="16"/>
          <w:szCs w:val="16"/>
          <w:b w:val="1"/>
          <w:bCs w:val="1"/>
          <w:color w:val="auto"/>
        </w:rPr>
      </w:pPr>
    </w:p>
    <w:p>
      <w:pPr>
        <w:ind w:left="166" w:right="680" w:hanging="166"/>
        <w:spacing w:after="0" w:line="286" w:lineRule="auto"/>
        <w:tabs>
          <w:tab w:leader="none" w:pos="166"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Learning &amp; Development </w:t>
      </w:r>
      <w:r>
        <w:rPr>
          <w:rFonts w:ascii="Arial" w:cs="Arial" w:eastAsia="Arial" w:hAnsi="Arial"/>
          <w:sz w:val="16"/>
          <w:szCs w:val="16"/>
          <w:color w:val="000000"/>
        </w:rPr>
        <w:t>— We foster employee growth through professional development opportunities, including</w:t>
      </w:r>
      <w:r>
        <w:rPr>
          <w:rFonts w:ascii="Arial" w:cs="Arial" w:eastAsia="Arial" w:hAnsi="Arial"/>
          <w:sz w:val="16"/>
          <w:szCs w:val="16"/>
          <w:b w:val="1"/>
          <w:bCs w:val="1"/>
          <w:color w:val="001641"/>
        </w:rPr>
        <w:t xml:space="preserve"> </w:t>
      </w:r>
      <w:r>
        <w:rPr>
          <w:rFonts w:ascii="Arial" w:cs="Arial" w:eastAsia="Arial" w:hAnsi="Arial"/>
          <w:sz w:val="16"/>
          <w:szCs w:val="16"/>
          <w:color w:val="000000"/>
        </w:rPr>
        <w:t>structured programs for building skills and capabilities.</w:t>
      </w:r>
    </w:p>
    <w:p>
      <w:pPr>
        <w:spacing w:after="0" w:line="61" w:lineRule="exact"/>
        <w:rPr>
          <w:rFonts w:ascii="Arial" w:cs="Arial" w:eastAsia="Arial" w:hAnsi="Arial"/>
          <w:sz w:val="16"/>
          <w:szCs w:val="16"/>
          <w:b w:val="1"/>
          <w:bCs w:val="1"/>
          <w:color w:val="auto"/>
        </w:rPr>
      </w:pPr>
    </w:p>
    <w:p>
      <w:pPr>
        <w:ind w:left="166" w:right="740" w:hanging="166"/>
        <w:spacing w:after="0" w:line="286" w:lineRule="auto"/>
        <w:tabs>
          <w:tab w:leader="none" w:pos="166"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Total Rewards </w:t>
      </w:r>
      <w:r>
        <w:rPr>
          <w:rFonts w:ascii="Arial" w:cs="Arial" w:eastAsia="Arial" w:hAnsi="Arial"/>
          <w:sz w:val="16"/>
          <w:szCs w:val="16"/>
          <w:color w:val="000000"/>
        </w:rPr>
        <w:t>— We support the physical, emotional, social and financial well-being of our employees through our</w:t>
      </w:r>
      <w:r>
        <w:rPr>
          <w:rFonts w:ascii="Arial" w:cs="Arial" w:eastAsia="Arial" w:hAnsi="Arial"/>
          <w:sz w:val="16"/>
          <w:szCs w:val="16"/>
          <w:b w:val="1"/>
          <w:bCs w:val="1"/>
          <w:color w:val="001641"/>
        </w:rPr>
        <w:t xml:space="preserve"> </w:t>
      </w:r>
      <w:r>
        <w:rPr>
          <w:rFonts w:ascii="Arial" w:cs="Arial" w:eastAsia="Arial" w:hAnsi="Arial"/>
          <w:sz w:val="16"/>
          <w:szCs w:val="16"/>
          <w:color w:val="000000"/>
        </w:rPr>
        <w:t>comprehensive and individualized benefits and wellness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66"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48</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59" w:name="page60"/>
    <w:bookmarkEnd w:id="5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5829300" cy="2040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82930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  </w:t>
      </w:r>
    </w:p>
    <w:p>
      <w:pPr>
        <w:spacing w:after="0" w:line="23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001641"/>
        </w:rPr>
        <w:t>CARE FOR COMMUNITIES</w:t>
      </w:r>
    </w:p>
    <w:p>
      <w:pPr>
        <w:spacing w:after="0" w:line="100" w:lineRule="exact"/>
        <w:rPr>
          <w:sz w:val="20"/>
          <w:szCs w:val="20"/>
          <w:color w:val="auto"/>
        </w:rPr>
      </w:pPr>
    </w:p>
    <w:p>
      <w:pPr>
        <w:ind w:left="6" w:right="240"/>
        <w:spacing w:after="0" w:line="286" w:lineRule="auto"/>
        <w:rPr>
          <w:sz w:val="20"/>
          <w:szCs w:val="20"/>
          <w:color w:val="auto"/>
        </w:rPr>
      </w:pPr>
      <w:r>
        <w:rPr>
          <w:rFonts w:ascii="Arial" w:cs="Arial" w:eastAsia="Arial" w:hAnsi="Arial"/>
          <w:sz w:val="16"/>
          <w:szCs w:val="16"/>
          <w:color w:val="auto"/>
        </w:rPr>
        <w:t>Through employee volunteering, philanthropic giving and strategic partnerships, Ralph Lauren helps to uplift the communities we serve globally and advances opportunities to enable the dream of a better life for all.</w:t>
      </w:r>
    </w:p>
    <w:p>
      <w:pPr>
        <w:spacing w:after="0" w:line="102" w:lineRule="exact"/>
        <w:rPr>
          <w:sz w:val="20"/>
          <w:szCs w:val="20"/>
          <w:color w:val="auto"/>
        </w:rPr>
      </w:pPr>
    </w:p>
    <w:p>
      <w:pPr>
        <w:ind w:left="166" w:right="220" w:hanging="166"/>
        <w:spacing w:after="0" w:line="286" w:lineRule="auto"/>
        <w:tabs>
          <w:tab w:leader="none" w:pos="166"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Pink Pony </w:t>
      </w:r>
      <w:r>
        <w:rPr>
          <w:rFonts w:ascii="Arial" w:cs="Arial" w:eastAsia="Arial" w:hAnsi="Arial"/>
          <w:sz w:val="16"/>
          <w:szCs w:val="16"/>
          <w:color w:val="000000"/>
        </w:rPr>
        <w:t>— Our worldwide initiative focused on the fight against cancer that supports programs for research, screenings,</w:t>
      </w:r>
      <w:r>
        <w:rPr>
          <w:rFonts w:ascii="Arial" w:cs="Arial" w:eastAsia="Arial" w:hAnsi="Arial"/>
          <w:sz w:val="16"/>
          <w:szCs w:val="16"/>
          <w:b w:val="1"/>
          <w:bCs w:val="1"/>
          <w:color w:val="001641"/>
        </w:rPr>
        <w:t xml:space="preserve"> </w:t>
      </w:r>
      <w:r>
        <w:rPr>
          <w:rFonts w:ascii="Arial" w:cs="Arial" w:eastAsia="Arial" w:hAnsi="Arial"/>
          <w:sz w:val="16"/>
          <w:szCs w:val="16"/>
          <w:color w:val="000000"/>
        </w:rPr>
        <w:t>treatment, education and patient navigation.</w:t>
      </w:r>
    </w:p>
    <w:p>
      <w:pPr>
        <w:spacing w:after="0" w:line="61" w:lineRule="exact"/>
        <w:rPr>
          <w:rFonts w:ascii="Arial" w:cs="Arial" w:eastAsia="Arial" w:hAnsi="Arial"/>
          <w:sz w:val="16"/>
          <w:szCs w:val="16"/>
          <w:b w:val="1"/>
          <w:bCs w:val="1"/>
          <w:color w:val="auto"/>
        </w:rPr>
      </w:pPr>
    </w:p>
    <w:p>
      <w:pPr>
        <w:ind w:left="166" w:right="680" w:hanging="166"/>
        <w:spacing w:after="0" w:line="286" w:lineRule="auto"/>
        <w:tabs>
          <w:tab w:leader="none" w:pos="166"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Community Outreach </w:t>
      </w:r>
      <w:r>
        <w:rPr>
          <w:rFonts w:ascii="Arial" w:cs="Arial" w:eastAsia="Arial" w:hAnsi="Arial"/>
          <w:sz w:val="16"/>
          <w:szCs w:val="16"/>
          <w:color w:val="000000"/>
        </w:rPr>
        <w:t>— We work to enable the dream of a better life for all through philanthropic giving, education,</w:t>
      </w:r>
      <w:r>
        <w:rPr>
          <w:rFonts w:ascii="Arial" w:cs="Arial" w:eastAsia="Arial" w:hAnsi="Arial"/>
          <w:sz w:val="16"/>
          <w:szCs w:val="16"/>
          <w:b w:val="1"/>
          <w:bCs w:val="1"/>
          <w:color w:val="001641"/>
        </w:rPr>
        <w:t xml:space="preserve"> </w:t>
      </w:r>
      <w:r>
        <w:rPr>
          <w:rFonts w:ascii="Arial" w:cs="Arial" w:eastAsia="Arial" w:hAnsi="Arial"/>
          <w:sz w:val="16"/>
          <w:szCs w:val="16"/>
          <w:color w:val="000000"/>
        </w:rPr>
        <w:t>awareness and strategic community partnerships.</w:t>
      </w:r>
    </w:p>
    <w:p>
      <w:pPr>
        <w:spacing w:after="0" w:line="61" w:lineRule="exact"/>
        <w:rPr>
          <w:rFonts w:ascii="Arial" w:cs="Arial" w:eastAsia="Arial" w:hAnsi="Arial"/>
          <w:sz w:val="16"/>
          <w:szCs w:val="16"/>
          <w:b w:val="1"/>
          <w:bCs w:val="1"/>
          <w:color w:val="auto"/>
        </w:rPr>
      </w:pPr>
    </w:p>
    <w:p>
      <w:pPr>
        <w:ind w:left="166" w:right="80" w:hanging="166"/>
        <w:spacing w:after="0" w:line="286" w:lineRule="auto"/>
        <w:tabs>
          <w:tab w:leader="none" w:pos="166"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001641"/>
        </w:rPr>
        <w:t xml:space="preserve">Ralph Lauren Gives Back </w:t>
      </w:r>
      <w:r>
        <w:rPr>
          <w:rFonts w:ascii="Arial" w:cs="Arial" w:eastAsia="Arial" w:hAnsi="Arial"/>
          <w:sz w:val="16"/>
          <w:szCs w:val="16"/>
          <w:color w:val="000000"/>
        </w:rPr>
        <w:t>— We empower our global employees to directly support their communities through opportunities</w:t>
      </w:r>
      <w:r>
        <w:rPr>
          <w:rFonts w:ascii="Arial" w:cs="Arial" w:eastAsia="Arial" w:hAnsi="Arial"/>
          <w:sz w:val="16"/>
          <w:szCs w:val="16"/>
          <w:b w:val="1"/>
          <w:bCs w:val="1"/>
          <w:color w:val="001641"/>
        </w:rPr>
        <w:t xml:space="preserve"> </w:t>
      </w:r>
      <w:r>
        <w:rPr>
          <w:rFonts w:ascii="Arial" w:cs="Arial" w:eastAsia="Arial" w:hAnsi="Arial"/>
          <w:sz w:val="16"/>
          <w:szCs w:val="16"/>
          <w:color w:val="000000"/>
        </w:rPr>
        <w:t>to volunteer their time and resources to those in need. </w:t>
      </w:r>
    </w:p>
    <w:p>
      <w:pPr>
        <w:spacing w:after="0" w:line="27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DIRECTOR COMMUNICATIONS</w:t>
      </w:r>
    </w:p>
    <w:p>
      <w:pPr>
        <w:spacing w:after="0" w:line="139" w:lineRule="exact"/>
        <w:rPr>
          <w:sz w:val="20"/>
          <w:szCs w:val="20"/>
          <w:color w:val="auto"/>
        </w:rPr>
      </w:pPr>
    </w:p>
    <w:p>
      <w:pPr>
        <w:ind w:left="6" w:right="160"/>
        <w:spacing w:after="0" w:line="266" w:lineRule="auto"/>
        <w:rPr>
          <w:sz w:val="20"/>
          <w:szCs w:val="20"/>
          <w:color w:val="auto"/>
        </w:rPr>
      </w:pPr>
      <w:r>
        <w:rPr>
          <w:rFonts w:ascii="Arial" w:cs="Arial" w:eastAsia="Arial" w:hAnsi="Arial"/>
          <w:sz w:val="16"/>
          <w:szCs w:val="16"/>
          <w:color w:val="auto"/>
        </w:rPr>
        <w:t>Stockholders and interested parties may contact any of our directors, including the Executive Chairman of the Board, the Lead Independent Director, the Chairs of the Board’s independent Committees, any Committee of the Board, the Board’s non-management directors as a group or the entire Board, by writing to them as follows:</w:t>
      </w:r>
    </w:p>
    <w:p>
      <w:pPr>
        <w:spacing w:after="0" w:line="117" w:lineRule="exact"/>
        <w:rPr>
          <w:sz w:val="20"/>
          <w:szCs w:val="20"/>
          <w:color w:val="auto"/>
        </w:rPr>
      </w:pPr>
    </w:p>
    <w:p>
      <w:pPr>
        <w:ind w:left="6" w:right="80"/>
        <w:spacing w:after="0" w:line="286" w:lineRule="auto"/>
        <w:rPr>
          <w:sz w:val="20"/>
          <w:szCs w:val="20"/>
          <w:color w:val="auto"/>
        </w:rPr>
      </w:pPr>
      <w:r>
        <w:rPr>
          <w:rFonts w:ascii="Arial" w:cs="Arial" w:eastAsia="Arial" w:hAnsi="Arial"/>
          <w:sz w:val="16"/>
          <w:szCs w:val="16"/>
          <w:color w:val="auto"/>
        </w:rPr>
        <w:t>Name(s)/Title(s), c/o Legal Department and Office of the Corporate Secretary, Ralph Lauren Corporation, 100 Metro Boulevard, Nutley, New Jersey, 07110.</w:t>
      </w:r>
    </w:p>
    <w:p>
      <w:pPr>
        <w:spacing w:after="0" w:line="102" w:lineRule="exact"/>
        <w:rPr>
          <w:sz w:val="20"/>
          <w:szCs w:val="20"/>
          <w:color w:val="auto"/>
        </w:rPr>
      </w:pPr>
    </w:p>
    <w:p>
      <w:pPr>
        <w:ind w:left="6" w:right="20"/>
        <w:spacing w:after="0" w:line="254" w:lineRule="auto"/>
        <w:rPr>
          <w:sz w:val="20"/>
          <w:szCs w:val="20"/>
          <w:color w:val="auto"/>
        </w:rPr>
      </w:pPr>
      <w:r>
        <w:rPr>
          <w:rFonts w:ascii="Arial" w:cs="Arial" w:eastAsia="Arial" w:hAnsi="Arial"/>
          <w:sz w:val="16"/>
          <w:szCs w:val="16"/>
          <w:color w:val="auto"/>
        </w:rPr>
        <w:t>Communications received in this manner will be handled in accordance with the procedures approved by our non-management directors, who have also requested that certain items that are unrelated to the duties and responsibilities of the Board should be excluded, such as spam, junk mail and mass mailings, product complaints, product inquiries, new product suggestions, resumés and other forms of job inquiries, surveys and business solicitations or advertisements. In addition, material that is threatening, illegal, or similarly unsuitable will be excluded, with the provision that any communication that is filtered out will be available to any non-management director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582930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261620</wp:posOffset>
            </wp:positionV>
            <wp:extent cx="128905" cy="11112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9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126365</wp:posOffset>
            </wp:positionV>
            <wp:extent cx="699516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58293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54"/>
          <w:szCs w:val="54"/>
          <w:color w:val="001641"/>
        </w:rPr>
        <w:t>Audit Committee Report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Audit Committee assists the Board in fulfilling its oversight responsibilities with respect to the Company’s consolidated financial statements, the Company’s compliance with legal and regulatory requirements, the Company’s system of internal control over financial reporting, and the qualifications, independence, and performance of the Company’s internal and independent registered public accounting firm. The Audit Committee has the sole authority and responsibility to select, evaluate, and, when appropriate, replace the Company’s independent registered public accounting firm. The Audit Committee currently is composed of four independent directors and operates under a written charter adopted by the Audit Committee and ratified by the Board.</w:t>
      </w:r>
    </w:p>
    <w:p>
      <w:pPr>
        <w:spacing w:after="0" w:line="32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Management is responsible for the Company’s financial reporting process, including the Company’s internal control over financial reporting, and for the preparation of the Company’s consolidated financial statements in accordance with U.S. GAAP. Ernst &amp; Young, as the Company’s independent registered public accounting firm for Fiscal 2026, was responsible for auditing those financial statements and expressing its opinion as to the fairness of the financial statement presentation in accordance with U.S. GAAP, and the effectiveness of the Company’s internal control over financial reporting. The Audit Committee’s responsibility is to oversee and review these processes. The Audit Committee is not, however, professionally engaged in the practice of accounting or auditing and does not provide any expert or other special assurance as to such financial statements concerning compliance with laws, regulations, or U.S. GAAP or as to auditor independence. The Audit Committee relies, without independent verification, on the information provided to us and on the representations made by management and the independent registered public accounting firm.</w:t>
      </w:r>
    </w:p>
    <w:p>
      <w:pPr>
        <w:spacing w:after="0" w:line="13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this context, the Audit Committee has met and held discussions with management and Ernst &amp; Young, the Company’s independent registered public accounting firm for Fiscal 2026. Management represented to the Audit Committee that the Company’s consolidated financial statements were prepared in accordance with U.S. GAAP, and the Audit Committee has reviewed and discussed with management, the Company’s internal auditors, and Ernst &amp; Young the Company’s consolidated financial statements for Fiscal 2026 and the Company’s internal control over financial reporting. The Audit Committee also discussed with Ernst &amp; Young the matters required to be discussed by the applicable requirements of the Public Company Accounting Oversight Board (“PCAOB”) and the SEC. Ernst &amp; Young provided to the Audit Committee the written disclosures and the letter required by the applicable requirements of the PCAOB regarding Ernst &amp; Young’s communication with the Audit Committee concerning independence, and the Audit Committee discussed their independence with them. In determining Ernst &amp; Young’s independence, the Audit Committee considered whether their provision of non-audit services to the Company was compatible with maintaining independence. The Audit Committee received regular updates on Ernst &amp; Young’s fees and the scope of audit and non-audit services it provided. All such services were provided consistent with applicable rules and the Company’s pre-approval policies and procedures.</w:t>
      </w:r>
    </w:p>
    <w:p>
      <w:pPr>
        <w:spacing w:after="0" w:line="13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Based on our discussions with management, the Company’s internal auditors, and Ernst &amp; Young, and our review of the audited financial statements, including the representations of management and Ernst &amp; Young with respect thereto, and subject in all cases to the limitations on our role and responsibilities referred to above and set forth in the Audit Committee Charter, the Audit Committee recommended to the Board that the Company’s audited consolidated financial statements for Fiscal 2026 be included in the Company’s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9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50</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760"/>
            <wp:effectExtent l="0" t="0" r="0"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72"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Audit Committee also approved, subject to stockholder ratification, the selection of Ernst &amp; Young as the Company’s independent registered public accounting firm for Fiscal 2027.</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Audit Committee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A. George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(Committee Chair)</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Frank A. Bennack, Jr.</w:t>
      </w:r>
    </w:p>
    <w:p>
      <w:pPr>
        <w:spacing w:after="0"/>
        <w:rPr>
          <w:sz w:val="20"/>
          <w:szCs w:val="20"/>
          <w:color w:val="auto"/>
        </w:rPr>
      </w:pPr>
      <w:r>
        <w:rPr>
          <w:rFonts w:ascii="Arial" w:cs="Arial" w:eastAsia="Arial" w:hAnsi="Arial"/>
          <w:sz w:val="16"/>
          <w:szCs w:val="16"/>
          <w:b w:val="1"/>
          <w:bCs w:val="1"/>
          <w:color w:val="auto"/>
        </w:rPr>
        <w:t> </w:t>
      </w:r>
    </w:p>
    <w:p>
      <w:pPr>
        <w:spacing w:after="0" w:line="188" w:lineRule="auto"/>
        <w:rPr>
          <w:sz w:val="20"/>
          <w:szCs w:val="20"/>
          <w:color w:val="auto"/>
        </w:rPr>
      </w:pPr>
      <w:r>
        <w:rPr>
          <w:rFonts w:ascii="Arial" w:cs="Arial" w:eastAsia="Arial" w:hAnsi="Arial"/>
          <w:sz w:val="14"/>
          <w:szCs w:val="14"/>
          <w:b w:val="1"/>
          <w:bCs w:val="1"/>
          <w:color w:val="auto"/>
        </w:rPr>
        <w:t>Debra Cupp</w:t>
      </w:r>
    </w:p>
    <w:p>
      <w:pPr>
        <w:spacing w:after="0"/>
        <w:rPr>
          <w:sz w:val="20"/>
          <w:szCs w:val="20"/>
          <w:color w:val="auto"/>
        </w:rPr>
      </w:pPr>
      <w:r>
        <w:rPr>
          <w:rFonts w:ascii="Arial" w:cs="Arial" w:eastAsia="Arial" w:hAnsi="Arial"/>
          <w:sz w:val="16"/>
          <w:szCs w:val="16"/>
          <w:b w:val="1"/>
          <w:bCs w:val="1"/>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Valerie Jarrett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58293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276225</wp:posOffset>
            </wp:positionV>
            <wp:extent cx="128905" cy="11176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62" w:name="page63"/>
    <w:bookmarkEnd w:id="62"/>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283210</wp:posOffset>
            </wp:positionV>
            <wp:extent cx="58293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20" w:right="1140"/>
        <w:spacing w:after="0" w:line="278" w:lineRule="auto"/>
        <w:rPr>
          <w:sz w:val="20"/>
          <w:szCs w:val="20"/>
          <w:color w:val="auto"/>
        </w:rPr>
      </w:pPr>
      <w:r>
        <w:rPr>
          <w:rFonts w:ascii="Times New Roman" w:cs="Times New Roman" w:eastAsia="Times New Roman" w:hAnsi="Times New Roman"/>
          <w:sz w:val="54"/>
          <w:szCs w:val="54"/>
          <w:color w:val="001641"/>
        </w:rPr>
        <w:t>Security Ownership of Certain Beneficial Owners and Management</w:t>
      </w:r>
    </w:p>
    <w:p>
      <w:pPr>
        <w:spacing w:after="0" w:line="200" w:lineRule="exact"/>
        <w:rPr>
          <w:sz w:val="20"/>
          <w:szCs w:val="20"/>
          <w:color w:val="auto"/>
        </w:rPr>
      </w:pPr>
    </w:p>
    <w:p>
      <w:pPr>
        <w:spacing w:after="0" w:line="227" w:lineRule="exact"/>
        <w:rPr>
          <w:sz w:val="20"/>
          <w:szCs w:val="20"/>
          <w:color w:val="auto"/>
        </w:rPr>
      </w:pPr>
    </w:p>
    <w:p>
      <w:pPr>
        <w:ind w:left="920" w:right="960"/>
        <w:spacing w:after="0" w:line="249" w:lineRule="auto"/>
        <w:rPr>
          <w:sz w:val="20"/>
          <w:szCs w:val="20"/>
          <w:color w:val="auto"/>
        </w:rPr>
      </w:pPr>
      <w:r>
        <w:rPr>
          <w:rFonts w:ascii="Arial" w:cs="Arial" w:eastAsia="Arial" w:hAnsi="Arial"/>
          <w:sz w:val="16"/>
          <w:szCs w:val="16"/>
          <w:color w:val="auto"/>
        </w:rPr>
        <w:t>The following table sets forth certain information regarding the beneficial ownership of our Common Stock as of the Record Date by: (i) each of our NEOs, (ii) each director and director nominee, (iii) each stockholder who is known by us to beneficially own in excess of five percent of any class of our voting securities, and (iv) all directors and executive officers as a group. Except as otherwise indicated, each stockholder listed below has sole voting and investment power with respect to the shares beneficially owned by such person. The rules of the SEC consider a person to be the “beneficial owner” of any securities over which the person has or shares voting power or investment power. In addition, a person is deemed to be the beneficial owner of securities if that person has the right to acquire beneficial ownership of such securities within 60 days, including through conversion or exercise of an option or other right. Unless otherwise indicated below, the address of each stockholder is</w:t>
      </w:r>
    </w:p>
    <w:p>
      <w:pPr>
        <w:spacing w:after="0" w:line="1" w:lineRule="exact"/>
        <w:rPr>
          <w:sz w:val="20"/>
          <w:szCs w:val="20"/>
          <w:color w:val="auto"/>
        </w:rPr>
      </w:pPr>
    </w:p>
    <w:p>
      <w:pPr>
        <w:ind w:left="920" w:right="1360"/>
        <w:spacing w:after="0" w:line="265" w:lineRule="auto"/>
        <w:rPr>
          <w:sz w:val="20"/>
          <w:szCs w:val="20"/>
          <w:color w:val="auto"/>
        </w:rPr>
      </w:pPr>
      <w:r>
        <w:rPr>
          <w:rFonts w:ascii="Arial" w:cs="Arial" w:eastAsia="Arial" w:hAnsi="Arial"/>
          <w:sz w:val="16"/>
          <w:szCs w:val="16"/>
          <w:color w:val="auto"/>
        </w:rPr>
        <w:t>650 Madison Avenue, New York, New York 10022. As of the Record Date, there were 570 holders of record of our Class A Common Stock.</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20" w:type="dxa"/>
            <w:vAlign w:val="bottom"/>
          </w:tcPr>
          <w:p>
            <w:pPr>
              <w:spacing w:after="0"/>
              <w:rPr>
                <w:sz w:val="22"/>
                <w:szCs w:val="22"/>
                <w:color w:val="auto"/>
              </w:rPr>
            </w:pPr>
          </w:p>
        </w:tc>
        <w:tc>
          <w:tcPr>
            <w:tcW w:w="4800" w:type="dxa"/>
            <w:vAlign w:val="bottom"/>
            <w:shd w:val="clear" w:color="auto" w:fill="001641"/>
          </w:tcPr>
          <w:p>
            <w:pPr>
              <w:spacing w:after="0"/>
              <w:rPr>
                <w:sz w:val="22"/>
                <w:szCs w:val="22"/>
                <w:color w:val="auto"/>
              </w:rPr>
            </w:pPr>
          </w:p>
        </w:tc>
        <w:tc>
          <w:tcPr>
            <w:tcW w:w="1240" w:type="dxa"/>
            <w:vAlign w:val="bottom"/>
            <w:shd w:val="clear" w:color="auto" w:fill="001641"/>
          </w:tcPr>
          <w:p>
            <w:pPr>
              <w:spacing w:after="0"/>
              <w:rPr>
                <w:sz w:val="22"/>
                <w:szCs w:val="22"/>
                <w:color w:val="auto"/>
              </w:rPr>
            </w:pPr>
          </w:p>
        </w:tc>
        <w:tc>
          <w:tcPr>
            <w:tcW w:w="520" w:type="dxa"/>
            <w:vAlign w:val="bottom"/>
            <w:shd w:val="clear" w:color="auto" w:fill="001641"/>
          </w:tcPr>
          <w:p>
            <w:pPr>
              <w:spacing w:after="0"/>
              <w:rPr>
                <w:sz w:val="22"/>
                <w:szCs w:val="22"/>
                <w:color w:val="auto"/>
              </w:rPr>
            </w:pPr>
          </w:p>
        </w:tc>
        <w:tc>
          <w:tcPr>
            <w:tcW w:w="1120" w:type="dxa"/>
            <w:vAlign w:val="bottom"/>
            <w:shd w:val="clear" w:color="auto" w:fill="001641"/>
          </w:tcPr>
          <w:p>
            <w:pPr>
              <w:spacing w:after="0"/>
              <w:rPr>
                <w:sz w:val="22"/>
                <w:szCs w:val="22"/>
                <w:color w:val="auto"/>
              </w:rPr>
            </w:pPr>
          </w:p>
        </w:tc>
        <w:tc>
          <w:tcPr>
            <w:tcW w:w="540" w:type="dxa"/>
            <w:vAlign w:val="bottom"/>
            <w:shd w:val="clear" w:color="auto" w:fill="001641"/>
          </w:tcPr>
          <w:p>
            <w:pPr>
              <w:spacing w:after="0"/>
              <w:rPr>
                <w:sz w:val="22"/>
                <w:szCs w:val="22"/>
                <w:color w:val="auto"/>
              </w:rPr>
            </w:pPr>
          </w:p>
        </w:tc>
        <w:tc>
          <w:tcPr>
            <w:tcW w:w="960" w:type="dxa"/>
            <w:vAlign w:val="bottom"/>
            <w:shd w:val="clear" w:color="auto" w:fill="001641"/>
          </w:tcPr>
          <w:p>
            <w:pPr>
              <w:jc w:val="right"/>
              <w:ind w:right="168"/>
              <w:spacing w:after="0"/>
              <w:rPr>
                <w:sz w:val="20"/>
                <w:szCs w:val="20"/>
                <w:color w:val="auto"/>
              </w:rPr>
            </w:pPr>
            <w:r>
              <w:rPr>
                <w:rFonts w:ascii="Arial" w:cs="Arial" w:eastAsia="Arial" w:hAnsi="Arial"/>
                <w:sz w:val="14"/>
                <w:szCs w:val="14"/>
                <w:b w:val="1"/>
                <w:bCs w:val="1"/>
                <w:color w:val="FFFFFF"/>
              </w:rPr>
              <w:t>Voting</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800" w:type="dxa"/>
            <w:vAlign w:val="bottom"/>
            <w:shd w:val="clear" w:color="auto" w:fill="001641"/>
          </w:tcPr>
          <w:p>
            <w:pPr>
              <w:spacing w:after="0"/>
              <w:rPr>
                <w:sz w:val="14"/>
                <w:szCs w:val="14"/>
                <w:color w:val="auto"/>
              </w:rPr>
            </w:pPr>
          </w:p>
        </w:tc>
        <w:tc>
          <w:tcPr>
            <w:tcW w:w="1240" w:type="dxa"/>
            <w:vAlign w:val="bottom"/>
            <w:shd w:val="clear" w:color="auto" w:fill="001641"/>
          </w:tcPr>
          <w:p>
            <w:pPr>
              <w:spacing w:after="0"/>
              <w:rPr>
                <w:sz w:val="14"/>
                <w:szCs w:val="14"/>
                <w:color w:val="auto"/>
              </w:rPr>
            </w:pPr>
          </w:p>
        </w:tc>
        <w:tc>
          <w:tcPr>
            <w:tcW w:w="520" w:type="dxa"/>
            <w:vAlign w:val="bottom"/>
            <w:shd w:val="clear" w:color="auto" w:fill="001641"/>
          </w:tcPr>
          <w:p>
            <w:pPr>
              <w:spacing w:after="0"/>
              <w:rPr>
                <w:sz w:val="14"/>
                <w:szCs w:val="14"/>
                <w:color w:val="auto"/>
              </w:rPr>
            </w:pPr>
          </w:p>
        </w:tc>
        <w:tc>
          <w:tcPr>
            <w:tcW w:w="1120" w:type="dxa"/>
            <w:vAlign w:val="bottom"/>
            <w:shd w:val="clear" w:color="auto" w:fill="001641"/>
          </w:tcPr>
          <w:p>
            <w:pPr>
              <w:spacing w:after="0"/>
              <w:rPr>
                <w:sz w:val="14"/>
                <w:szCs w:val="14"/>
                <w:color w:val="auto"/>
              </w:rPr>
            </w:pPr>
          </w:p>
        </w:tc>
        <w:tc>
          <w:tcPr>
            <w:tcW w:w="540" w:type="dxa"/>
            <w:vAlign w:val="bottom"/>
            <w:shd w:val="clear" w:color="auto" w:fill="001641"/>
          </w:tcPr>
          <w:p>
            <w:pPr>
              <w:spacing w:after="0"/>
              <w:rPr>
                <w:sz w:val="14"/>
                <w:szCs w:val="14"/>
                <w:color w:val="auto"/>
              </w:rPr>
            </w:pPr>
          </w:p>
        </w:tc>
        <w:tc>
          <w:tcPr>
            <w:tcW w:w="960" w:type="dxa"/>
            <w:vAlign w:val="bottom"/>
            <w:shd w:val="clear" w:color="auto" w:fill="001641"/>
          </w:tcPr>
          <w:p>
            <w:pPr>
              <w:jc w:val="right"/>
              <w:ind w:right="168"/>
              <w:spacing w:after="0"/>
              <w:rPr>
                <w:sz w:val="20"/>
                <w:szCs w:val="20"/>
                <w:color w:val="auto"/>
              </w:rPr>
            </w:pPr>
            <w:r>
              <w:rPr>
                <w:rFonts w:ascii="Arial" w:cs="Arial" w:eastAsia="Arial" w:hAnsi="Arial"/>
                <w:sz w:val="14"/>
                <w:szCs w:val="14"/>
                <w:b w:val="1"/>
                <w:bCs w:val="1"/>
                <w:color w:val="FFFFFF"/>
              </w:rPr>
              <w:t>Power</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800" w:type="dxa"/>
            <w:vAlign w:val="bottom"/>
            <w:shd w:val="clear" w:color="auto" w:fill="001641"/>
          </w:tcPr>
          <w:p>
            <w:pPr>
              <w:spacing w:after="0"/>
              <w:rPr>
                <w:sz w:val="14"/>
                <w:szCs w:val="14"/>
                <w:color w:val="auto"/>
              </w:rPr>
            </w:pPr>
          </w:p>
        </w:tc>
        <w:tc>
          <w:tcPr>
            <w:tcW w:w="1240" w:type="dxa"/>
            <w:vAlign w:val="bottom"/>
            <w:shd w:val="clear" w:color="auto" w:fill="001641"/>
          </w:tcPr>
          <w:p>
            <w:pPr>
              <w:spacing w:after="0"/>
              <w:rPr>
                <w:sz w:val="14"/>
                <w:szCs w:val="14"/>
                <w:color w:val="auto"/>
              </w:rPr>
            </w:pPr>
          </w:p>
        </w:tc>
        <w:tc>
          <w:tcPr>
            <w:tcW w:w="520" w:type="dxa"/>
            <w:vAlign w:val="bottom"/>
            <w:shd w:val="clear" w:color="auto" w:fill="001641"/>
          </w:tcPr>
          <w:p>
            <w:pPr>
              <w:spacing w:after="0"/>
              <w:rPr>
                <w:sz w:val="14"/>
                <w:szCs w:val="14"/>
                <w:color w:val="auto"/>
              </w:rPr>
            </w:pPr>
          </w:p>
        </w:tc>
        <w:tc>
          <w:tcPr>
            <w:tcW w:w="1120" w:type="dxa"/>
            <w:vAlign w:val="bottom"/>
            <w:vMerge w:val="restart"/>
            <w:shd w:val="clear" w:color="auto" w:fill="001641"/>
          </w:tcPr>
          <w:p>
            <w:pPr>
              <w:ind w:left="540"/>
              <w:spacing w:after="0"/>
              <w:rPr>
                <w:sz w:val="20"/>
                <w:szCs w:val="20"/>
                <w:color w:val="auto"/>
              </w:rPr>
            </w:pPr>
            <w:r>
              <w:rPr>
                <w:rFonts w:ascii="Arial" w:cs="Arial" w:eastAsia="Arial" w:hAnsi="Arial"/>
                <w:sz w:val="14"/>
                <w:szCs w:val="14"/>
                <w:b w:val="1"/>
                <w:bCs w:val="1"/>
                <w:color w:val="FFFFFF"/>
              </w:rPr>
              <w:t>Class B</w:t>
            </w:r>
          </w:p>
        </w:tc>
        <w:tc>
          <w:tcPr>
            <w:tcW w:w="540" w:type="dxa"/>
            <w:vAlign w:val="bottom"/>
            <w:shd w:val="clear" w:color="auto" w:fill="001641"/>
          </w:tcPr>
          <w:p>
            <w:pPr>
              <w:spacing w:after="0"/>
              <w:rPr>
                <w:sz w:val="14"/>
                <w:szCs w:val="14"/>
                <w:color w:val="auto"/>
              </w:rPr>
            </w:pPr>
          </w:p>
        </w:tc>
        <w:tc>
          <w:tcPr>
            <w:tcW w:w="960" w:type="dxa"/>
            <w:vAlign w:val="bottom"/>
            <w:shd w:val="clear" w:color="auto" w:fill="001641"/>
          </w:tcPr>
          <w:p>
            <w:pPr>
              <w:jc w:val="right"/>
              <w:ind w:right="168"/>
              <w:spacing w:after="0"/>
              <w:rPr>
                <w:sz w:val="20"/>
                <w:szCs w:val="20"/>
                <w:color w:val="auto"/>
              </w:rPr>
            </w:pPr>
            <w:r>
              <w:rPr>
                <w:rFonts w:ascii="Arial" w:cs="Arial" w:eastAsia="Arial" w:hAnsi="Arial"/>
                <w:sz w:val="14"/>
                <w:szCs w:val="14"/>
                <w:b w:val="1"/>
                <w:bCs w:val="1"/>
                <w:color w:val="FFFFFF"/>
              </w:rPr>
              <w:t>of Total</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4800" w:type="dxa"/>
            <w:vAlign w:val="bottom"/>
            <w:shd w:val="clear" w:color="auto" w:fill="001641"/>
          </w:tcPr>
          <w:p>
            <w:pPr>
              <w:spacing w:after="0"/>
              <w:rPr>
                <w:sz w:val="12"/>
                <w:szCs w:val="12"/>
                <w:color w:val="auto"/>
              </w:rPr>
            </w:pPr>
          </w:p>
        </w:tc>
        <w:tc>
          <w:tcPr>
            <w:tcW w:w="1240" w:type="dxa"/>
            <w:vAlign w:val="bottom"/>
            <w:shd w:val="clear" w:color="auto" w:fill="001641"/>
          </w:tcPr>
          <w:p>
            <w:pPr>
              <w:jc w:val="right"/>
              <w:spacing w:after="0" w:line="145" w:lineRule="exact"/>
              <w:rPr>
                <w:sz w:val="20"/>
                <w:szCs w:val="20"/>
                <w:color w:val="auto"/>
              </w:rPr>
            </w:pPr>
            <w:r>
              <w:rPr>
                <w:rFonts w:ascii="Arial" w:cs="Arial" w:eastAsia="Arial" w:hAnsi="Arial"/>
                <w:sz w:val="14"/>
                <w:szCs w:val="14"/>
                <w:b w:val="1"/>
                <w:bCs w:val="1"/>
                <w:color w:val="FFFFFF"/>
              </w:rPr>
              <w:t>Class A</w:t>
            </w:r>
          </w:p>
        </w:tc>
        <w:tc>
          <w:tcPr>
            <w:tcW w:w="520" w:type="dxa"/>
            <w:vAlign w:val="bottom"/>
            <w:shd w:val="clear" w:color="auto" w:fill="001641"/>
          </w:tcPr>
          <w:p>
            <w:pPr>
              <w:spacing w:after="0"/>
              <w:rPr>
                <w:sz w:val="12"/>
                <w:szCs w:val="12"/>
                <w:color w:val="auto"/>
              </w:rPr>
            </w:pPr>
          </w:p>
        </w:tc>
        <w:tc>
          <w:tcPr>
            <w:tcW w:w="1120" w:type="dxa"/>
            <w:vAlign w:val="bottom"/>
            <w:vMerge w:val="continue"/>
            <w:shd w:val="clear" w:color="auto" w:fill="001641"/>
          </w:tcPr>
          <w:p>
            <w:pPr>
              <w:spacing w:after="0"/>
              <w:rPr>
                <w:sz w:val="12"/>
                <w:szCs w:val="12"/>
                <w:color w:val="auto"/>
              </w:rPr>
            </w:pPr>
          </w:p>
        </w:tc>
        <w:tc>
          <w:tcPr>
            <w:tcW w:w="540" w:type="dxa"/>
            <w:vAlign w:val="bottom"/>
            <w:shd w:val="clear" w:color="auto" w:fill="001641"/>
          </w:tcPr>
          <w:p>
            <w:pPr>
              <w:spacing w:after="0"/>
              <w:rPr>
                <w:sz w:val="12"/>
                <w:szCs w:val="12"/>
                <w:color w:val="auto"/>
              </w:rPr>
            </w:pPr>
          </w:p>
        </w:tc>
        <w:tc>
          <w:tcPr>
            <w:tcW w:w="960" w:type="dxa"/>
            <w:vAlign w:val="bottom"/>
            <w:shd w:val="clear" w:color="auto" w:fill="001641"/>
          </w:tcPr>
          <w:p>
            <w:pPr>
              <w:jc w:val="right"/>
              <w:ind w:right="128"/>
              <w:spacing w:after="0" w:line="145" w:lineRule="exact"/>
              <w:rPr>
                <w:sz w:val="20"/>
                <w:szCs w:val="20"/>
                <w:color w:val="auto"/>
              </w:rPr>
            </w:pPr>
            <w:r>
              <w:rPr>
                <w:rFonts w:ascii="Arial" w:cs="Arial" w:eastAsia="Arial" w:hAnsi="Arial"/>
                <w:sz w:val="14"/>
                <w:szCs w:val="14"/>
                <w:b w:val="1"/>
                <w:bCs w:val="1"/>
                <w:color w:val="FFFFFF"/>
              </w:rPr>
              <w:t>Common</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4800" w:type="dxa"/>
            <w:vAlign w:val="bottom"/>
            <w:shd w:val="clear" w:color="auto" w:fill="001641"/>
          </w:tcPr>
          <w:p>
            <w:pPr>
              <w:spacing w:after="0"/>
              <w:rPr>
                <w:sz w:val="23"/>
                <w:szCs w:val="23"/>
                <w:color w:val="auto"/>
              </w:rPr>
            </w:pPr>
          </w:p>
        </w:tc>
        <w:tc>
          <w:tcPr>
            <w:tcW w:w="1760" w:type="dxa"/>
            <w:vAlign w:val="bottom"/>
            <w:gridSpan w:val="2"/>
            <w:shd w:val="clear" w:color="auto" w:fill="001641"/>
          </w:tcPr>
          <w:p>
            <w:pPr>
              <w:jc w:val="right"/>
              <w:ind w:right="228"/>
              <w:spacing w:after="0"/>
              <w:rPr>
                <w:sz w:val="20"/>
                <w:szCs w:val="20"/>
                <w:color w:val="auto"/>
              </w:rPr>
            </w:pPr>
            <w:r>
              <w:rPr>
                <w:rFonts w:ascii="Arial" w:cs="Arial" w:eastAsia="Arial" w:hAnsi="Arial"/>
                <w:sz w:val="14"/>
                <w:szCs w:val="14"/>
                <w:b w:val="1"/>
                <w:bCs w:val="1"/>
                <w:color w:val="FFFFFF"/>
              </w:rPr>
              <w:t>Common Stock</w:t>
            </w:r>
          </w:p>
        </w:tc>
        <w:tc>
          <w:tcPr>
            <w:tcW w:w="1660" w:type="dxa"/>
            <w:vAlign w:val="bottom"/>
            <w:gridSpan w:val="2"/>
            <w:shd w:val="clear" w:color="auto" w:fill="001641"/>
          </w:tcPr>
          <w:p>
            <w:pPr>
              <w:jc w:val="right"/>
              <w:ind w:right="208"/>
              <w:spacing w:after="0"/>
              <w:rPr>
                <w:sz w:val="20"/>
                <w:szCs w:val="20"/>
                <w:color w:val="auto"/>
              </w:rPr>
            </w:pPr>
            <w:r>
              <w:rPr>
                <w:rFonts w:ascii="Arial" w:cs="Arial" w:eastAsia="Arial" w:hAnsi="Arial"/>
                <w:sz w:val="14"/>
                <w:szCs w:val="14"/>
                <w:b w:val="1"/>
                <w:bCs w:val="1"/>
                <w:color w:val="FFFFFF"/>
              </w:rPr>
              <w:t>Common Stock</w:t>
            </w:r>
            <w:r>
              <w:rPr>
                <w:rFonts w:ascii="Arial" w:cs="Arial" w:eastAsia="Arial" w:hAnsi="Arial"/>
                <w:sz w:val="23"/>
                <w:szCs w:val="23"/>
                <w:b w:val="1"/>
                <w:bCs w:val="1"/>
                <w:color w:val="FFFFFF"/>
                <w:vertAlign w:val="superscript"/>
              </w:rPr>
              <w:t>1</w:t>
            </w:r>
          </w:p>
        </w:tc>
        <w:tc>
          <w:tcPr>
            <w:tcW w:w="960" w:type="dxa"/>
            <w:vAlign w:val="bottom"/>
            <w:shd w:val="clear" w:color="auto" w:fill="001641"/>
          </w:tcPr>
          <w:p>
            <w:pPr>
              <w:jc w:val="right"/>
              <w:ind w:right="128"/>
              <w:spacing w:after="0"/>
              <w:rPr>
                <w:sz w:val="20"/>
                <w:szCs w:val="20"/>
                <w:color w:val="auto"/>
              </w:rPr>
            </w:pPr>
            <w:r>
              <w:rPr>
                <w:rFonts w:ascii="Arial" w:cs="Arial" w:eastAsia="Arial" w:hAnsi="Arial"/>
                <w:sz w:val="14"/>
                <w:szCs w:val="14"/>
                <w:b w:val="1"/>
                <w:bCs w:val="1"/>
                <w:color w:val="FFFFFF"/>
              </w:rPr>
              <w:t>Stock %</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4"/>
                <w:szCs w:val="24"/>
                <w:color w:val="auto"/>
              </w:rPr>
            </w:pPr>
          </w:p>
        </w:tc>
        <w:tc>
          <w:tcPr>
            <w:tcW w:w="4800" w:type="dxa"/>
            <w:vAlign w:val="bottom"/>
            <w:tcBorders>
              <w:bottom w:val="single" w:sz="8" w:color="001641"/>
            </w:tcBorders>
            <w:shd w:val="clear" w:color="auto" w:fill="001641"/>
          </w:tcPr>
          <w:p>
            <w:pPr>
              <w:spacing w:after="0"/>
              <w:rPr>
                <w:sz w:val="24"/>
                <w:szCs w:val="24"/>
                <w:color w:val="auto"/>
              </w:rPr>
            </w:pPr>
          </w:p>
        </w:tc>
        <w:tc>
          <w:tcPr>
            <w:tcW w:w="1240" w:type="dxa"/>
            <w:vAlign w:val="bottom"/>
            <w:tcBorders>
              <w:bottom w:val="single" w:sz="8" w:color="001641"/>
            </w:tcBorders>
            <w:shd w:val="clear" w:color="auto" w:fill="001641"/>
          </w:tcPr>
          <w:p>
            <w:pPr>
              <w:jc w:val="right"/>
              <w:ind w:right="108"/>
              <w:spacing w:after="0"/>
              <w:rPr>
                <w:sz w:val="20"/>
                <w:szCs w:val="20"/>
                <w:color w:val="auto"/>
              </w:rPr>
            </w:pPr>
            <w:r>
              <w:rPr>
                <w:rFonts w:ascii="Arial" w:cs="Arial" w:eastAsia="Arial" w:hAnsi="Arial"/>
                <w:sz w:val="14"/>
                <w:szCs w:val="14"/>
                <w:b w:val="1"/>
                <w:bCs w:val="1"/>
                <w:color w:val="FFFFFF"/>
              </w:rPr>
              <w:t>Number</w:t>
            </w:r>
          </w:p>
        </w:tc>
        <w:tc>
          <w:tcPr>
            <w:tcW w:w="520" w:type="dxa"/>
            <w:vAlign w:val="bottom"/>
            <w:tcBorders>
              <w:bottom w:val="single" w:sz="8" w:color="001641"/>
            </w:tcBorders>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bottom w:val="single" w:sz="8" w:color="001641"/>
            </w:tcBorders>
            <w:shd w:val="clear" w:color="auto" w:fill="001641"/>
          </w:tcPr>
          <w:p>
            <w:pPr>
              <w:ind w:left="360"/>
              <w:spacing w:after="0"/>
              <w:rPr>
                <w:sz w:val="20"/>
                <w:szCs w:val="20"/>
                <w:color w:val="auto"/>
              </w:rPr>
            </w:pPr>
            <w:r>
              <w:rPr>
                <w:rFonts w:ascii="Arial" w:cs="Arial" w:eastAsia="Arial" w:hAnsi="Arial"/>
                <w:sz w:val="14"/>
                <w:szCs w:val="14"/>
                <w:b w:val="1"/>
                <w:bCs w:val="1"/>
                <w:color w:val="FFFFFF"/>
              </w:rPr>
              <w:t>Number</w:t>
            </w:r>
          </w:p>
        </w:tc>
        <w:tc>
          <w:tcPr>
            <w:tcW w:w="540" w:type="dxa"/>
            <w:vAlign w:val="bottom"/>
            <w:tcBorders>
              <w:bottom w:val="single" w:sz="8" w:color="001641"/>
            </w:tcBorders>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001641"/>
            </w:tcBorders>
            <w:shd w:val="clear" w:color="auto" w:fill="00164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tcPr>
          <w:p>
            <w:pPr>
              <w:spacing w:after="0"/>
              <w:rPr>
                <w:sz w:val="24"/>
                <w:szCs w:val="24"/>
                <w:color w:val="auto"/>
              </w:rPr>
            </w:pPr>
          </w:p>
        </w:tc>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Ralph Lauren</w:t>
            </w:r>
          </w:p>
        </w:tc>
        <w:tc>
          <w:tcPr>
            <w:tcW w:w="1240" w:type="dxa"/>
            <w:vAlign w:val="bottom"/>
            <w:tcBorders>
              <w:bottom w:val="single" w:sz="8" w:color="BFA071"/>
            </w:tcBorders>
          </w:tcPr>
          <w:p>
            <w:pPr>
              <w:jc w:val="right"/>
              <w:ind w:right="188"/>
              <w:spacing w:after="0"/>
              <w:rPr>
                <w:sz w:val="20"/>
                <w:szCs w:val="20"/>
                <w:color w:val="auto"/>
              </w:rPr>
            </w:pPr>
            <w:r>
              <w:rPr>
                <w:rFonts w:ascii="Arial" w:cs="Arial" w:eastAsia="Arial" w:hAnsi="Arial"/>
                <w:sz w:val="14"/>
                <w:szCs w:val="14"/>
                <w:color w:val="001641"/>
              </w:rPr>
              <w:t>73,107</w:t>
            </w:r>
            <w:r>
              <w:rPr>
                <w:rFonts w:ascii="Arial" w:cs="Arial" w:eastAsia="Arial" w:hAnsi="Arial"/>
                <w:sz w:val="23"/>
                <w:szCs w:val="23"/>
                <w:color w:val="001641"/>
                <w:vertAlign w:val="superscript"/>
              </w:rPr>
              <w:t>2</w:t>
            </w:r>
          </w:p>
        </w:tc>
        <w:tc>
          <w:tcPr>
            <w:tcW w:w="52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1.5%</w:t>
            </w:r>
          </w:p>
        </w:tc>
        <w:tc>
          <w:tcPr>
            <w:tcW w:w="1120" w:type="dxa"/>
            <w:vAlign w:val="bottom"/>
            <w:tcBorders>
              <w:bottom w:val="single" w:sz="8" w:color="BFA071"/>
            </w:tcBorders>
          </w:tcPr>
          <w:p>
            <w:pPr>
              <w:ind w:left="120"/>
              <w:spacing w:after="0"/>
              <w:rPr>
                <w:sz w:val="20"/>
                <w:szCs w:val="20"/>
                <w:color w:val="auto"/>
              </w:rPr>
            </w:pPr>
            <w:r>
              <w:rPr>
                <w:rFonts w:ascii="Arial" w:cs="Arial" w:eastAsia="Arial" w:hAnsi="Arial"/>
                <w:sz w:val="14"/>
                <w:szCs w:val="14"/>
                <w:color w:val="001641"/>
              </w:rPr>
              <w:t>21,881,276</w:t>
            </w:r>
            <w:r>
              <w:rPr>
                <w:rFonts w:ascii="Arial" w:cs="Arial" w:eastAsia="Arial" w:hAnsi="Arial"/>
                <w:sz w:val="23"/>
                <w:szCs w:val="23"/>
                <w:color w:val="001641"/>
                <w:vertAlign w:val="superscript"/>
              </w:rPr>
              <w:t>3</w:t>
            </w:r>
          </w:p>
        </w:tc>
        <w:tc>
          <w:tcPr>
            <w:tcW w:w="54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100%</w:t>
            </w:r>
          </w:p>
        </w:tc>
        <w:tc>
          <w:tcPr>
            <w:tcW w:w="96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85.5%</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Patrice Louvet</w:t>
            </w:r>
          </w:p>
        </w:tc>
        <w:tc>
          <w:tcPr>
            <w:tcW w:w="1240" w:type="dxa"/>
            <w:vAlign w:val="bottom"/>
            <w:tcBorders>
              <w:bottom w:val="single" w:sz="8" w:color="BFA071"/>
            </w:tcBorders>
          </w:tcPr>
          <w:p>
            <w:pPr>
              <w:jc w:val="right"/>
              <w:ind w:right="188"/>
              <w:spacing w:after="0"/>
              <w:rPr>
                <w:sz w:val="20"/>
                <w:szCs w:val="20"/>
                <w:color w:val="auto"/>
              </w:rPr>
            </w:pPr>
            <w:r>
              <w:rPr>
                <w:rFonts w:ascii="Arial" w:cs="Arial" w:eastAsia="Arial" w:hAnsi="Arial"/>
                <w:sz w:val="14"/>
                <w:szCs w:val="14"/>
                <w:color w:val="001641"/>
              </w:rPr>
              <w:t>57,567</w:t>
            </w:r>
            <w:r>
              <w:rPr>
                <w:rFonts w:ascii="Arial" w:cs="Arial" w:eastAsia="Arial" w:hAnsi="Arial"/>
                <w:sz w:val="23"/>
                <w:szCs w:val="23"/>
                <w:color w:val="001641"/>
                <w:vertAlign w:val="superscript"/>
              </w:rPr>
              <w:t>4</w:t>
            </w:r>
          </w:p>
        </w:tc>
        <w:tc>
          <w:tcPr>
            <w:tcW w:w="52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1120" w:type="dxa"/>
            <w:vAlign w:val="bottom"/>
            <w:tcBorders>
              <w:bottom w:val="single" w:sz="8" w:color="BFA071"/>
            </w:tcBorders>
          </w:tcPr>
          <w:p>
            <w:pPr>
              <w:ind w:left="700"/>
              <w:spacing w:after="0"/>
              <w:rPr>
                <w:sz w:val="20"/>
                <w:szCs w:val="20"/>
                <w:color w:val="auto"/>
              </w:rPr>
            </w:pPr>
            <w:r>
              <w:rPr>
                <w:rFonts w:ascii="Arial" w:cs="Arial" w:eastAsia="Arial" w:hAnsi="Arial"/>
                <w:sz w:val="14"/>
                <w:szCs w:val="14"/>
                <w:color w:val="001641"/>
              </w:rPr>
              <w:t>—</w:t>
            </w:r>
          </w:p>
        </w:tc>
        <w:tc>
          <w:tcPr>
            <w:tcW w:w="54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96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Bob Ranftl</w:t>
            </w:r>
          </w:p>
        </w:tc>
        <w:tc>
          <w:tcPr>
            <w:tcW w:w="1240" w:type="dxa"/>
            <w:vAlign w:val="bottom"/>
            <w:tcBorders>
              <w:bottom w:val="single" w:sz="8" w:color="BFA071"/>
            </w:tcBorders>
          </w:tcPr>
          <w:p>
            <w:pPr>
              <w:jc w:val="right"/>
              <w:ind w:right="188"/>
              <w:spacing w:after="0"/>
              <w:rPr>
                <w:sz w:val="20"/>
                <w:szCs w:val="20"/>
                <w:color w:val="auto"/>
              </w:rPr>
            </w:pPr>
            <w:r>
              <w:rPr>
                <w:rFonts w:ascii="Arial" w:cs="Arial" w:eastAsia="Arial" w:hAnsi="Arial"/>
                <w:sz w:val="14"/>
                <w:szCs w:val="14"/>
                <w:color w:val="001641"/>
              </w:rPr>
              <w:t>6,509</w:t>
            </w:r>
            <w:r>
              <w:rPr>
                <w:rFonts w:ascii="Arial" w:cs="Arial" w:eastAsia="Arial" w:hAnsi="Arial"/>
                <w:sz w:val="23"/>
                <w:szCs w:val="23"/>
                <w:color w:val="001641"/>
                <w:vertAlign w:val="superscript"/>
              </w:rPr>
              <w:t>5</w:t>
            </w:r>
          </w:p>
        </w:tc>
        <w:tc>
          <w:tcPr>
            <w:tcW w:w="52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1120" w:type="dxa"/>
            <w:vAlign w:val="bottom"/>
            <w:tcBorders>
              <w:bottom w:val="single" w:sz="8" w:color="BFA071"/>
            </w:tcBorders>
          </w:tcPr>
          <w:p>
            <w:pPr>
              <w:ind w:left="700"/>
              <w:spacing w:after="0"/>
              <w:rPr>
                <w:sz w:val="20"/>
                <w:szCs w:val="20"/>
                <w:color w:val="auto"/>
              </w:rPr>
            </w:pPr>
            <w:r>
              <w:rPr>
                <w:rFonts w:ascii="Arial" w:cs="Arial" w:eastAsia="Arial" w:hAnsi="Arial"/>
                <w:sz w:val="14"/>
                <w:szCs w:val="14"/>
                <w:color w:val="001641"/>
              </w:rPr>
              <w:t>—</w:t>
            </w:r>
          </w:p>
        </w:tc>
        <w:tc>
          <w:tcPr>
            <w:tcW w:w="54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96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920" w:type="dxa"/>
            <w:vAlign w:val="bottom"/>
          </w:tcPr>
          <w:p>
            <w:pPr>
              <w:spacing w:after="0"/>
              <w:rPr>
                <w:sz w:val="24"/>
                <w:szCs w:val="24"/>
                <w:color w:val="auto"/>
              </w:rPr>
            </w:pPr>
          </w:p>
        </w:tc>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Justin Picicci</w:t>
            </w:r>
          </w:p>
        </w:tc>
        <w:tc>
          <w:tcPr>
            <w:tcW w:w="1240" w:type="dxa"/>
            <w:vAlign w:val="bottom"/>
            <w:tcBorders>
              <w:bottom w:val="single" w:sz="8" w:color="BFA071"/>
            </w:tcBorders>
          </w:tcPr>
          <w:p>
            <w:pPr>
              <w:jc w:val="right"/>
              <w:ind w:right="188"/>
              <w:spacing w:after="0"/>
              <w:rPr>
                <w:sz w:val="20"/>
                <w:szCs w:val="20"/>
                <w:color w:val="auto"/>
              </w:rPr>
            </w:pPr>
            <w:r>
              <w:rPr>
                <w:rFonts w:ascii="Arial" w:cs="Arial" w:eastAsia="Arial" w:hAnsi="Arial"/>
                <w:sz w:val="14"/>
                <w:szCs w:val="14"/>
                <w:color w:val="001641"/>
              </w:rPr>
              <w:t>4,918</w:t>
            </w:r>
            <w:r>
              <w:rPr>
                <w:rFonts w:ascii="Arial" w:cs="Arial" w:eastAsia="Arial" w:hAnsi="Arial"/>
                <w:sz w:val="23"/>
                <w:szCs w:val="23"/>
                <w:color w:val="001641"/>
                <w:vertAlign w:val="superscript"/>
              </w:rPr>
              <w:t>6</w:t>
            </w:r>
          </w:p>
        </w:tc>
        <w:tc>
          <w:tcPr>
            <w:tcW w:w="52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1120" w:type="dxa"/>
            <w:vAlign w:val="bottom"/>
            <w:tcBorders>
              <w:bottom w:val="single" w:sz="8" w:color="BFA071"/>
            </w:tcBorders>
          </w:tcPr>
          <w:p>
            <w:pPr>
              <w:ind w:left="700"/>
              <w:spacing w:after="0"/>
              <w:rPr>
                <w:sz w:val="20"/>
                <w:szCs w:val="20"/>
                <w:color w:val="auto"/>
              </w:rPr>
            </w:pPr>
            <w:r>
              <w:rPr>
                <w:rFonts w:ascii="Arial" w:cs="Arial" w:eastAsia="Arial" w:hAnsi="Arial"/>
                <w:sz w:val="14"/>
                <w:szCs w:val="14"/>
                <w:color w:val="001641"/>
              </w:rPr>
              <w:t>—</w:t>
            </w:r>
          </w:p>
        </w:tc>
        <w:tc>
          <w:tcPr>
            <w:tcW w:w="54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96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Halide Alagoz</w:t>
            </w:r>
          </w:p>
        </w:tc>
        <w:tc>
          <w:tcPr>
            <w:tcW w:w="1240" w:type="dxa"/>
            <w:vAlign w:val="bottom"/>
            <w:tcBorders>
              <w:bottom w:val="single" w:sz="8" w:color="BFA071"/>
            </w:tcBorders>
          </w:tcPr>
          <w:p>
            <w:pPr>
              <w:jc w:val="right"/>
              <w:ind w:right="188"/>
              <w:spacing w:after="0"/>
              <w:rPr>
                <w:sz w:val="20"/>
                <w:szCs w:val="20"/>
                <w:color w:val="auto"/>
              </w:rPr>
            </w:pPr>
            <w:r>
              <w:rPr>
                <w:rFonts w:ascii="Arial" w:cs="Arial" w:eastAsia="Arial" w:hAnsi="Arial"/>
                <w:sz w:val="14"/>
                <w:szCs w:val="14"/>
                <w:color w:val="001641"/>
              </w:rPr>
              <w:t>17,260</w:t>
            </w:r>
            <w:r>
              <w:rPr>
                <w:rFonts w:ascii="Arial" w:cs="Arial" w:eastAsia="Arial" w:hAnsi="Arial"/>
                <w:sz w:val="23"/>
                <w:szCs w:val="23"/>
                <w:color w:val="001641"/>
                <w:vertAlign w:val="superscript"/>
              </w:rPr>
              <w:t>7</w:t>
            </w:r>
          </w:p>
        </w:tc>
        <w:tc>
          <w:tcPr>
            <w:tcW w:w="52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1120" w:type="dxa"/>
            <w:vAlign w:val="bottom"/>
            <w:tcBorders>
              <w:bottom w:val="single" w:sz="8" w:color="BFA071"/>
            </w:tcBorders>
          </w:tcPr>
          <w:p>
            <w:pPr>
              <w:ind w:left="700"/>
              <w:spacing w:after="0"/>
              <w:rPr>
                <w:sz w:val="20"/>
                <w:szCs w:val="20"/>
                <w:color w:val="auto"/>
              </w:rPr>
            </w:pPr>
            <w:r>
              <w:rPr>
                <w:rFonts w:ascii="Arial" w:cs="Arial" w:eastAsia="Arial" w:hAnsi="Arial"/>
                <w:sz w:val="14"/>
                <w:szCs w:val="14"/>
                <w:color w:val="001641"/>
              </w:rPr>
              <w:t>—</w:t>
            </w:r>
          </w:p>
        </w:tc>
        <w:tc>
          <w:tcPr>
            <w:tcW w:w="54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96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David Lauren</w:t>
            </w:r>
          </w:p>
        </w:tc>
        <w:tc>
          <w:tcPr>
            <w:tcW w:w="1240" w:type="dxa"/>
            <w:vAlign w:val="bottom"/>
            <w:tcBorders>
              <w:bottom w:val="single" w:sz="8" w:color="BFA071"/>
            </w:tcBorders>
          </w:tcPr>
          <w:p>
            <w:pPr>
              <w:jc w:val="right"/>
              <w:ind w:right="188"/>
              <w:spacing w:after="0"/>
              <w:rPr>
                <w:sz w:val="20"/>
                <w:szCs w:val="20"/>
                <w:color w:val="auto"/>
              </w:rPr>
            </w:pPr>
            <w:r>
              <w:rPr>
                <w:rFonts w:ascii="Arial" w:cs="Arial" w:eastAsia="Arial" w:hAnsi="Arial"/>
                <w:sz w:val="14"/>
                <w:szCs w:val="14"/>
                <w:color w:val="001641"/>
              </w:rPr>
              <w:t>8,924</w:t>
            </w:r>
            <w:r>
              <w:rPr>
                <w:rFonts w:ascii="Arial" w:cs="Arial" w:eastAsia="Arial" w:hAnsi="Arial"/>
                <w:sz w:val="23"/>
                <w:szCs w:val="23"/>
                <w:color w:val="001641"/>
                <w:vertAlign w:val="superscript"/>
              </w:rPr>
              <w:t>8</w:t>
            </w:r>
          </w:p>
        </w:tc>
        <w:tc>
          <w:tcPr>
            <w:tcW w:w="52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1120" w:type="dxa"/>
            <w:vAlign w:val="bottom"/>
            <w:tcBorders>
              <w:bottom w:val="single" w:sz="8" w:color="BFA071"/>
            </w:tcBorders>
          </w:tcPr>
          <w:p>
            <w:pPr>
              <w:ind w:left="700"/>
              <w:spacing w:after="0"/>
              <w:rPr>
                <w:sz w:val="20"/>
                <w:szCs w:val="20"/>
                <w:color w:val="auto"/>
              </w:rPr>
            </w:pPr>
            <w:r>
              <w:rPr>
                <w:rFonts w:ascii="Arial" w:cs="Arial" w:eastAsia="Arial" w:hAnsi="Arial"/>
                <w:sz w:val="14"/>
                <w:szCs w:val="14"/>
                <w:color w:val="001641"/>
              </w:rPr>
              <w:t>—</w:t>
            </w:r>
            <w:r>
              <w:rPr>
                <w:rFonts w:ascii="Arial" w:cs="Arial" w:eastAsia="Arial" w:hAnsi="Arial"/>
                <w:sz w:val="23"/>
                <w:szCs w:val="23"/>
                <w:color w:val="001641"/>
                <w:vertAlign w:val="superscript"/>
              </w:rPr>
              <w:t>9</w:t>
            </w:r>
          </w:p>
        </w:tc>
        <w:tc>
          <w:tcPr>
            <w:tcW w:w="54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96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Angela Ahrendts</w:t>
            </w:r>
          </w:p>
        </w:tc>
        <w:tc>
          <w:tcPr>
            <w:tcW w:w="1240" w:type="dxa"/>
            <w:vAlign w:val="bottom"/>
            <w:tcBorders>
              <w:bottom w:val="single" w:sz="8" w:color="BFA071"/>
            </w:tcBorders>
          </w:tcPr>
          <w:p>
            <w:pPr>
              <w:jc w:val="right"/>
              <w:ind w:right="128"/>
              <w:spacing w:after="0"/>
              <w:rPr>
                <w:sz w:val="20"/>
                <w:szCs w:val="20"/>
                <w:color w:val="auto"/>
              </w:rPr>
            </w:pPr>
            <w:r>
              <w:rPr>
                <w:rFonts w:ascii="Arial" w:cs="Arial" w:eastAsia="Arial" w:hAnsi="Arial"/>
                <w:sz w:val="14"/>
                <w:szCs w:val="14"/>
                <w:color w:val="001641"/>
              </w:rPr>
              <w:t>10,561</w:t>
            </w:r>
            <w:r>
              <w:rPr>
                <w:rFonts w:ascii="Arial" w:cs="Arial" w:eastAsia="Arial" w:hAnsi="Arial"/>
                <w:sz w:val="23"/>
                <w:szCs w:val="23"/>
                <w:color w:val="001641"/>
                <w:vertAlign w:val="superscript"/>
              </w:rPr>
              <w:t>10</w:t>
            </w:r>
          </w:p>
        </w:tc>
        <w:tc>
          <w:tcPr>
            <w:tcW w:w="52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1120" w:type="dxa"/>
            <w:vAlign w:val="bottom"/>
            <w:tcBorders>
              <w:bottom w:val="single" w:sz="8" w:color="BFA071"/>
            </w:tcBorders>
          </w:tcPr>
          <w:p>
            <w:pPr>
              <w:ind w:left="700"/>
              <w:spacing w:after="0"/>
              <w:rPr>
                <w:sz w:val="20"/>
                <w:szCs w:val="20"/>
                <w:color w:val="auto"/>
              </w:rPr>
            </w:pPr>
            <w:r>
              <w:rPr>
                <w:rFonts w:ascii="Arial" w:cs="Arial" w:eastAsia="Arial" w:hAnsi="Arial"/>
                <w:sz w:val="14"/>
                <w:szCs w:val="14"/>
                <w:color w:val="001641"/>
              </w:rPr>
              <w:t>—</w:t>
            </w:r>
          </w:p>
        </w:tc>
        <w:tc>
          <w:tcPr>
            <w:tcW w:w="54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96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Frank A. Bennack, Jr.</w:t>
            </w:r>
          </w:p>
        </w:tc>
        <w:tc>
          <w:tcPr>
            <w:tcW w:w="1240" w:type="dxa"/>
            <w:vAlign w:val="bottom"/>
            <w:tcBorders>
              <w:bottom w:val="single" w:sz="8" w:color="BFA071"/>
            </w:tcBorders>
          </w:tcPr>
          <w:p>
            <w:pPr>
              <w:jc w:val="right"/>
              <w:ind w:right="128"/>
              <w:spacing w:after="0"/>
              <w:rPr>
                <w:sz w:val="20"/>
                <w:szCs w:val="20"/>
                <w:color w:val="auto"/>
              </w:rPr>
            </w:pPr>
            <w:r>
              <w:rPr>
                <w:rFonts w:ascii="Arial" w:cs="Arial" w:eastAsia="Arial" w:hAnsi="Arial"/>
                <w:sz w:val="14"/>
                <w:szCs w:val="14"/>
                <w:color w:val="001641"/>
              </w:rPr>
              <w:t>32,430</w:t>
            </w:r>
            <w:r>
              <w:rPr>
                <w:rFonts w:ascii="Arial" w:cs="Arial" w:eastAsia="Arial" w:hAnsi="Arial"/>
                <w:sz w:val="23"/>
                <w:szCs w:val="23"/>
                <w:color w:val="001641"/>
                <w:vertAlign w:val="superscript"/>
              </w:rPr>
              <w:t>11</w:t>
            </w:r>
          </w:p>
        </w:tc>
        <w:tc>
          <w:tcPr>
            <w:tcW w:w="52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1120" w:type="dxa"/>
            <w:vAlign w:val="bottom"/>
            <w:tcBorders>
              <w:bottom w:val="single" w:sz="8" w:color="BFA071"/>
            </w:tcBorders>
          </w:tcPr>
          <w:p>
            <w:pPr>
              <w:ind w:left="700"/>
              <w:spacing w:after="0"/>
              <w:rPr>
                <w:sz w:val="20"/>
                <w:szCs w:val="20"/>
                <w:color w:val="auto"/>
              </w:rPr>
            </w:pPr>
            <w:r>
              <w:rPr>
                <w:rFonts w:ascii="Arial" w:cs="Arial" w:eastAsia="Arial" w:hAnsi="Arial"/>
                <w:sz w:val="14"/>
                <w:szCs w:val="14"/>
                <w:color w:val="001641"/>
              </w:rPr>
              <w:t>—</w:t>
            </w:r>
          </w:p>
        </w:tc>
        <w:tc>
          <w:tcPr>
            <w:tcW w:w="54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96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2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4"/>
                <w:szCs w:val="14"/>
                <w:color w:val="001641"/>
              </w:rPr>
              <w:t>Cesar Conde</w:t>
            </w:r>
          </w:p>
        </w:tc>
        <w:tc>
          <w:tcPr>
            <w:tcW w:w="1240" w:type="dxa"/>
            <w:vAlign w:val="bottom"/>
          </w:tcPr>
          <w:p>
            <w:pPr>
              <w:jc w:val="right"/>
              <w:ind w:right="248"/>
              <w:spacing w:after="0"/>
              <w:rPr>
                <w:sz w:val="20"/>
                <w:szCs w:val="20"/>
                <w:color w:val="auto"/>
              </w:rPr>
            </w:pPr>
            <w:r>
              <w:rPr>
                <w:rFonts w:ascii="Arial" w:cs="Arial" w:eastAsia="Arial" w:hAnsi="Arial"/>
                <w:sz w:val="14"/>
                <w:szCs w:val="14"/>
                <w:color w:val="001641"/>
              </w:rPr>
              <w:t>10</w:t>
            </w:r>
          </w:p>
        </w:tc>
        <w:tc>
          <w:tcPr>
            <w:tcW w:w="520" w:type="dxa"/>
            <w:vAlign w:val="bottom"/>
          </w:tcPr>
          <w:p>
            <w:pPr>
              <w:jc w:val="right"/>
              <w:ind w:right="68"/>
              <w:spacing w:after="0"/>
              <w:rPr>
                <w:sz w:val="20"/>
                <w:szCs w:val="20"/>
                <w:color w:val="auto"/>
              </w:rPr>
            </w:pPr>
            <w:r>
              <w:rPr>
                <w:rFonts w:ascii="Arial" w:cs="Arial" w:eastAsia="Arial" w:hAnsi="Arial"/>
                <w:sz w:val="14"/>
                <w:szCs w:val="14"/>
                <w:color w:val="001641"/>
              </w:rPr>
              <w:t>*</w:t>
            </w:r>
          </w:p>
        </w:tc>
        <w:tc>
          <w:tcPr>
            <w:tcW w:w="1120" w:type="dxa"/>
            <w:vAlign w:val="bottom"/>
          </w:tcPr>
          <w:p>
            <w:pPr>
              <w:ind w:left="700"/>
              <w:spacing w:after="0"/>
              <w:rPr>
                <w:sz w:val="20"/>
                <w:szCs w:val="20"/>
                <w:color w:val="auto"/>
              </w:rPr>
            </w:pPr>
            <w:r>
              <w:rPr>
                <w:rFonts w:ascii="Arial" w:cs="Arial" w:eastAsia="Arial" w:hAnsi="Arial"/>
                <w:sz w:val="14"/>
                <w:szCs w:val="14"/>
                <w:color w:val="001641"/>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001641"/>
              </w:rPr>
              <w:t>—</w:t>
            </w:r>
          </w:p>
        </w:tc>
        <w:tc>
          <w:tcPr>
            <w:tcW w:w="960" w:type="dxa"/>
            <w:vAlign w:val="bottom"/>
          </w:tcPr>
          <w:p>
            <w:pPr>
              <w:jc w:val="right"/>
              <w:ind w:right="168"/>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920" w:type="dxa"/>
            <w:vAlign w:val="bottom"/>
          </w:tcPr>
          <w:p>
            <w:pPr>
              <w:spacing w:after="0"/>
              <w:rPr>
                <w:sz w:val="4"/>
                <w:szCs w:val="4"/>
                <w:color w:val="auto"/>
              </w:rPr>
            </w:pPr>
          </w:p>
        </w:tc>
        <w:tc>
          <w:tcPr>
            <w:tcW w:w="4800" w:type="dxa"/>
            <w:vAlign w:val="bottom"/>
            <w:tcBorders>
              <w:bottom w:val="single" w:sz="8" w:color="BFA071"/>
            </w:tcBorders>
          </w:tcPr>
          <w:p>
            <w:pPr>
              <w:spacing w:after="0"/>
              <w:rPr>
                <w:sz w:val="4"/>
                <w:szCs w:val="4"/>
                <w:color w:val="auto"/>
              </w:rPr>
            </w:pPr>
          </w:p>
        </w:tc>
        <w:tc>
          <w:tcPr>
            <w:tcW w:w="1240" w:type="dxa"/>
            <w:vAlign w:val="bottom"/>
            <w:tcBorders>
              <w:bottom w:val="single" w:sz="8" w:color="BFA071"/>
            </w:tcBorders>
          </w:tcPr>
          <w:p>
            <w:pPr>
              <w:spacing w:after="0"/>
              <w:rPr>
                <w:sz w:val="4"/>
                <w:szCs w:val="4"/>
                <w:color w:val="auto"/>
              </w:rPr>
            </w:pPr>
          </w:p>
        </w:tc>
        <w:tc>
          <w:tcPr>
            <w:tcW w:w="520" w:type="dxa"/>
            <w:vAlign w:val="bottom"/>
            <w:tcBorders>
              <w:bottom w:val="single" w:sz="8" w:color="BFA071"/>
            </w:tcBorders>
          </w:tcPr>
          <w:p>
            <w:pPr>
              <w:spacing w:after="0"/>
              <w:rPr>
                <w:sz w:val="4"/>
                <w:szCs w:val="4"/>
                <w:color w:val="auto"/>
              </w:rPr>
            </w:pPr>
          </w:p>
        </w:tc>
        <w:tc>
          <w:tcPr>
            <w:tcW w:w="1120" w:type="dxa"/>
            <w:vAlign w:val="bottom"/>
            <w:tcBorders>
              <w:bottom w:val="single" w:sz="8" w:color="BFA071"/>
            </w:tcBorders>
          </w:tcPr>
          <w:p>
            <w:pPr>
              <w:spacing w:after="0"/>
              <w:rPr>
                <w:sz w:val="4"/>
                <w:szCs w:val="4"/>
                <w:color w:val="auto"/>
              </w:rPr>
            </w:pPr>
          </w:p>
        </w:tc>
        <w:tc>
          <w:tcPr>
            <w:tcW w:w="540" w:type="dxa"/>
            <w:vAlign w:val="bottom"/>
            <w:tcBorders>
              <w:bottom w:val="single" w:sz="8" w:color="BFA071"/>
            </w:tcBorders>
          </w:tcPr>
          <w:p>
            <w:pPr>
              <w:spacing w:after="0"/>
              <w:rPr>
                <w:sz w:val="4"/>
                <w:szCs w:val="4"/>
                <w:color w:val="auto"/>
              </w:rPr>
            </w:pPr>
          </w:p>
        </w:tc>
        <w:tc>
          <w:tcPr>
            <w:tcW w:w="960" w:type="dxa"/>
            <w:vAlign w:val="bottom"/>
            <w:tcBorders>
              <w:bottom w:val="single" w:sz="8" w:color="BFA071"/>
            </w:tcBorders>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Debra Cupp</w:t>
            </w:r>
          </w:p>
        </w:tc>
        <w:tc>
          <w:tcPr>
            <w:tcW w:w="1240" w:type="dxa"/>
            <w:vAlign w:val="bottom"/>
            <w:tcBorders>
              <w:bottom w:val="single" w:sz="8" w:color="BFA071"/>
            </w:tcBorders>
          </w:tcPr>
          <w:p>
            <w:pPr>
              <w:jc w:val="right"/>
              <w:ind w:right="128"/>
              <w:spacing w:after="0"/>
              <w:rPr>
                <w:sz w:val="20"/>
                <w:szCs w:val="20"/>
                <w:color w:val="auto"/>
              </w:rPr>
            </w:pPr>
            <w:r>
              <w:rPr>
                <w:rFonts w:ascii="Arial" w:cs="Arial" w:eastAsia="Arial" w:hAnsi="Arial"/>
                <w:sz w:val="14"/>
                <w:szCs w:val="14"/>
                <w:color w:val="001641"/>
              </w:rPr>
              <w:t>4,572</w:t>
            </w:r>
            <w:r>
              <w:rPr>
                <w:rFonts w:ascii="Arial" w:cs="Arial" w:eastAsia="Arial" w:hAnsi="Arial"/>
                <w:sz w:val="23"/>
                <w:szCs w:val="23"/>
                <w:color w:val="001641"/>
                <w:vertAlign w:val="superscript"/>
              </w:rPr>
              <w:t>12</w:t>
            </w:r>
          </w:p>
        </w:tc>
        <w:tc>
          <w:tcPr>
            <w:tcW w:w="52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1120" w:type="dxa"/>
            <w:vAlign w:val="bottom"/>
            <w:tcBorders>
              <w:bottom w:val="single" w:sz="8" w:color="BFA071"/>
            </w:tcBorders>
          </w:tcPr>
          <w:p>
            <w:pPr>
              <w:ind w:left="700"/>
              <w:spacing w:after="0"/>
              <w:rPr>
                <w:sz w:val="20"/>
                <w:szCs w:val="20"/>
                <w:color w:val="auto"/>
              </w:rPr>
            </w:pPr>
            <w:r>
              <w:rPr>
                <w:rFonts w:ascii="Arial" w:cs="Arial" w:eastAsia="Arial" w:hAnsi="Arial"/>
                <w:sz w:val="14"/>
                <w:szCs w:val="14"/>
                <w:color w:val="001641"/>
              </w:rPr>
              <w:t>—</w:t>
            </w:r>
          </w:p>
        </w:tc>
        <w:tc>
          <w:tcPr>
            <w:tcW w:w="54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96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Linda Findley</w:t>
            </w:r>
          </w:p>
        </w:tc>
        <w:tc>
          <w:tcPr>
            <w:tcW w:w="1240" w:type="dxa"/>
            <w:vAlign w:val="bottom"/>
            <w:tcBorders>
              <w:bottom w:val="single" w:sz="8" w:color="BFA071"/>
            </w:tcBorders>
          </w:tcPr>
          <w:p>
            <w:pPr>
              <w:jc w:val="right"/>
              <w:ind w:right="128"/>
              <w:spacing w:after="0"/>
              <w:rPr>
                <w:sz w:val="20"/>
                <w:szCs w:val="20"/>
                <w:color w:val="auto"/>
              </w:rPr>
            </w:pPr>
            <w:r>
              <w:rPr>
                <w:rFonts w:ascii="Arial" w:cs="Arial" w:eastAsia="Arial" w:hAnsi="Arial"/>
                <w:sz w:val="14"/>
                <w:szCs w:val="14"/>
                <w:color w:val="001641"/>
              </w:rPr>
              <w:t>10,561</w:t>
            </w:r>
            <w:r>
              <w:rPr>
                <w:rFonts w:ascii="Arial" w:cs="Arial" w:eastAsia="Arial" w:hAnsi="Arial"/>
                <w:sz w:val="23"/>
                <w:szCs w:val="23"/>
                <w:color w:val="001641"/>
                <w:vertAlign w:val="superscript"/>
              </w:rPr>
              <w:t>13</w:t>
            </w:r>
          </w:p>
        </w:tc>
        <w:tc>
          <w:tcPr>
            <w:tcW w:w="52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1120" w:type="dxa"/>
            <w:vAlign w:val="bottom"/>
            <w:tcBorders>
              <w:bottom w:val="single" w:sz="8" w:color="BFA071"/>
            </w:tcBorders>
          </w:tcPr>
          <w:p>
            <w:pPr>
              <w:ind w:left="700"/>
              <w:spacing w:after="0"/>
              <w:rPr>
                <w:sz w:val="20"/>
                <w:szCs w:val="20"/>
                <w:color w:val="auto"/>
              </w:rPr>
            </w:pPr>
            <w:r>
              <w:rPr>
                <w:rFonts w:ascii="Arial" w:cs="Arial" w:eastAsia="Arial" w:hAnsi="Arial"/>
                <w:sz w:val="14"/>
                <w:szCs w:val="14"/>
                <w:color w:val="001641"/>
              </w:rPr>
              <w:t>—</w:t>
            </w:r>
          </w:p>
        </w:tc>
        <w:tc>
          <w:tcPr>
            <w:tcW w:w="54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96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Michael A. George</w:t>
            </w:r>
          </w:p>
        </w:tc>
        <w:tc>
          <w:tcPr>
            <w:tcW w:w="1240" w:type="dxa"/>
            <w:vAlign w:val="bottom"/>
            <w:tcBorders>
              <w:bottom w:val="single" w:sz="8" w:color="BFA071"/>
            </w:tcBorders>
          </w:tcPr>
          <w:p>
            <w:pPr>
              <w:jc w:val="right"/>
              <w:ind w:right="128"/>
              <w:spacing w:after="0"/>
              <w:rPr>
                <w:sz w:val="20"/>
                <w:szCs w:val="20"/>
                <w:color w:val="auto"/>
              </w:rPr>
            </w:pPr>
            <w:r>
              <w:rPr>
                <w:rFonts w:ascii="Arial" w:cs="Arial" w:eastAsia="Arial" w:hAnsi="Arial"/>
                <w:sz w:val="14"/>
                <w:szCs w:val="14"/>
                <w:color w:val="001641"/>
              </w:rPr>
              <w:t>16,146</w:t>
            </w:r>
            <w:r>
              <w:rPr>
                <w:rFonts w:ascii="Arial" w:cs="Arial" w:eastAsia="Arial" w:hAnsi="Arial"/>
                <w:sz w:val="23"/>
                <w:szCs w:val="23"/>
                <w:color w:val="001641"/>
                <w:vertAlign w:val="superscript"/>
              </w:rPr>
              <w:t>14</w:t>
            </w:r>
          </w:p>
        </w:tc>
        <w:tc>
          <w:tcPr>
            <w:tcW w:w="52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1120" w:type="dxa"/>
            <w:vAlign w:val="bottom"/>
            <w:tcBorders>
              <w:bottom w:val="single" w:sz="8" w:color="BFA071"/>
            </w:tcBorders>
          </w:tcPr>
          <w:p>
            <w:pPr>
              <w:ind w:left="700"/>
              <w:spacing w:after="0"/>
              <w:rPr>
                <w:sz w:val="20"/>
                <w:szCs w:val="20"/>
                <w:color w:val="auto"/>
              </w:rPr>
            </w:pPr>
            <w:r>
              <w:rPr>
                <w:rFonts w:ascii="Arial" w:cs="Arial" w:eastAsia="Arial" w:hAnsi="Arial"/>
                <w:sz w:val="14"/>
                <w:szCs w:val="14"/>
                <w:color w:val="001641"/>
              </w:rPr>
              <w:t>—</w:t>
            </w:r>
          </w:p>
        </w:tc>
        <w:tc>
          <w:tcPr>
            <w:tcW w:w="54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96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Valerie Jarrett</w:t>
            </w:r>
          </w:p>
        </w:tc>
        <w:tc>
          <w:tcPr>
            <w:tcW w:w="1240" w:type="dxa"/>
            <w:vAlign w:val="bottom"/>
            <w:tcBorders>
              <w:bottom w:val="single" w:sz="8" w:color="BFA071"/>
            </w:tcBorders>
          </w:tcPr>
          <w:p>
            <w:pPr>
              <w:jc w:val="right"/>
              <w:ind w:right="128"/>
              <w:spacing w:after="0"/>
              <w:rPr>
                <w:sz w:val="20"/>
                <w:szCs w:val="20"/>
                <w:color w:val="auto"/>
              </w:rPr>
            </w:pPr>
            <w:r>
              <w:rPr>
                <w:rFonts w:ascii="Arial" w:cs="Arial" w:eastAsia="Arial" w:hAnsi="Arial"/>
                <w:sz w:val="14"/>
                <w:szCs w:val="14"/>
                <w:color w:val="001641"/>
              </w:rPr>
              <w:t>6,084</w:t>
            </w:r>
            <w:r>
              <w:rPr>
                <w:rFonts w:ascii="Arial" w:cs="Arial" w:eastAsia="Arial" w:hAnsi="Arial"/>
                <w:sz w:val="23"/>
                <w:szCs w:val="23"/>
                <w:color w:val="001641"/>
                <w:vertAlign w:val="superscript"/>
              </w:rPr>
              <w:t>15</w:t>
            </w:r>
          </w:p>
        </w:tc>
        <w:tc>
          <w:tcPr>
            <w:tcW w:w="52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1120" w:type="dxa"/>
            <w:vAlign w:val="bottom"/>
            <w:tcBorders>
              <w:bottom w:val="single" w:sz="8" w:color="BFA071"/>
            </w:tcBorders>
          </w:tcPr>
          <w:p>
            <w:pPr>
              <w:ind w:left="700"/>
              <w:spacing w:after="0"/>
              <w:rPr>
                <w:sz w:val="20"/>
                <w:szCs w:val="20"/>
                <w:color w:val="auto"/>
              </w:rPr>
            </w:pPr>
            <w:r>
              <w:rPr>
                <w:rFonts w:ascii="Arial" w:cs="Arial" w:eastAsia="Arial" w:hAnsi="Arial"/>
                <w:sz w:val="14"/>
                <w:szCs w:val="14"/>
                <w:color w:val="001641"/>
              </w:rPr>
              <w:t>—</w:t>
            </w:r>
          </w:p>
        </w:tc>
        <w:tc>
          <w:tcPr>
            <w:tcW w:w="54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96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Darren Walker</w:t>
            </w:r>
          </w:p>
        </w:tc>
        <w:tc>
          <w:tcPr>
            <w:tcW w:w="1240" w:type="dxa"/>
            <w:vAlign w:val="bottom"/>
            <w:tcBorders>
              <w:bottom w:val="single" w:sz="8" w:color="BFA071"/>
            </w:tcBorders>
          </w:tcPr>
          <w:p>
            <w:pPr>
              <w:jc w:val="right"/>
              <w:ind w:right="128"/>
              <w:spacing w:after="0"/>
              <w:rPr>
                <w:sz w:val="20"/>
                <w:szCs w:val="20"/>
                <w:color w:val="auto"/>
              </w:rPr>
            </w:pPr>
            <w:r>
              <w:rPr>
                <w:rFonts w:ascii="Arial" w:cs="Arial" w:eastAsia="Arial" w:hAnsi="Arial"/>
                <w:sz w:val="14"/>
                <w:szCs w:val="14"/>
                <w:color w:val="001641"/>
              </w:rPr>
              <w:t>8,040</w:t>
            </w:r>
            <w:r>
              <w:rPr>
                <w:rFonts w:ascii="Arial" w:cs="Arial" w:eastAsia="Arial" w:hAnsi="Arial"/>
                <w:sz w:val="23"/>
                <w:szCs w:val="23"/>
                <w:color w:val="001641"/>
                <w:vertAlign w:val="superscript"/>
              </w:rPr>
              <w:t>16</w:t>
            </w:r>
          </w:p>
        </w:tc>
        <w:tc>
          <w:tcPr>
            <w:tcW w:w="52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1120" w:type="dxa"/>
            <w:vAlign w:val="bottom"/>
            <w:tcBorders>
              <w:bottom w:val="single" w:sz="8" w:color="BFA071"/>
            </w:tcBorders>
          </w:tcPr>
          <w:p>
            <w:pPr>
              <w:ind w:left="700"/>
              <w:spacing w:after="0"/>
              <w:rPr>
                <w:sz w:val="20"/>
                <w:szCs w:val="20"/>
                <w:color w:val="auto"/>
              </w:rPr>
            </w:pPr>
            <w:r>
              <w:rPr>
                <w:rFonts w:ascii="Arial" w:cs="Arial" w:eastAsia="Arial" w:hAnsi="Arial"/>
                <w:sz w:val="14"/>
                <w:szCs w:val="14"/>
                <w:color w:val="001641"/>
              </w:rPr>
              <w:t>—</w:t>
            </w:r>
          </w:p>
        </w:tc>
        <w:tc>
          <w:tcPr>
            <w:tcW w:w="54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96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Wei Zhang</w:t>
            </w:r>
          </w:p>
        </w:tc>
        <w:tc>
          <w:tcPr>
            <w:tcW w:w="1240" w:type="dxa"/>
            <w:vAlign w:val="bottom"/>
            <w:tcBorders>
              <w:bottom w:val="single" w:sz="8" w:color="BFA071"/>
            </w:tcBorders>
          </w:tcPr>
          <w:p>
            <w:pPr>
              <w:jc w:val="right"/>
              <w:ind w:right="128"/>
              <w:spacing w:after="0"/>
              <w:rPr>
                <w:sz w:val="20"/>
                <w:szCs w:val="20"/>
                <w:color w:val="auto"/>
              </w:rPr>
            </w:pPr>
            <w:r>
              <w:rPr>
                <w:rFonts w:ascii="Arial" w:cs="Arial" w:eastAsia="Arial" w:hAnsi="Arial"/>
                <w:sz w:val="14"/>
                <w:szCs w:val="14"/>
                <w:color w:val="001641"/>
              </w:rPr>
              <w:t>2,903</w:t>
            </w:r>
            <w:r>
              <w:rPr>
                <w:rFonts w:ascii="Arial" w:cs="Arial" w:eastAsia="Arial" w:hAnsi="Arial"/>
                <w:sz w:val="23"/>
                <w:szCs w:val="23"/>
                <w:color w:val="001641"/>
                <w:vertAlign w:val="superscript"/>
              </w:rPr>
              <w:t>17</w:t>
            </w:r>
          </w:p>
        </w:tc>
        <w:tc>
          <w:tcPr>
            <w:tcW w:w="52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1120" w:type="dxa"/>
            <w:vAlign w:val="bottom"/>
            <w:tcBorders>
              <w:bottom w:val="single" w:sz="8" w:color="BFA071"/>
            </w:tcBorders>
          </w:tcPr>
          <w:p>
            <w:pPr>
              <w:ind w:left="700"/>
              <w:spacing w:after="0"/>
              <w:rPr>
                <w:sz w:val="20"/>
                <w:szCs w:val="20"/>
                <w:color w:val="auto"/>
              </w:rPr>
            </w:pPr>
            <w:r>
              <w:rPr>
                <w:rFonts w:ascii="Arial" w:cs="Arial" w:eastAsia="Arial" w:hAnsi="Arial"/>
                <w:sz w:val="14"/>
                <w:szCs w:val="14"/>
                <w:color w:val="001641"/>
              </w:rPr>
              <w:t>—</w:t>
            </w:r>
          </w:p>
        </w:tc>
        <w:tc>
          <w:tcPr>
            <w:tcW w:w="54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96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Vanguard Portfolio Management LLC</w:t>
            </w:r>
          </w:p>
        </w:tc>
        <w:tc>
          <w:tcPr>
            <w:tcW w:w="1240" w:type="dxa"/>
            <w:vAlign w:val="bottom"/>
            <w:tcBorders>
              <w:bottom w:val="single" w:sz="8" w:color="BFA071"/>
            </w:tcBorders>
          </w:tcPr>
          <w:p>
            <w:pPr>
              <w:jc w:val="right"/>
              <w:ind w:right="128"/>
              <w:spacing w:after="0"/>
              <w:rPr>
                <w:sz w:val="20"/>
                <w:szCs w:val="20"/>
                <w:color w:val="auto"/>
              </w:rPr>
            </w:pPr>
            <w:r>
              <w:rPr>
                <w:rFonts w:ascii="Arial" w:cs="Arial" w:eastAsia="Arial" w:hAnsi="Arial"/>
                <w:sz w:val="14"/>
                <w:szCs w:val="14"/>
                <w:color w:val="001641"/>
              </w:rPr>
              <w:t>1,957,240</w:t>
            </w:r>
            <w:r>
              <w:rPr>
                <w:rFonts w:ascii="Arial" w:cs="Arial" w:eastAsia="Arial" w:hAnsi="Arial"/>
                <w:sz w:val="23"/>
                <w:szCs w:val="23"/>
                <w:color w:val="001641"/>
                <w:vertAlign w:val="superscript"/>
              </w:rPr>
              <w:t>18</w:t>
            </w:r>
          </w:p>
        </w:tc>
        <w:tc>
          <w:tcPr>
            <w:tcW w:w="52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5.2%</w:t>
            </w:r>
          </w:p>
        </w:tc>
        <w:tc>
          <w:tcPr>
            <w:tcW w:w="1120" w:type="dxa"/>
            <w:vAlign w:val="bottom"/>
            <w:tcBorders>
              <w:bottom w:val="single" w:sz="8" w:color="BFA071"/>
            </w:tcBorders>
          </w:tcPr>
          <w:p>
            <w:pPr>
              <w:ind w:left="700"/>
              <w:spacing w:after="0"/>
              <w:rPr>
                <w:sz w:val="20"/>
                <w:szCs w:val="20"/>
                <w:color w:val="auto"/>
              </w:rPr>
            </w:pPr>
            <w:r>
              <w:rPr>
                <w:rFonts w:ascii="Arial" w:cs="Arial" w:eastAsia="Arial" w:hAnsi="Arial"/>
                <w:sz w:val="14"/>
                <w:szCs w:val="14"/>
                <w:color w:val="001641"/>
              </w:rPr>
              <w:t>—</w:t>
            </w:r>
          </w:p>
        </w:tc>
        <w:tc>
          <w:tcPr>
            <w:tcW w:w="54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96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9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4"/>
                <w:szCs w:val="14"/>
                <w:b w:val="1"/>
                <w:bCs w:val="1"/>
                <w:color w:val="001641"/>
              </w:rPr>
              <w:t xml:space="preserve">52  </w:t>
            </w:r>
            <w:r>
              <w:rPr>
                <w:rFonts w:ascii="Arial" w:cs="Arial" w:eastAsia="Arial" w:hAnsi="Arial"/>
                <w:sz w:val="14"/>
                <w:szCs w:val="14"/>
                <w:color w:val="808080"/>
              </w:rPr>
              <w:t>Ralph Lauren 2026 Proxy Statement</w:t>
            </w: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808080"/>
              </w:rPr>
              <w:t xml:space="preserve">    </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920" w:type="dxa"/>
            <w:vAlign w:val="bottom"/>
            <w:tcBorders>
              <w:bottom w:val="single" w:sz="8" w:color="auto"/>
            </w:tcBorders>
          </w:tcPr>
          <w:p>
            <w:pPr>
              <w:spacing w:after="0"/>
              <w:rPr>
                <w:sz w:val="13"/>
                <w:szCs w:val="13"/>
                <w:color w:val="auto"/>
              </w:rPr>
            </w:pPr>
          </w:p>
        </w:tc>
        <w:tc>
          <w:tcPr>
            <w:tcW w:w="48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-4114165</wp:posOffset>
            </wp:positionV>
            <wp:extent cx="24942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-256540</wp:posOffset>
            </wp:positionV>
            <wp:extent cx="128905" cy="11112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63" w:name="page64"/>
    <w:bookmarkEnd w:id="63"/>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5" w:lineRule="exact"/>
        <w:rPr>
          <w:sz w:val="20"/>
          <w:szCs w:val="20"/>
          <w:color w:val="auto"/>
        </w:rPr>
      </w:pPr>
    </w:p>
    <w:tbl>
      <w:tblPr>
        <w:tblLayout w:type="fixed"/>
        <w:tblInd w:w="6" w:type="dxa"/>
        <w:tblCellMar>
          <w:top w:w="0" w:type="dxa"/>
          <w:left w:w="0" w:type="dxa"/>
          <w:bottom w:w="0" w:type="dxa"/>
          <w:right w:w="0" w:type="dxa"/>
        </w:tblCellMar>
      </w:tblPr>
      <w:tr>
        <w:trPr>
          <w:trHeight w:val="261"/>
        </w:trPr>
        <w:tc>
          <w:tcPr>
            <w:tcW w:w="4800" w:type="dxa"/>
            <w:vAlign w:val="bottom"/>
            <w:shd w:val="clear" w:color="auto" w:fill="001641"/>
          </w:tcPr>
          <w:p>
            <w:pPr>
              <w:spacing w:after="0"/>
              <w:rPr>
                <w:sz w:val="22"/>
                <w:szCs w:val="22"/>
                <w:color w:val="auto"/>
              </w:rPr>
            </w:pPr>
          </w:p>
        </w:tc>
        <w:tc>
          <w:tcPr>
            <w:tcW w:w="1220" w:type="dxa"/>
            <w:vAlign w:val="bottom"/>
            <w:shd w:val="clear" w:color="auto" w:fill="001641"/>
          </w:tcPr>
          <w:p>
            <w:pPr>
              <w:spacing w:after="0"/>
              <w:rPr>
                <w:sz w:val="22"/>
                <w:szCs w:val="22"/>
                <w:color w:val="auto"/>
              </w:rPr>
            </w:pPr>
          </w:p>
        </w:tc>
        <w:tc>
          <w:tcPr>
            <w:tcW w:w="500" w:type="dxa"/>
            <w:vAlign w:val="bottom"/>
            <w:shd w:val="clear" w:color="auto" w:fill="001641"/>
          </w:tcPr>
          <w:p>
            <w:pPr>
              <w:spacing w:after="0"/>
              <w:rPr>
                <w:sz w:val="22"/>
                <w:szCs w:val="22"/>
                <w:color w:val="auto"/>
              </w:rPr>
            </w:pPr>
          </w:p>
        </w:tc>
        <w:tc>
          <w:tcPr>
            <w:tcW w:w="1120" w:type="dxa"/>
            <w:vAlign w:val="bottom"/>
            <w:shd w:val="clear" w:color="auto" w:fill="001641"/>
          </w:tcPr>
          <w:p>
            <w:pPr>
              <w:spacing w:after="0"/>
              <w:rPr>
                <w:sz w:val="22"/>
                <w:szCs w:val="22"/>
                <w:color w:val="auto"/>
              </w:rPr>
            </w:pPr>
          </w:p>
        </w:tc>
        <w:tc>
          <w:tcPr>
            <w:tcW w:w="560" w:type="dxa"/>
            <w:vAlign w:val="bottom"/>
            <w:shd w:val="clear" w:color="auto" w:fill="001641"/>
          </w:tcPr>
          <w:p>
            <w:pPr>
              <w:spacing w:after="0"/>
              <w:rPr>
                <w:sz w:val="22"/>
                <w:szCs w:val="22"/>
                <w:color w:val="auto"/>
              </w:rPr>
            </w:pPr>
          </w:p>
        </w:tc>
        <w:tc>
          <w:tcPr>
            <w:tcW w:w="980" w:type="dxa"/>
            <w:vAlign w:val="bottom"/>
            <w:shd w:val="clear" w:color="auto" w:fill="001641"/>
          </w:tcPr>
          <w:p>
            <w:pPr>
              <w:jc w:val="right"/>
              <w:ind w:right="168"/>
              <w:spacing w:after="0"/>
              <w:rPr>
                <w:sz w:val="20"/>
                <w:szCs w:val="20"/>
                <w:color w:val="auto"/>
              </w:rPr>
            </w:pPr>
            <w:r>
              <w:rPr>
                <w:rFonts w:ascii="Arial" w:cs="Arial" w:eastAsia="Arial" w:hAnsi="Arial"/>
                <w:sz w:val="14"/>
                <w:szCs w:val="14"/>
                <w:b w:val="1"/>
                <w:bCs w:val="1"/>
                <w:color w:val="FFFFFF"/>
              </w:rPr>
              <w:t>Voting</w:t>
            </w:r>
          </w:p>
        </w:tc>
        <w:tc>
          <w:tcPr>
            <w:tcW w:w="0" w:type="dxa"/>
            <w:vAlign w:val="bottom"/>
          </w:tcPr>
          <w:p>
            <w:pPr>
              <w:spacing w:after="0"/>
              <w:rPr>
                <w:sz w:val="1"/>
                <w:szCs w:val="1"/>
                <w:color w:val="auto"/>
              </w:rPr>
            </w:pPr>
          </w:p>
        </w:tc>
      </w:tr>
      <w:tr>
        <w:trPr>
          <w:trHeight w:val="162"/>
        </w:trPr>
        <w:tc>
          <w:tcPr>
            <w:tcW w:w="4800" w:type="dxa"/>
            <w:vAlign w:val="bottom"/>
            <w:shd w:val="clear" w:color="auto" w:fill="001641"/>
          </w:tcPr>
          <w:p>
            <w:pPr>
              <w:spacing w:after="0"/>
              <w:rPr>
                <w:sz w:val="14"/>
                <w:szCs w:val="14"/>
                <w:color w:val="auto"/>
              </w:rPr>
            </w:pPr>
          </w:p>
        </w:tc>
        <w:tc>
          <w:tcPr>
            <w:tcW w:w="1220" w:type="dxa"/>
            <w:vAlign w:val="bottom"/>
            <w:shd w:val="clear" w:color="auto" w:fill="001641"/>
          </w:tcPr>
          <w:p>
            <w:pPr>
              <w:spacing w:after="0"/>
              <w:rPr>
                <w:sz w:val="14"/>
                <w:szCs w:val="14"/>
                <w:color w:val="auto"/>
              </w:rPr>
            </w:pPr>
          </w:p>
        </w:tc>
        <w:tc>
          <w:tcPr>
            <w:tcW w:w="500" w:type="dxa"/>
            <w:vAlign w:val="bottom"/>
            <w:shd w:val="clear" w:color="auto" w:fill="001641"/>
          </w:tcPr>
          <w:p>
            <w:pPr>
              <w:spacing w:after="0"/>
              <w:rPr>
                <w:sz w:val="14"/>
                <w:szCs w:val="14"/>
                <w:color w:val="auto"/>
              </w:rPr>
            </w:pPr>
          </w:p>
        </w:tc>
        <w:tc>
          <w:tcPr>
            <w:tcW w:w="1120" w:type="dxa"/>
            <w:vAlign w:val="bottom"/>
            <w:shd w:val="clear" w:color="auto" w:fill="001641"/>
          </w:tcPr>
          <w:p>
            <w:pPr>
              <w:spacing w:after="0"/>
              <w:rPr>
                <w:sz w:val="14"/>
                <w:szCs w:val="14"/>
                <w:color w:val="auto"/>
              </w:rPr>
            </w:pPr>
          </w:p>
        </w:tc>
        <w:tc>
          <w:tcPr>
            <w:tcW w:w="560" w:type="dxa"/>
            <w:vAlign w:val="bottom"/>
            <w:shd w:val="clear" w:color="auto" w:fill="001641"/>
          </w:tcPr>
          <w:p>
            <w:pPr>
              <w:spacing w:after="0"/>
              <w:rPr>
                <w:sz w:val="14"/>
                <w:szCs w:val="14"/>
                <w:color w:val="auto"/>
              </w:rPr>
            </w:pPr>
          </w:p>
        </w:tc>
        <w:tc>
          <w:tcPr>
            <w:tcW w:w="980" w:type="dxa"/>
            <w:vAlign w:val="bottom"/>
            <w:shd w:val="clear" w:color="auto" w:fill="001641"/>
          </w:tcPr>
          <w:p>
            <w:pPr>
              <w:jc w:val="right"/>
              <w:ind w:right="168"/>
              <w:spacing w:after="0"/>
              <w:rPr>
                <w:sz w:val="20"/>
                <w:szCs w:val="20"/>
                <w:color w:val="auto"/>
              </w:rPr>
            </w:pPr>
            <w:r>
              <w:rPr>
                <w:rFonts w:ascii="Arial" w:cs="Arial" w:eastAsia="Arial" w:hAnsi="Arial"/>
                <w:sz w:val="14"/>
                <w:szCs w:val="14"/>
                <w:b w:val="1"/>
                <w:bCs w:val="1"/>
                <w:color w:val="FFFFFF"/>
              </w:rPr>
              <w:t>Power</w:t>
            </w:r>
          </w:p>
        </w:tc>
        <w:tc>
          <w:tcPr>
            <w:tcW w:w="0" w:type="dxa"/>
            <w:vAlign w:val="bottom"/>
          </w:tcPr>
          <w:p>
            <w:pPr>
              <w:spacing w:after="0"/>
              <w:rPr>
                <w:sz w:val="1"/>
                <w:szCs w:val="1"/>
                <w:color w:val="auto"/>
              </w:rPr>
            </w:pPr>
          </w:p>
        </w:tc>
      </w:tr>
      <w:tr>
        <w:trPr>
          <w:trHeight w:val="162"/>
        </w:trPr>
        <w:tc>
          <w:tcPr>
            <w:tcW w:w="4800" w:type="dxa"/>
            <w:vAlign w:val="bottom"/>
            <w:shd w:val="clear" w:color="auto" w:fill="001641"/>
          </w:tcPr>
          <w:p>
            <w:pPr>
              <w:spacing w:after="0"/>
              <w:rPr>
                <w:sz w:val="14"/>
                <w:szCs w:val="14"/>
                <w:color w:val="auto"/>
              </w:rPr>
            </w:pPr>
          </w:p>
        </w:tc>
        <w:tc>
          <w:tcPr>
            <w:tcW w:w="1220" w:type="dxa"/>
            <w:vAlign w:val="bottom"/>
            <w:shd w:val="clear" w:color="auto" w:fill="001641"/>
          </w:tcPr>
          <w:p>
            <w:pPr>
              <w:spacing w:after="0"/>
              <w:rPr>
                <w:sz w:val="14"/>
                <w:szCs w:val="14"/>
                <w:color w:val="auto"/>
              </w:rPr>
            </w:pPr>
          </w:p>
        </w:tc>
        <w:tc>
          <w:tcPr>
            <w:tcW w:w="500" w:type="dxa"/>
            <w:vAlign w:val="bottom"/>
            <w:shd w:val="clear" w:color="auto" w:fill="001641"/>
          </w:tcPr>
          <w:p>
            <w:pPr>
              <w:spacing w:after="0"/>
              <w:rPr>
                <w:sz w:val="14"/>
                <w:szCs w:val="14"/>
                <w:color w:val="auto"/>
              </w:rPr>
            </w:pPr>
          </w:p>
        </w:tc>
        <w:tc>
          <w:tcPr>
            <w:tcW w:w="1120" w:type="dxa"/>
            <w:vAlign w:val="bottom"/>
            <w:vMerge w:val="restart"/>
            <w:shd w:val="clear" w:color="auto" w:fill="001641"/>
          </w:tcPr>
          <w:p>
            <w:pPr>
              <w:ind w:left="560"/>
              <w:spacing w:after="0"/>
              <w:rPr>
                <w:sz w:val="20"/>
                <w:szCs w:val="20"/>
                <w:color w:val="auto"/>
              </w:rPr>
            </w:pPr>
            <w:r>
              <w:rPr>
                <w:rFonts w:ascii="Arial" w:cs="Arial" w:eastAsia="Arial" w:hAnsi="Arial"/>
                <w:sz w:val="14"/>
                <w:szCs w:val="14"/>
                <w:b w:val="1"/>
                <w:bCs w:val="1"/>
                <w:color w:val="FFFFFF"/>
              </w:rPr>
              <w:t>Class B</w:t>
            </w:r>
          </w:p>
        </w:tc>
        <w:tc>
          <w:tcPr>
            <w:tcW w:w="560" w:type="dxa"/>
            <w:vAlign w:val="bottom"/>
            <w:shd w:val="clear" w:color="auto" w:fill="001641"/>
          </w:tcPr>
          <w:p>
            <w:pPr>
              <w:spacing w:after="0"/>
              <w:rPr>
                <w:sz w:val="14"/>
                <w:szCs w:val="14"/>
                <w:color w:val="auto"/>
              </w:rPr>
            </w:pPr>
          </w:p>
        </w:tc>
        <w:tc>
          <w:tcPr>
            <w:tcW w:w="980" w:type="dxa"/>
            <w:vAlign w:val="bottom"/>
            <w:shd w:val="clear" w:color="auto" w:fill="001641"/>
          </w:tcPr>
          <w:p>
            <w:pPr>
              <w:jc w:val="right"/>
              <w:ind w:right="168"/>
              <w:spacing w:after="0"/>
              <w:rPr>
                <w:sz w:val="20"/>
                <w:szCs w:val="20"/>
                <w:color w:val="auto"/>
              </w:rPr>
            </w:pPr>
            <w:r>
              <w:rPr>
                <w:rFonts w:ascii="Arial" w:cs="Arial" w:eastAsia="Arial" w:hAnsi="Arial"/>
                <w:sz w:val="14"/>
                <w:szCs w:val="14"/>
                <w:b w:val="1"/>
                <w:bCs w:val="1"/>
                <w:color w:val="FFFFFF"/>
              </w:rPr>
              <w:t>of Total</w:t>
            </w:r>
          </w:p>
        </w:tc>
        <w:tc>
          <w:tcPr>
            <w:tcW w:w="0" w:type="dxa"/>
            <w:vAlign w:val="bottom"/>
          </w:tcPr>
          <w:p>
            <w:pPr>
              <w:spacing w:after="0"/>
              <w:rPr>
                <w:sz w:val="1"/>
                <w:szCs w:val="1"/>
                <w:color w:val="auto"/>
              </w:rPr>
            </w:pPr>
          </w:p>
        </w:tc>
      </w:tr>
      <w:tr>
        <w:trPr>
          <w:trHeight w:val="144"/>
        </w:trPr>
        <w:tc>
          <w:tcPr>
            <w:tcW w:w="4800" w:type="dxa"/>
            <w:vAlign w:val="bottom"/>
            <w:shd w:val="clear" w:color="auto" w:fill="001641"/>
          </w:tcPr>
          <w:p>
            <w:pPr>
              <w:spacing w:after="0"/>
              <w:rPr>
                <w:sz w:val="12"/>
                <w:szCs w:val="12"/>
                <w:color w:val="auto"/>
              </w:rPr>
            </w:pPr>
          </w:p>
        </w:tc>
        <w:tc>
          <w:tcPr>
            <w:tcW w:w="1220" w:type="dxa"/>
            <w:vAlign w:val="bottom"/>
            <w:shd w:val="clear" w:color="auto" w:fill="001641"/>
          </w:tcPr>
          <w:p>
            <w:pPr>
              <w:jc w:val="right"/>
              <w:spacing w:after="0" w:line="145" w:lineRule="exact"/>
              <w:rPr>
                <w:sz w:val="20"/>
                <w:szCs w:val="20"/>
                <w:color w:val="auto"/>
              </w:rPr>
            </w:pPr>
            <w:r>
              <w:rPr>
                <w:rFonts w:ascii="Arial" w:cs="Arial" w:eastAsia="Arial" w:hAnsi="Arial"/>
                <w:sz w:val="14"/>
                <w:szCs w:val="14"/>
                <w:b w:val="1"/>
                <w:bCs w:val="1"/>
                <w:color w:val="FFFFFF"/>
              </w:rPr>
              <w:t>Class A</w:t>
            </w:r>
          </w:p>
        </w:tc>
        <w:tc>
          <w:tcPr>
            <w:tcW w:w="500" w:type="dxa"/>
            <w:vAlign w:val="bottom"/>
            <w:shd w:val="clear" w:color="auto" w:fill="001641"/>
          </w:tcPr>
          <w:p>
            <w:pPr>
              <w:spacing w:after="0"/>
              <w:rPr>
                <w:sz w:val="12"/>
                <w:szCs w:val="12"/>
                <w:color w:val="auto"/>
              </w:rPr>
            </w:pPr>
          </w:p>
        </w:tc>
        <w:tc>
          <w:tcPr>
            <w:tcW w:w="1120" w:type="dxa"/>
            <w:vAlign w:val="bottom"/>
            <w:vMerge w:val="continue"/>
            <w:shd w:val="clear" w:color="auto" w:fill="001641"/>
          </w:tcPr>
          <w:p>
            <w:pPr>
              <w:spacing w:after="0"/>
              <w:rPr>
                <w:sz w:val="12"/>
                <w:szCs w:val="12"/>
                <w:color w:val="auto"/>
              </w:rPr>
            </w:pPr>
          </w:p>
        </w:tc>
        <w:tc>
          <w:tcPr>
            <w:tcW w:w="560" w:type="dxa"/>
            <w:vAlign w:val="bottom"/>
            <w:shd w:val="clear" w:color="auto" w:fill="001641"/>
          </w:tcPr>
          <w:p>
            <w:pPr>
              <w:spacing w:after="0"/>
              <w:rPr>
                <w:sz w:val="12"/>
                <w:szCs w:val="12"/>
                <w:color w:val="auto"/>
              </w:rPr>
            </w:pPr>
          </w:p>
        </w:tc>
        <w:tc>
          <w:tcPr>
            <w:tcW w:w="980" w:type="dxa"/>
            <w:vAlign w:val="bottom"/>
            <w:shd w:val="clear" w:color="auto" w:fill="001641"/>
          </w:tcPr>
          <w:p>
            <w:pPr>
              <w:jc w:val="right"/>
              <w:ind w:right="128"/>
              <w:spacing w:after="0" w:line="145" w:lineRule="exact"/>
              <w:rPr>
                <w:sz w:val="20"/>
                <w:szCs w:val="20"/>
                <w:color w:val="auto"/>
              </w:rPr>
            </w:pPr>
            <w:r>
              <w:rPr>
                <w:rFonts w:ascii="Arial" w:cs="Arial" w:eastAsia="Arial" w:hAnsi="Arial"/>
                <w:sz w:val="14"/>
                <w:szCs w:val="14"/>
                <w:b w:val="1"/>
                <w:bCs w:val="1"/>
                <w:color w:val="FFFFFF"/>
              </w:rPr>
              <w:t>Common</w:t>
            </w:r>
          </w:p>
        </w:tc>
        <w:tc>
          <w:tcPr>
            <w:tcW w:w="0" w:type="dxa"/>
            <w:vAlign w:val="bottom"/>
          </w:tcPr>
          <w:p>
            <w:pPr>
              <w:spacing w:after="0"/>
              <w:rPr>
                <w:sz w:val="1"/>
                <w:szCs w:val="1"/>
                <w:color w:val="auto"/>
              </w:rPr>
            </w:pPr>
          </w:p>
        </w:tc>
      </w:tr>
      <w:tr>
        <w:trPr>
          <w:trHeight w:val="270"/>
        </w:trPr>
        <w:tc>
          <w:tcPr>
            <w:tcW w:w="4800" w:type="dxa"/>
            <w:vAlign w:val="bottom"/>
            <w:shd w:val="clear" w:color="auto" w:fill="001641"/>
          </w:tcPr>
          <w:p>
            <w:pPr>
              <w:spacing w:after="0"/>
              <w:rPr>
                <w:sz w:val="23"/>
                <w:szCs w:val="23"/>
                <w:color w:val="auto"/>
              </w:rPr>
            </w:pPr>
          </w:p>
        </w:tc>
        <w:tc>
          <w:tcPr>
            <w:tcW w:w="1720" w:type="dxa"/>
            <w:vAlign w:val="bottom"/>
            <w:gridSpan w:val="2"/>
            <w:shd w:val="clear" w:color="auto" w:fill="001641"/>
          </w:tcPr>
          <w:p>
            <w:pPr>
              <w:jc w:val="right"/>
              <w:ind w:right="188"/>
              <w:spacing w:after="0"/>
              <w:rPr>
                <w:sz w:val="20"/>
                <w:szCs w:val="20"/>
                <w:color w:val="auto"/>
              </w:rPr>
            </w:pPr>
            <w:r>
              <w:rPr>
                <w:rFonts w:ascii="Arial" w:cs="Arial" w:eastAsia="Arial" w:hAnsi="Arial"/>
                <w:sz w:val="14"/>
                <w:szCs w:val="14"/>
                <w:b w:val="1"/>
                <w:bCs w:val="1"/>
                <w:color w:val="FFFFFF"/>
              </w:rPr>
              <w:t>Common Stock</w:t>
            </w:r>
          </w:p>
        </w:tc>
        <w:tc>
          <w:tcPr>
            <w:tcW w:w="1680" w:type="dxa"/>
            <w:vAlign w:val="bottom"/>
            <w:gridSpan w:val="2"/>
            <w:shd w:val="clear" w:color="auto" w:fill="001641"/>
          </w:tcPr>
          <w:p>
            <w:pPr>
              <w:jc w:val="right"/>
              <w:ind w:right="208"/>
              <w:spacing w:after="0"/>
              <w:rPr>
                <w:sz w:val="20"/>
                <w:szCs w:val="20"/>
                <w:color w:val="auto"/>
              </w:rPr>
            </w:pPr>
            <w:r>
              <w:rPr>
                <w:rFonts w:ascii="Arial" w:cs="Arial" w:eastAsia="Arial" w:hAnsi="Arial"/>
                <w:sz w:val="14"/>
                <w:szCs w:val="14"/>
                <w:b w:val="1"/>
                <w:bCs w:val="1"/>
                <w:color w:val="FFFFFF"/>
              </w:rPr>
              <w:t>Common Stock</w:t>
            </w:r>
            <w:r>
              <w:rPr>
                <w:rFonts w:ascii="Arial" w:cs="Arial" w:eastAsia="Arial" w:hAnsi="Arial"/>
                <w:sz w:val="23"/>
                <w:szCs w:val="23"/>
                <w:b w:val="1"/>
                <w:bCs w:val="1"/>
                <w:color w:val="FFFFFF"/>
                <w:vertAlign w:val="superscript"/>
              </w:rPr>
              <w:t>1</w:t>
            </w:r>
          </w:p>
        </w:tc>
        <w:tc>
          <w:tcPr>
            <w:tcW w:w="980" w:type="dxa"/>
            <w:vAlign w:val="bottom"/>
            <w:shd w:val="clear" w:color="auto" w:fill="001641"/>
          </w:tcPr>
          <w:p>
            <w:pPr>
              <w:jc w:val="right"/>
              <w:ind w:right="128"/>
              <w:spacing w:after="0"/>
              <w:rPr>
                <w:sz w:val="20"/>
                <w:szCs w:val="20"/>
                <w:color w:val="auto"/>
              </w:rPr>
            </w:pPr>
            <w:r>
              <w:rPr>
                <w:rFonts w:ascii="Arial" w:cs="Arial" w:eastAsia="Arial" w:hAnsi="Arial"/>
                <w:sz w:val="14"/>
                <w:szCs w:val="14"/>
                <w:b w:val="1"/>
                <w:bCs w:val="1"/>
                <w:color w:val="FFFFFF"/>
              </w:rPr>
              <w:t>Stock %</w:t>
            </w:r>
          </w:p>
        </w:tc>
        <w:tc>
          <w:tcPr>
            <w:tcW w:w="0" w:type="dxa"/>
            <w:vAlign w:val="bottom"/>
          </w:tcPr>
          <w:p>
            <w:pPr>
              <w:spacing w:after="0"/>
              <w:rPr>
                <w:sz w:val="1"/>
                <w:szCs w:val="1"/>
                <w:color w:val="auto"/>
              </w:rPr>
            </w:pPr>
          </w:p>
        </w:tc>
      </w:tr>
      <w:tr>
        <w:trPr>
          <w:trHeight w:val="291"/>
        </w:trPr>
        <w:tc>
          <w:tcPr>
            <w:tcW w:w="4800" w:type="dxa"/>
            <w:vAlign w:val="bottom"/>
            <w:tcBorders>
              <w:bottom w:val="single" w:sz="8" w:color="001641"/>
            </w:tcBorders>
            <w:shd w:val="clear" w:color="auto" w:fill="001641"/>
          </w:tcPr>
          <w:p>
            <w:pPr>
              <w:spacing w:after="0"/>
              <w:rPr>
                <w:sz w:val="24"/>
                <w:szCs w:val="24"/>
                <w:color w:val="auto"/>
              </w:rPr>
            </w:pPr>
          </w:p>
        </w:tc>
        <w:tc>
          <w:tcPr>
            <w:tcW w:w="1220" w:type="dxa"/>
            <w:vAlign w:val="bottom"/>
            <w:tcBorders>
              <w:bottom w:val="single" w:sz="8" w:color="001641"/>
            </w:tcBorders>
            <w:shd w:val="clear" w:color="auto" w:fill="001641"/>
          </w:tcPr>
          <w:p>
            <w:pPr>
              <w:jc w:val="right"/>
              <w:ind w:right="128"/>
              <w:spacing w:after="0"/>
              <w:rPr>
                <w:sz w:val="20"/>
                <w:szCs w:val="20"/>
                <w:color w:val="auto"/>
              </w:rPr>
            </w:pPr>
            <w:r>
              <w:rPr>
                <w:rFonts w:ascii="Arial" w:cs="Arial" w:eastAsia="Arial" w:hAnsi="Arial"/>
                <w:sz w:val="14"/>
                <w:szCs w:val="14"/>
                <w:b w:val="1"/>
                <w:bCs w:val="1"/>
                <w:color w:val="FFFFFF"/>
              </w:rPr>
              <w:t>Number</w:t>
            </w:r>
          </w:p>
        </w:tc>
        <w:tc>
          <w:tcPr>
            <w:tcW w:w="500" w:type="dxa"/>
            <w:vAlign w:val="bottom"/>
            <w:tcBorders>
              <w:bottom w:val="single" w:sz="8" w:color="001641"/>
            </w:tcBorders>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bottom w:val="single" w:sz="8" w:color="001641"/>
            </w:tcBorders>
            <w:shd w:val="clear" w:color="auto" w:fill="001641"/>
          </w:tcPr>
          <w:p>
            <w:pPr>
              <w:ind w:left="380"/>
              <w:spacing w:after="0"/>
              <w:rPr>
                <w:sz w:val="20"/>
                <w:szCs w:val="20"/>
                <w:color w:val="auto"/>
              </w:rPr>
            </w:pPr>
            <w:r>
              <w:rPr>
                <w:rFonts w:ascii="Arial" w:cs="Arial" w:eastAsia="Arial" w:hAnsi="Arial"/>
                <w:sz w:val="14"/>
                <w:szCs w:val="14"/>
                <w:b w:val="1"/>
                <w:bCs w:val="1"/>
                <w:color w:val="FFFFFF"/>
              </w:rPr>
              <w:t>Number</w:t>
            </w:r>
          </w:p>
        </w:tc>
        <w:tc>
          <w:tcPr>
            <w:tcW w:w="560" w:type="dxa"/>
            <w:vAlign w:val="bottom"/>
            <w:tcBorders>
              <w:bottom w:val="single" w:sz="8" w:color="001641"/>
            </w:tcBorders>
            <w:shd w:val="clear" w:color="auto" w:fill="001641"/>
          </w:tcPr>
          <w:p>
            <w:pPr>
              <w:jc w:val="right"/>
              <w:ind w:right="68"/>
              <w:spacing w:after="0"/>
              <w:rPr>
                <w:sz w:val="20"/>
                <w:szCs w:val="20"/>
                <w:color w:val="auto"/>
              </w:rPr>
            </w:pPr>
            <w:r>
              <w:rPr>
                <w:rFonts w:ascii="Arial" w:cs="Arial" w:eastAsia="Arial" w:hAnsi="Arial"/>
                <w:sz w:val="14"/>
                <w:szCs w:val="14"/>
                <w:b w:val="1"/>
                <w:bCs w:val="1"/>
                <w:color w:val="FFFFFF"/>
              </w:rPr>
              <w:t>%</w:t>
            </w:r>
          </w:p>
        </w:tc>
        <w:tc>
          <w:tcPr>
            <w:tcW w:w="980" w:type="dxa"/>
            <w:vAlign w:val="bottom"/>
            <w:tcBorders>
              <w:bottom w:val="single" w:sz="8" w:color="001641"/>
            </w:tcBorders>
            <w:shd w:val="clear" w:color="auto" w:fill="00164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324"/>
        </w:trPr>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Vanguard Capital Management LLC</w:t>
            </w:r>
          </w:p>
        </w:tc>
        <w:tc>
          <w:tcPr>
            <w:tcW w:w="1220" w:type="dxa"/>
            <w:vAlign w:val="bottom"/>
            <w:tcBorders>
              <w:bottom w:val="single" w:sz="8" w:color="BFA071"/>
            </w:tcBorders>
          </w:tcPr>
          <w:p>
            <w:pPr>
              <w:jc w:val="right"/>
              <w:ind w:right="128"/>
              <w:spacing w:after="0"/>
              <w:rPr>
                <w:sz w:val="20"/>
                <w:szCs w:val="20"/>
                <w:color w:val="auto"/>
              </w:rPr>
            </w:pPr>
            <w:r>
              <w:rPr>
                <w:rFonts w:ascii="Arial" w:cs="Arial" w:eastAsia="Arial" w:hAnsi="Arial"/>
                <w:sz w:val="14"/>
                <w:szCs w:val="14"/>
                <w:color w:val="001641"/>
              </w:rPr>
              <w:t>2,782,790</w:t>
            </w:r>
            <w:r>
              <w:rPr>
                <w:rFonts w:ascii="Arial" w:cs="Arial" w:eastAsia="Arial" w:hAnsi="Arial"/>
                <w:sz w:val="23"/>
                <w:szCs w:val="23"/>
                <w:color w:val="001641"/>
                <w:vertAlign w:val="superscript"/>
              </w:rPr>
              <w:t>19</w:t>
            </w:r>
          </w:p>
        </w:tc>
        <w:tc>
          <w:tcPr>
            <w:tcW w:w="500" w:type="dxa"/>
            <w:vAlign w:val="bottom"/>
            <w:tcBorders>
              <w:bottom w:val="single" w:sz="8" w:color="BFA071"/>
            </w:tcBorders>
          </w:tcPr>
          <w:p>
            <w:pPr>
              <w:jc w:val="right"/>
              <w:ind w:right="48"/>
              <w:spacing w:after="0"/>
              <w:rPr>
                <w:sz w:val="20"/>
                <w:szCs w:val="20"/>
                <w:color w:val="auto"/>
              </w:rPr>
            </w:pPr>
            <w:r>
              <w:rPr>
                <w:rFonts w:ascii="Arial" w:cs="Arial" w:eastAsia="Arial" w:hAnsi="Arial"/>
                <w:sz w:val="14"/>
                <w:szCs w:val="14"/>
                <w:color w:val="001641"/>
              </w:rPr>
              <w:t>6.1%</w:t>
            </w:r>
          </w:p>
        </w:tc>
        <w:tc>
          <w:tcPr>
            <w:tcW w:w="1120" w:type="dxa"/>
            <w:vAlign w:val="bottom"/>
            <w:tcBorders>
              <w:bottom w:val="single" w:sz="8" w:color="BFA071"/>
            </w:tcBorders>
          </w:tcPr>
          <w:p>
            <w:pPr>
              <w:ind w:left="720"/>
              <w:spacing w:after="0"/>
              <w:rPr>
                <w:sz w:val="20"/>
                <w:szCs w:val="20"/>
                <w:color w:val="auto"/>
              </w:rPr>
            </w:pPr>
            <w:r>
              <w:rPr>
                <w:rFonts w:ascii="Arial" w:cs="Arial" w:eastAsia="Arial" w:hAnsi="Arial"/>
                <w:sz w:val="14"/>
                <w:szCs w:val="14"/>
                <w:color w:val="001641"/>
              </w:rPr>
              <w:t>—</w:t>
            </w:r>
          </w:p>
        </w:tc>
        <w:tc>
          <w:tcPr>
            <w:tcW w:w="560" w:type="dxa"/>
            <w:vAlign w:val="bottom"/>
            <w:tcBorders>
              <w:bottom w:val="single" w:sz="8" w:color="BFA071"/>
            </w:tcBorders>
          </w:tcPr>
          <w:p>
            <w:pPr>
              <w:jc w:val="right"/>
              <w:ind w:right="88"/>
              <w:spacing w:after="0"/>
              <w:rPr>
                <w:sz w:val="20"/>
                <w:szCs w:val="20"/>
                <w:color w:val="auto"/>
              </w:rPr>
            </w:pPr>
            <w:r>
              <w:rPr>
                <w:rFonts w:ascii="Arial" w:cs="Arial" w:eastAsia="Arial" w:hAnsi="Arial"/>
                <w:sz w:val="14"/>
                <w:szCs w:val="14"/>
                <w:color w:val="001641"/>
              </w:rPr>
              <w:t>—</w:t>
            </w:r>
          </w:p>
        </w:tc>
        <w:tc>
          <w:tcPr>
            <w:tcW w:w="980" w:type="dxa"/>
            <w:vAlign w:val="bottom"/>
            <w:tcBorders>
              <w:bottom w:val="single" w:sz="8" w:color="BFA071"/>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BlackRock, Inc.</w:t>
            </w:r>
          </w:p>
        </w:tc>
        <w:tc>
          <w:tcPr>
            <w:tcW w:w="1220" w:type="dxa"/>
            <w:vAlign w:val="bottom"/>
            <w:tcBorders>
              <w:bottom w:val="single" w:sz="8" w:color="BFA071"/>
            </w:tcBorders>
          </w:tcPr>
          <w:p>
            <w:pPr>
              <w:jc w:val="right"/>
              <w:ind w:right="148"/>
              <w:spacing w:after="0"/>
              <w:rPr>
                <w:sz w:val="20"/>
                <w:szCs w:val="20"/>
                <w:color w:val="auto"/>
              </w:rPr>
            </w:pPr>
            <w:r>
              <w:rPr>
                <w:rFonts w:ascii="Arial" w:cs="Arial" w:eastAsia="Arial" w:hAnsi="Arial"/>
                <w:sz w:val="14"/>
                <w:szCs w:val="14"/>
                <w:color w:val="001641"/>
              </w:rPr>
              <w:t>2,376,511</w:t>
            </w:r>
            <w:r>
              <w:rPr>
                <w:rFonts w:ascii="Arial" w:cs="Arial" w:eastAsia="Arial" w:hAnsi="Arial"/>
                <w:sz w:val="23"/>
                <w:szCs w:val="23"/>
                <w:color w:val="001641"/>
                <w:vertAlign w:val="superscript"/>
              </w:rPr>
              <w:t>20</w:t>
            </w:r>
          </w:p>
        </w:tc>
        <w:tc>
          <w:tcPr>
            <w:tcW w:w="500" w:type="dxa"/>
            <w:vAlign w:val="bottom"/>
            <w:tcBorders>
              <w:bottom w:val="single" w:sz="8" w:color="BFA071"/>
            </w:tcBorders>
          </w:tcPr>
          <w:p>
            <w:pPr>
              <w:jc w:val="right"/>
              <w:ind w:right="48"/>
              <w:spacing w:after="0"/>
              <w:rPr>
                <w:sz w:val="20"/>
                <w:szCs w:val="20"/>
                <w:color w:val="auto"/>
              </w:rPr>
            </w:pPr>
            <w:r>
              <w:rPr>
                <w:rFonts w:ascii="Arial" w:cs="Arial" w:eastAsia="Arial" w:hAnsi="Arial"/>
                <w:sz w:val="14"/>
                <w:szCs w:val="14"/>
                <w:color w:val="001641"/>
              </w:rPr>
              <w:t>6.3%</w:t>
            </w:r>
          </w:p>
        </w:tc>
        <w:tc>
          <w:tcPr>
            <w:tcW w:w="1120" w:type="dxa"/>
            <w:vAlign w:val="bottom"/>
            <w:tcBorders>
              <w:bottom w:val="single" w:sz="8" w:color="BFA071"/>
            </w:tcBorders>
          </w:tcPr>
          <w:p>
            <w:pPr>
              <w:ind w:left="720"/>
              <w:spacing w:after="0"/>
              <w:rPr>
                <w:sz w:val="20"/>
                <w:szCs w:val="20"/>
                <w:color w:val="auto"/>
              </w:rPr>
            </w:pPr>
            <w:r>
              <w:rPr>
                <w:rFonts w:ascii="Arial" w:cs="Arial" w:eastAsia="Arial" w:hAnsi="Arial"/>
                <w:sz w:val="14"/>
                <w:szCs w:val="14"/>
                <w:color w:val="001641"/>
              </w:rPr>
              <w:t>—</w:t>
            </w:r>
          </w:p>
        </w:tc>
        <w:tc>
          <w:tcPr>
            <w:tcW w:w="560" w:type="dxa"/>
            <w:vAlign w:val="bottom"/>
            <w:tcBorders>
              <w:bottom w:val="single" w:sz="8" w:color="BFA071"/>
            </w:tcBorders>
          </w:tcPr>
          <w:p>
            <w:pPr>
              <w:jc w:val="right"/>
              <w:ind w:right="88"/>
              <w:spacing w:after="0"/>
              <w:rPr>
                <w:sz w:val="20"/>
                <w:szCs w:val="20"/>
                <w:color w:val="auto"/>
              </w:rPr>
            </w:pPr>
            <w:r>
              <w:rPr>
                <w:rFonts w:ascii="Arial" w:cs="Arial" w:eastAsia="Arial" w:hAnsi="Arial"/>
                <w:sz w:val="14"/>
                <w:szCs w:val="14"/>
                <w:color w:val="001641"/>
              </w:rPr>
              <w:t>—</w:t>
            </w:r>
          </w:p>
        </w:tc>
        <w:tc>
          <w:tcPr>
            <w:tcW w:w="98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w:t>
            </w:r>
          </w:p>
        </w:tc>
        <w:tc>
          <w:tcPr>
            <w:tcW w:w="0" w:type="dxa"/>
            <w:vAlign w:val="bottom"/>
          </w:tcPr>
          <w:p>
            <w:pPr>
              <w:spacing w:after="0"/>
              <w:rPr>
                <w:sz w:val="1"/>
                <w:szCs w:val="1"/>
                <w:color w:val="auto"/>
              </w:rPr>
            </w:pPr>
          </w:p>
        </w:tc>
      </w:tr>
      <w:tr>
        <w:trPr>
          <w:trHeight w:val="263"/>
        </w:trPr>
        <w:tc>
          <w:tcPr>
            <w:tcW w:w="48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All directors and executive officers as a group (15 persons)</w:t>
            </w:r>
          </w:p>
        </w:tc>
        <w:tc>
          <w:tcPr>
            <w:tcW w:w="1220" w:type="dxa"/>
            <w:vAlign w:val="bottom"/>
            <w:tcBorders>
              <w:bottom w:val="single" w:sz="8" w:color="BFA071"/>
            </w:tcBorders>
          </w:tcPr>
          <w:p>
            <w:pPr>
              <w:jc w:val="right"/>
              <w:ind w:right="128"/>
              <w:spacing w:after="0"/>
              <w:rPr>
                <w:sz w:val="20"/>
                <w:szCs w:val="20"/>
                <w:color w:val="auto"/>
              </w:rPr>
            </w:pPr>
            <w:r>
              <w:rPr>
                <w:rFonts w:ascii="Arial" w:cs="Arial" w:eastAsia="Arial" w:hAnsi="Arial"/>
                <w:sz w:val="14"/>
                <w:szCs w:val="14"/>
                <w:color w:val="001641"/>
              </w:rPr>
              <w:t>259,050</w:t>
            </w:r>
            <w:r>
              <w:rPr>
                <w:rFonts w:ascii="Arial" w:cs="Arial" w:eastAsia="Arial" w:hAnsi="Arial"/>
                <w:sz w:val="23"/>
                <w:szCs w:val="23"/>
                <w:color w:val="001641"/>
                <w:vertAlign w:val="superscript"/>
              </w:rPr>
              <w:t>21</w:t>
            </w:r>
          </w:p>
        </w:tc>
        <w:tc>
          <w:tcPr>
            <w:tcW w:w="50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w:t>
            </w:r>
          </w:p>
        </w:tc>
        <w:tc>
          <w:tcPr>
            <w:tcW w:w="1120" w:type="dxa"/>
            <w:vAlign w:val="bottom"/>
            <w:tcBorders>
              <w:bottom w:val="single" w:sz="8" w:color="BFA071"/>
            </w:tcBorders>
          </w:tcPr>
          <w:p>
            <w:pPr>
              <w:ind w:left="120"/>
              <w:spacing w:after="0"/>
              <w:rPr>
                <w:sz w:val="20"/>
                <w:szCs w:val="20"/>
                <w:color w:val="auto"/>
              </w:rPr>
            </w:pPr>
            <w:r>
              <w:rPr>
                <w:rFonts w:ascii="Arial" w:cs="Arial" w:eastAsia="Arial" w:hAnsi="Arial"/>
                <w:sz w:val="14"/>
                <w:szCs w:val="14"/>
                <w:color w:val="001641"/>
              </w:rPr>
              <w:t>21,881,276</w:t>
            </w:r>
            <w:r>
              <w:rPr>
                <w:rFonts w:ascii="Arial" w:cs="Arial" w:eastAsia="Arial" w:hAnsi="Arial"/>
                <w:sz w:val="23"/>
                <w:szCs w:val="23"/>
                <w:color w:val="001641"/>
                <w:vertAlign w:val="superscript"/>
              </w:rPr>
              <w:t>3</w:t>
            </w:r>
          </w:p>
        </w:tc>
        <w:tc>
          <w:tcPr>
            <w:tcW w:w="56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100%</w:t>
            </w:r>
          </w:p>
        </w:tc>
        <w:tc>
          <w:tcPr>
            <w:tcW w:w="98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85.5%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-814070</wp:posOffset>
            </wp:positionV>
            <wp:extent cx="24942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33" w:lineRule="exact"/>
        <w:rPr>
          <w:sz w:val="20"/>
          <w:szCs w:val="20"/>
          <w:color w:val="auto"/>
        </w:rPr>
      </w:pPr>
    </w:p>
    <w:p>
      <w:pPr>
        <w:ind w:left="346" w:hanging="346"/>
        <w:spacing w:after="0"/>
        <w:tabs>
          <w:tab w:leader="none" w:pos="346" w:val="left"/>
        </w:tabs>
        <w:numPr>
          <w:ilvl w:val="0"/>
          <w:numId w:val="36"/>
        </w:numPr>
        <w:rPr>
          <w:rFonts w:ascii="Arial" w:cs="Arial" w:eastAsia="Arial" w:hAnsi="Arial"/>
          <w:sz w:val="14"/>
          <w:szCs w:val="14"/>
          <w:color w:val="4C4C4C"/>
        </w:rPr>
      </w:pPr>
      <w:r>
        <w:rPr>
          <w:rFonts w:ascii="Arial" w:cs="Arial" w:eastAsia="Arial" w:hAnsi="Arial"/>
          <w:sz w:val="14"/>
          <w:szCs w:val="14"/>
          <w:color w:val="4C4C4C"/>
        </w:rPr>
        <w:t>Less than 1.0%</w:t>
      </w:r>
    </w:p>
    <w:p>
      <w:pPr>
        <w:spacing w:after="0" w:line="55" w:lineRule="exact"/>
        <w:rPr>
          <w:sz w:val="20"/>
          <w:szCs w:val="20"/>
          <w:color w:val="auto"/>
        </w:rPr>
      </w:pPr>
    </w:p>
    <w:p>
      <w:pPr>
        <w:ind w:left="346" w:right="20" w:hanging="350"/>
        <w:spacing w:after="0" w:line="250" w:lineRule="auto"/>
        <w:tabs>
          <w:tab w:leader="none" w:pos="326" w:val="left"/>
        </w:tabs>
        <w:rPr>
          <w:sz w:val="20"/>
          <w:szCs w:val="20"/>
          <w:color w:val="auto"/>
        </w:rPr>
      </w:pPr>
      <w:r>
        <w:rPr>
          <w:rFonts w:ascii="Arial" w:cs="Arial" w:eastAsia="Arial" w:hAnsi="Arial"/>
          <w:sz w:val="14"/>
          <w:szCs w:val="14"/>
          <w:color w:val="4C4C4C"/>
        </w:rPr>
        <w:t>1.</w:t>
        <w:tab/>
        <w:t>Each share of Class B Common Stock is convertible at the election of the holder into one share of Class A Common Stock. Each share of Class B Common Stock currently owned by Mr. R. Lauren (or any Class B Permitted Holder), may not be transferred other than to another Class B Permitted Holder, except pursuant to a merger, consolidation or business combination pursuant to which all of the outstanding shares of each class of Common Stock and Preferred Stock of the Company is being acquired. In addition, at such time as a person ceases to be a Class B Permitted Holder, any and all shares of Class B Common Stock held by that person shall automatically convert into shares of Class A Common Stock.</w:t>
      </w:r>
    </w:p>
    <w:p>
      <w:pPr>
        <w:spacing w:after="0" w:line="20" w:lineRule="exact"/>
        <w:rPr>
          <w:sz w:val="20"/>
          <w:szCs w:val="20"/>
          <w:color w:val="auto"/>
        </w:rPr>
      </w:pPr>
    </w:p>
    <w:p>
      <w:pPr>
        <w:ind w:left="346" w:hanging="346"/>
        <w:spacing w:after="0" w:line="252" w:lineRule="auto"/>
        <w:tabs>
          <w:tab w:leader="none" w:pos="346" w:val="left"/>
        </w:tabs>
        <w:numPr>
          <w:ilvl w:val="0"/>
          <w:numId w:val="37"/>
        </w:numPr>
        <w:rPr>
          <w:rFonts w:ascii="Arial" w:cs="Arial" w:eastAsia="Arial" w:hAnsi="Arial"/>
          <w:sz w:val="14"/>
          <w:szCs w:val="14"/>
          <w:color w:val="4C4C4C"/>
        </w:rPr>
      </w:pPr>
      <w:r>
        <w:rPr>
          <w:rFonts w:ascii="Arial" w:cs="Arial" w:eastAsia="Arial" w:hAnsi="Arial"/>
          <w:sz w:val="14"/>
          <w:szCs w:val="14"/>
          <w:color w:val="4C4C4C"/>
        </w:rPr>
        <w:t>For Mr. R. Lauren, includes 35,854 shares of Class A Common Stock indirectly held by Mr. R. Lauren in a revocable trust of which he is the sole trustee and beneficiary. Does not include (i) unvested performance-based stock awards with respect to 91,341 shares of our Class A Common Stock, which are subject to upward or downward adjustment, and (ii) 524,940 vested time-based restricted stock units (“RSUs”) (the underlying shares of our Class A Common Stock for these RSUs will not be delivered until Mr. R. Lauren’s separation of service from the Company or, if earlier, upon a change in control (as defined in Mr. R. Lauren’s employment agreement)).</w:t>
      </w:r>
    </w:p>
    <w:p>
      <w:pPr>
        <w:spacing w:after="0" w:line="18" w:lineRule="exact"/>
        <w:rPr>
          <w:rFonts w:ascii="Arial" w:cs="Arial" w:eastAsia="Arial" w:hAnsi="Arial"/>
          <w:sz w:val="14"/>
          <w:szCs w:val="14"/>
          <w:color w:val="4C4C4C"/>
        </w:rPr>
      </w:pPr>
    </w:p>
    <w:p>
      <w:pPr>
        <w:ind w:left="346" w:hanging="346"/>
        <w:spacing w:after="0" w:line="244" w:lineRule="auto"/>
        <w:tabs>
          <w:tab w:leader="none" w:pos="346" w:val="left"/>
        </w:tabs>
        <w:numPr>
          <w:ilvl w:val="0"/>
          <w:numId w:val="37"/>
        </w:numPr>
        <w:rPr>
          <w:rFonts w:ascii="Arial" w:cs="Arial" w:eastAsia="Arial" w:hAnsi="Arial"/>
          <w:sz w:val="14"/>
          <w:szCs w:val="14"/>
          <w:color w:val="4C4C4C"/>
        </w:rPr>
      </w:pPr>
      <w:r>
        <w:rPr>
          <w:rFonts w:ascii="Arial" w:cs="Arial" w:eastAsia="Arial" w:hAnsi="Arial"/>
          <w:sz w:val="14"/>
          <w:szCs w:val="14"/>
          <w:color w:val="4C4C4C"/>
        </w:rPr>
        <w:t>For Mr. R. Lauren, includes (i) 12,282,954 shares of Class B Common Stock held by a revocable trust of which Mr. R. Lauren is the sole trustee and sole beneficiary, (ii) an aggregate of 4,289,028 shares of Class B Common Stock held by trusts established for the benefit of Mr. R. Lauren’s descendants and of which Mrs. R. Lauren is a trustee and of which Mr. R. Lauren has the power to remove and replace the trustees, provided that Mr. R. Lauren may not serve as the replacement trustee and the replacement trustee is not related or subordinate to Mr. R. Lauren, (iii) 2,370,956 shares of Class B Common Stock held by a trust established for the benefit of Mrs. R. Lauren’s descendants, and of which Mr. R. Lauren has the power to remove and replace the trustee, provided that Mr. R. Lauren and Mrs. R. Lauren may not serve as the replacement trustees, (iv) 44,631 shares of Class B Common Stock held by a trust established for the benefit of Mrs. R. Lauren and Mr. R. Lauren’s descendants, and over which Mr. R. Lauren has the power to remove and replace the trustee, provided that the replacement trustee may not be anyone related or subordinate to him, (v) 51,365 shares of Class B Common stock held by a trust of which Mr. R. Lauren is the sole trustee, and (vi) 2,842,342 shares of Class B Common Stock held by the Lauren Family, L.L.C., a limited liability company of which Mr. R. Lauren has the power to remove and replace the managers (currently Andrew Lauren, Mr. D. Lauren and Dylan Lauren, all children of Mr. R. Lauren and Mrs. R. Lauren), provided that any such replacement manager is not Mr. R. Lauren or related to or subordinate to Mr. R. Lauren (the “Lauren Family L.L.C.”). Actions by the Lauren Family, L.L.C. require the consent of a majority of the managers. The Lauren Family L.L.C. qualifies as a Class B Permitted Holder.</w:t>
      </w:r>
    </w:p>
    <w:p>
      <w:pPr>
        <w:spacing w:after="0" w:line="30" w:lineRule="exact"/>
        <w:rPr>
          <w:rFonts w:ascii="Arial" w:cs="Arial" w:eastAsia="Arial" w:hAnsi="Arial"/>
          <w:sz w:val="14"/>
          <w:szCs w:val="14"/>
          <w:color w:val="4C4C4C"/>
        </w:rPr>
      </w:pPr>
    </w:p>
    <w:p>
      <w:pPr>
        <w:ind w:left="346" w:right="120" w:hanging="346"/>
        <w:spacing w:after="0" w:line="250" w:lineRule="auto"/>
        <w:tabs>
          <w:tab w:leader="none" w:pos="346" w:val="left"/>
        </w:tabs>
        <w:numPr>
          <w:ilvl w:val="0"/>
          <w:numId w:val="37"/>
        </w:numPr>
        <w:rPr>
          <w:rFonts w:ascii="Arial" w:cs="Arial" w:eastAsia="Arial" w:hAnsi="Arial"/>
          <w:sz w:val="14"/>
          <w:szCs w:val="14"/>
          <w:color w:val="4C4C4C"/>
        </w:rPr>
      </w:pPr>
      <w:r>
        <w:rPr>
          <w:rFonts w:ascii="Arial" w:cs="Arial" w:eastAsia="Arial" w:hAnsi="Arial"/>
          <w:sz w:val="14"/>
          <w:szCs w:val="14"/>
          <w:color w:val="4C4C4C"/>
        </w:rPr>
        <w:t>For Mr. Louvet, does not include (i) unvested performance-based stock awards with respect to 58,235 shares of Class A Common Stock, which are subject to upward or downward adjustment, (ii) 15,425 unvested RSUs (the underlying shares of our Class A Common Stock, net of shares withheld for taxes, for these RSUs will be delivered August 15, 2026), (iii) 28,306 unvested RSUs (the underlying shares of our Class A Common Stock, net of shares withheld for taxes, for these RSUs will be delivered in two equal annual installments on August 15, 2026 and August 15, 2027), and (iv) 24,159 unvested RSUs (the underlying shares of our Class A Common Stock, net of shares withheld for taxes, for these RSUs will be delivered in three equal annual installments beginning on August 15, 2026).</w:t>
      </w:r>
    </w:p>
    <w:p>
      <w:pPr>
        <w:spacing w:after="0" w:line="19" w:lineRule="exact"/>
        <w:rPr>
          <w:rFonts w:ascii="Arial" w:cs="Arial" w:eastAsia="Arial" w:hAnsi="Arial"/>
          <w:sz w:val="14"/>
          <w:szCs w:val="14"/>
          <w:color w:val="4C4C4C"/>
        </w:rPr>
      </w:pPr>
    </w:p>
    <w:p>
      <w:pPr>
        <w:ind w:left="346" w:right="60" w:hanging="346"/>
        <w:spacing w:after="0" w:line="250" w:lineRule="auto"/>
        <w:tabs>
          <w:tab w:leader="none" w:pos="346" w:val="left"/>
        </w:tabs>
        <w:numPr>
          <w:ilvl w:val="0"/>
          <w:numId w:val="37"/>
        </w:numPr>
        <w:rPr>
          <w:rFonts w:ascii="Arial" w:cs="Arial" w:eastAsia="Arial" w:hAnsi="Arial"/>
          <w:sz w:val="14"/>
          <w:szCs w:val="14"/>
          <w:color w:val="4C4C4C"/>
        </w:rPr>
      </w:pPr>
      <w:r>
        <w:rPr>
          <w:rFonts w:ascii="Arial" w:cs="Arial" w:eastAsia="Arial" w:hAnsi="Arial"/>
          <w:sz w:val="14"/>
          <w:szCs w:val="14"/>
          <w:color w:val="4C4C4C"/>
        </w:rPr>
        <w:t>For Mr. Ranftl, does not include (i) unvested performance-based stock awards with respect to 8,001 shares of Class A Common Stock, which are subject to upward or downward adjustment, (ii) 2,084 unvested RSUs (the underlying shares of our Class A Common Stock, net of shares withheld for taxes, for these RSUs will be delivered August 15, 2026), (iii) 3,538 unvested RSUs (the underlying shares of our Class A Common Stock, net of shares withheld for taxes, for these RSUs will be delivered in two equal annual installments on August 15, 2026 and August 15, 2027), and (iv) 3,882 unvested RSUs (the underlying shares of our Class A Common Stock, net of shares withheld for taxes, for these RSUs will be delivered in three equal annual installments beginning on August 15, 2026.</w:t>
      </w:r>
    </w:p>
    <w:p>
      <w:pPr>
        <w:spacing w:after="0" w:line="19" w:lineRule="exact"/>
        <w:rPr>
          <w:rFonts w:ascii="Arial" w:cs="Arial" w:eastAsia="Arial" w:hAnsi="Arial"/>
          <w:sz w:val="14"/>
          <w:szCs w:val="14"/>
          <w:color w:val="4C4C4C"/>
        </w:rPr>
      </w:pPr>
    </w:p>
    <w:p>
      <w:pPr>
        <w:ind w:left="346" w:right="60" w:hanging="346"/>
        <w:spacing w:after="0" w:line="250" w:lineRule="auto"/>
        <w:tabs>
          <w:tab w:leader="none" w:pos="346" w:val="left"/>
        </w:tabs>
        <w:numPr>
          <w:ilvl w:val="0"/>
          <w:numId w:val="37"/>
        </w:numPr>
        <w:rPr>
          <w:rFonts w:ascii="Arial" w:cs="Arial" w:eastAsia="Arial" w:hAnsi="Arial"/>
          <w:sz w:val="14"/>
          <w:szCs w:val="14"/>
          <w:color w:val="4C4C4C"/>
        </w:rPr>
      </w:pPr>
      <w:r>
        <w:rPr>
          <w:rFonts w:ascii="Arial" w:cs="Arial" w:eastAsia="Arial" w:hAnsi="Arial"/>
          <w:sz w:val="14"/>
          <w:szCs w:val="14"/>
          <w:color w:val="4C4C4C"/>
        </w:rPr>
        <w:t>For Mr. Picicci, does not include (i) unvested performance-based stock awards with respect to 4,992 shares of Class A Common Stock, which are subject to upward or downward adjustment, (ii) 2,154 unvested RSUs (the underlying shares of our Class A Common Stock, net of shares withheld for taxes, for these RSUs will be delivered August 15, 2026), (iii) 2,426 unvested RSUs (the underlying shares of our Class A Common Stock, net of shares withheld for taxes, for these RSUs will be delivered in two equal annual installments on August 15, 2026 and August 15, 2027), and (iv) 2,070 unvested RSUs (the underlying shares of our Class A Common Stock, net of shares withheld for taxes, for these RSUs will be delivered in three equal annual installments beginning on August 15, 2026).</w:t>
      </w:r>
    </w:p>
    <w:p>
      <w:pPr>
        <w:spacing w:after="0" w:line="19" w:lineRule="exact"/>
        <w:rPr>
          <w:rFonts w:ascii="Arial" w:cs="Arial" w:eastAsia="Arial" w:hAnsi="Arial"/>
          <w:sz w:val="14"/>
          <w:szCs w:val="14"/>
          <w:color w:val="4C4C4C"/>
        </w:rPr>
      </w:pPr>
    </w:p>
    <w:p>
      <w:pPr>
        <w:ind w:left="346" w:right="60" w:hanging="346"/>
        <w:spacing w:after="0" w:line="263" w:lineRule="auto"/>
        <w:tabs>
          <w:tab w:leader="none" w:pos="346" w:val="left"/>
        </w:tabs>
        <w:numPr>
          <w:ilvl w:val="0"/>
          <w:numId w:val="37"/>
        </w:numPr>
        <w:rPr>
          <w:rFonts w:ascii="Arial" w:cs="Arial" w:eastAsia="Arial" w:hAnsi="Arial"/>
          <w:sz w:val="14"/>
          <w:szCs w:val="14"/>
          <w:color w:val="4C4C4C"/>
        </w:rPr>
      </w:pPr>
      <w:r>
        <w:rPr>
          <w:rFonts w:ascii="Arial" w:cs="Arial" w:eastAsia="Arial" w:hAnsi="Arial"/>
          <w:sz w:val="14"/>
          <w:szCs w:val="14"/>
          <w:color w:val="4C4C4C"/>
        </w:rPr>
        <w:t>For Ms. Alagöz, does not include (i) unvested performance-based stock awards with respect to 6,961 shares of Class A Common Stock, which are subject to upward or downward adjustment, (ii) 1,668 unvested RSUs (the underlying shares of our Class A Common Stock, net of shares withheld for taxes, for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582930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252730</wp:posOffset>
            </wp:positionV>
            <wp:extent cx="128905" cy="11112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8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64" w:name="page65"/>
    <w:bookmarkEnd w:id="64"/>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63" w:lineRule="exact"/>
        <w:rPr>
          <w:sz w:val="20"/>
          <w:szCs w:val="20"/>
          <w:color w:val="auto"/>
        </w:rPr>
      </w:pPr>
    </w:p>
    <w:p>
      <w:pPr>
        <w:ind w:left="366" w:right="180"/>
        <w:spacing w:after="0" w:line="256" w:lineRule="auto"/>
        <w:rPr>
          <w:sz w:val="20"/>
          <w:szCs w:val="20"/>
          <w:color w:val="auto"/>
        </w:rPr>
      </w:pPr>
      <w:r>
        <w:rPr>
          <w:rFonts w:ascii="Arial" w:cs="Arial" w:eastAsia="Arial" w:hAnsi="Arial"/>
          <w:sz w:val="14"/>
          <w:szCs w:val="14"/>
          <w:color w:val="4C4C4C"/>
        </w:rPr>
        <w:t>RSUs will be delivered August 15, 2026), (iii) 3,032 unvested RSUs (the underlying shares of our Class A Common Stock, net of shares withheld for taxes, for these RSUs will be delivered in two equal annual installments on August 15, 2026 and August 15, 2027), and (iv) 3,450 unvested RSUs (the underlying shares of our Class A Common Stock, net of shares withheld for taxes, for these RSUs will be delivered in three equal annual installments beginning on August 15, 2026).</w:t>
      </w:r>
    </w:p>
    <w:p>
      <w:pPr>
        <w:spacing w:after="0" w:line="123" w:lineRule="exact"/>
        <w:rPr>
          <w:sz w:val="20"/>
          <w:szCs w:val="20"/>
          <w:color w:val="auto"/>
        </w:rPr>
      </w:pPr>
    </w:p>
    <w:p>
      <w:pPr>
        <w:ind w:left="346" w:hanging="346"/>
        <w:spacing w:after="0" w:line="250" w:lineRule="auto"/>
        <w:tabs>
          <w:tab w:leader="none" w:pos="346" w:val="left"/>
        </w:tabs>
        <w:numPr>
          <w:ilvl w:val="0"/>
          <w:numId w:val="38"/>
        </w:numPr>
        <w:rPr>
          <w:rFonts w:ascii="Arial" w:cs="Arial" w:eastAsia="Arial" w:hAnsi="Arial"/>
          <w:sz w:val="14"/>
          <w:szCs w:val="14"/>
          <w:color w:val="4C4C4C"/>
        </w:rPr>
      </w:pPr>
      <w:r>
        <w:rPr>
          <w:rFonts w:ascii="Arial" w:cs="Arial" w:eastAsia="Arial" w:hAnsi="Arial"/>
          <w:sz w:val="14"/>
          <w:szCs w:val="14"/>
          <w:color w:val="4C4C4C"/>
        </w:rPr>
        <w:t>For Mr. D. Lauren, does not include (i) unvested performance-based stock awards with respect to 4,448 shares of Class A Common Stock, which are subject to upward or downward adjustment, (ii) 1,390 unvested RSUs (the underlying shares of our Class A Common Stock, net of shares withheld for taxes, for these RSUs will be delivered August 15, 2026), (iii) 2,022 unvested RSUs (the underlying shares of our Class A Common Stock, net of shares withheld for taxes, for these RSUs will be delivered in two equal annual installments on August 15, 2026 and August 15, 2027), and (iv) 2,070 unvested RSUs (the underlying shares of our Class A Common Stock, net of shares withheld for taxes, for these RSUs will be delivered in three equal annual installments beginning on August 15, 2026).</w:t>
      </w:r>
    </w:p>
    <w:p>
      <w:pPr>
        <w:spacing w:after="0" w:line="19" w:lineRule="exact"/>
        <w:rPr>
          <w:rFonts w:ascii="Arial" w:cs="Arial" w:eastAsia="Arial" w:hAnsi="Arial"/>
          <w:sz w:val="14"/>
          <w:szCs w:val="14"/>
          <w:color w:val="4C4C4C"/>
        </w:rPr>
      </w:pPr>
    </w:p>
    <w:p>
      <w:pPr>
        <w:ind w:left="346" w:right="180" w:hanging="346"/>
        <w:spacing w:after="0" w:line="256" w:lineRule="auto"/>
        <w:tabs>
          <w:tab w:leader="none" w:pos="346" w:val="left"/>
        </w:tabs>
        <w:numPr>
          <w:ilvl w:val="0"/>
          <w:numId w:val="38"/>
        </w:numPr>
        <w:rPr>
          <w:rFonts w:ascii="Arial" w:cs="Arial" w:eastAsia="Arial" w:hAnsi="Arial"/>
          <w:sz w:val="14"/>
          <w:szCs w:val="14"/>
          <w:color w:val="4C4C4C"/>
        </w:rPr>
      </w:pPr>
      <w:r>
        <w:rPr>
          <w:rFonts w:ascii="Arial" w:cs="Arial" w:eastAsia="Arial" w:hAnsi="Arial"/>
          <w:sz w:val="14"/>
          <w:szCs w:val="14"/>
          <w:color w:val="4C4C4C"/>
        </w:rPr>
        <w:t>An aggregate amount of 2,842,342 shares of Class B Common Stock are held by Lauren Family, L.L.C. of which Mr. D. Lauren is one of the three current managers, along with Andrew Lauren and Dylan Lauren. Actions by the Lauren Family, L.L.C. require the consent of a majority of the managers. Mr. R. Lauren has the power to remove and replace the managers, provided that any such replacement manager is not Mr. R. Lauren or related to or subordinate to Mr. R. Lauren.</w:t>
      </w:r>
    </w:p>
    <w:p>
      <w:pPr>
        <w:spacing w:after="0" w:line="15" w:lineRule="exact"/>
        <w:rPr>
          <w:rFonts w:ascii="Arial" w:cs="Arial" w:eastAsia="Arial" w:hAnsi="Arial"/>
          <w:sz w:val="14"/>
          <w:szCs w:val="14"/>
          <w:color w:val="4C4C4C"/>
        </w:rPr>
      </w:pPr>
    </w:p>
    <w:p>
      <w:pPr>
        <w:ind w:left="346" w:right="20" w:hanging="346"/>
        <w:spacing w:after="0" w:line="281" w:lineRule="auto"/>
        <w:tabs>
          <w:tab w:leader="none" w:pos="346" w:val="left"/>
        </w:tabs>
        <w:numPr>
          <w:ilvl w:val="0"/>
          <w:numId w:val="38"/>
        </w:numPr>
        <w:rPr>
          <w:rFonts w:ascii="Arial" w:cs="Arial" w:eastAsia="Arial" w:hAnsi="Arial"/>
          <w:sz w:val="14"/>
          <w:szCs w:val="14"/>
          <w:color w:val="4C4C4C"/>
        </w:rPr>
      </w:pPr>
      <w:r>
        <w:rPr>
          <w:rFonts w:ascii="Arial" w:cs="Arial" w:eastAsia="Arial" w:hAnsi="Arial"/>
          <w:sz w:val="14"/>
          <w:szCs w:val="14"/>
          <w:color w:val="4C4C4C"/>
        </w:rPr>
        <w:t>For Ms. Ahrendts, includes 585 RSUs vesting within 60 days of the Record Date, the Class A shares for which will be delivered on July 30, 2026.</w:t>
      </w:r>
    </w:p>
    <w:p>
      <w:pPr>
        <w:spacing w:after="0" w:line="1" w:lineRule="exact"/>
        <w:rPr>
          <w:rFonts w:ascii="Arial" w:cs="Arial" w:eastAsia="Arial" w:hAnsi="Arial"/>
          <w:sz w:val="14"/>
          <w:szCs w:val="14"/>
          <w:color w:val="4C4C4C"/>
        </w:rPr>
      </w:pPr>
    </w:p>
    <w:p>
      <w:pPr>
        <w:ind w:left="346" w:right="60" w:hanging="346"/>
        <w:spacing w:after="0" w:line="281" w:lineRule="auto"/>
        <w:tabs>
          <w:tab w:leader="none" w:pos="346" w:val="left"/>
        </w:tabs>
        <w:numPr>
          <w:ilvl w:val="0"/>
          <w:numId w:val="38"/>
        </w:numPr>
        <w:rPr>
          <w:rFonts w:ascii="Arial" w:cs="Arial" w:eastAsia="Arial" w:hAnsi="Arial"/>
          <w:sz w:val="14"/>
          <w:szCs w:val="14"/>
          <w:color w:val="4C4C4C"/>
        </w:rPr>
      </w:pPr>
      <w:r>
        <w:rPr>
          <w:rFonts w:ascii="Arial" w:cs="Arial" w:eastAsia="Arial" w:hAnsi="Arial"/>
          <w:sz w:val="14"/>
          <w:szCs w:val="14"/>
          <w:color w:val="4C4C4C"/>
        </w:rPr>
        <w:t>For Mr. Bennack, includes 585 RSUs vesting within 60 days of the Record Date, the Class A shares for which will be delivered on July 30, 2026.</w:t>
      </w:r>
    </w:p>
    <w:p>
      <w:pPr>
        <w:spacing w:after="0" w:line="1" w:lineRule="exact"/>
        <w:rPr>
          <w:rFonts w:ascii="Arial" w:cs="Arial" w:eastAsia="Arial" w:hAnsi="Arial"/>
          <w:sz w:val="14"/>
          <w:szCs w:val="14"/>
          <w:color w:val="4C4C4C"/>
        </w:rPr>
      </w:pPr>
    </w:p>
    <w:p>
      <w:pPr>
        <w:ind w:left="346" w:right="240" w:hanging="346"/>
        <w:spacing w:after="0" w:line="281" w:lineRule="auto"/>
        <w:tabs>
          <w:tab w:leader="none" w:pos="346" w:val="left"/>
        </w:tabs>
        <w:numPr>
          <w:ilvl w:val="0"/>
          <w:numId w:val="38"/>
        </w:numPr>
        <w:rPr>
          <w:rFonts w:ascii="Arial" w:cs="Arial" w:eastAsia="Arial" w:hAnsi="Arial"/>
          <w:sz w:val="14"/>
          <w:szCs w:val="14"/>
          <w:color w:val="4C4C4C"/>
        </w:rPr>
      </w:pPr>
      <w:r>
        <w:rPr>
          <w:rFonts w:ascii="Arial" w:cs="Arial" w:eastAsia="Arial" w:hAnsi="Arial"/>
          <w:sz w:val="14"/>
          <w:szCs w:val="14"/>
          <w:color w:val="4C4C4C"/>
        </w:rPr>
        <w:t>For Ms. Cupp, includes 585 RSUs vesting within 60 days of the Record Date, the Class A shares for which will be delivered on July 30, 2026.</w:t>
      </w:r>
    </w:p>
    <w:p>
      <w:pPr>
        <w:spacing w:after="0" w:line="1" w:lineRule="exact"/>
        <w:rPr>
          <w:rFonts w:ascii="Arial" w:cs="Arial" w:eastAsia="Arial" w:hAnsi="Arial"/>
          <w:sz w:val="14"/>
          <w:szCs w:val="14"/>
          <w:color w:val="4C4C4C"/>
        </w:rPr>
      </w:pPr>
    </w:p>
    <w:p>
      <w:pPr>
        <w:ind w:left="346" w:right="140" w:hanging="346"/>
        <w:spacing w:after="0" w:line="281" w:lineRule="auto"/>
        <w:tabs>
          <w:tab w:leader="none" w:pos="346" w:val="left"/>
        </w:tabs>
        <w:numPr>
          <w:ilvl w:val="0"/>
          <w:numId w:val="38"/>
        </w:numPr>
        <w:rPr>
          <w:rFonts w:ascii="Arial" w:cs="Arial" w:eastAsia="Arial" w:hAnsi="Arial"/>
          <w:sz w:val="14"/>
          <w:szCs w:val="14"/>
          <w:color w:val="4C4C4C"/>
        </w:rPr>
      </w:pPr>
      <w:r>
        <w:rPr>
          <w:rFonts w:ascii="Arial" w:cs="Arial" w:eastAsia="Arial" w:hAnsi="Arial"/>
          <w:sz w:val="14"/>
          <w:szCs w:val="14"/>
          <w:color w:val="4C4C4C"/>
        </w:rPr>
        <w:t>For Ms. Findley, includes 585 RSUs vesting within 60 days of the Record Date, the Class A shares for which will be delivered on July 30, 2026.</w:t>
      </w:r>
    </w:p>
    <w:p>
      <w:pPr>
        <w:spacing w:after="0" w:line="1" w:lineRule="exact"/>
        <w:rPr>
          <w:rFonts w:ascii="Arial" w:cs="Arial" w:eastAsia="Arial" w:hAnsi="Arial"/>
          <w:sz w:val="14"/>
          <w:szCs w:val="14"/>
          <w:color w:val="4C4C4C"/>
        </w:rPr>
      </w:pPr>
    </w:p>
    <w:p>
      <w:pPr>
        <w:ind w:left="346" w:right="140" w:hanging="346"/>
        <w:spacing w:after="0" w:line="281" w:lineRule="auto"/>
        <w:tabs>
          <w:tab w:leader="none" w:pos="346" w:val="left"/>
        </w:tabs>
        <w:numPr>
          <w:ilvl w:val="0"/>
          <w:numId w:val="38"/>
        </w:numPr>
        <w:rPr>
          <w:rFonts w:ascii="Arial" w:cs="Arial" w:eastAsia="Arial" w:hAnsi="Arial"/>
          <w:sz w:val="14"/>
          <w:szCs w:val="14"/>
          <w:color w:val="4C4C4C"/>
        </w:rPr>
      </w:pPr>
      <w:r>
        <w:rPr>
          <w:rFonts w:ascii="Arial" w:cs="Arial" w:eastAsia="Arial" w:hAnsi="Arial"/>
          <w:sz w:val="14"/>
          <w:szCs w:val="14"/>
          <w:color w:val="4C4C4C"/>
        </w:rPr>
        <w:t>For Mr. George, includes 585 RSUs vesting within 60 days of the Record Date, the Class A shares for which will be delivered on July 30, 2026.</w:t>
      </w:r>
    </w:p>
    <w:p>
      <w:pPr>
        <w:spacing w:after="0" w:line="1" w:lineRule="exact"/>
        <w:rPr>
          <w:rFonts w:ascii="Arial" w:cs="Arial" w:eastAsia="Arial" w:hAnsi="Arial"/>
          <w:sz w:val="14"/>
          <w:szCs w:val="14"/>
          <w:color w:val="4C4C4C"/>
        </w:rPr>
      </w:pPr>
    </w:p>
    <w:p>
      <w:pPr>
        <w:ind w:left="346" w:right="180" w:hanging="346"/>
        <w:spacing w:after="0" w:line="281" w:lineRule="auto"/>
        <w:tabs>
          <w:tab w:leader="none" w:pos="346" w:val="left"/>
        </w:tabs>
        <w:numPr>
          <w:ilvl w:val="0"/>
          <w:numId w:val="38"/>
        </w:numPr>
        <w:rPr>
          <w:rFonts w:ascii="Arial" w:cs="Arial" w:eastAsia="Arial" w:hAnsi="Arial"/>
          <w:sz w:val="14"/>
          <w:szCs w:val="14"/>
          <w:color w:val="4C4C4C"/>
        </w:rPr>
      </w:pPr>
      <w:r>
        <w:rPr>
          <w:rFonts w:ascii="Arial" w:cs="Arial" w:eastAsia="Arial" w:hAnsi="Arial"/>
          <w:sz w:val="14"/>
          <w:szCs w:val="14"/>
          <w:color w:val="4C4C4C"/>
        </w:rPr>
        <w:t>For Ms. Jarrett, includes 585 RSUs vesting within 60 days of the Record Date, the Class A shares for which will be delivered on July 30, 2026.</w:t>
      </w:r>
    </w:p>
    <w:p>
      <w:pPr>
        <w:spacing w:after="0" w:line="1" w:lineRule="exact"/>
        <w:rPr>
          <w:rFonts w:ascii="Arial" w:cs="Arial" w:eastAsia="Arial" w:hAnsi="Arial"/>
          <w:sz w:val="14"/>
          <w:szCs w:val="14"/>
          <w:color w:val="4C4C4C"/>
        </w:rPr>
      </w:pPr>
    </w:p>
    <w:p>
      <w:pPr>
        <w:ind w:left="346" w:right="180" w:hanging="346"/>
        <w:spacing w:after="0" w:line="281" w:lineRule="auto"/>
        <w:tabs>
          <w:tab w:leader="none" w:pos="346" w:val="left"/>
        </w:tabs>
        <w:numPr>
          <w:ilvl w:val="0"/>
          <w:numId w:val="38"/>
        </w:numPr>
        <w:rPr>
          <w:rFonts w:ascii="Arial" w:cs="Arial" w:eastAsia="Arial" w:hAnsi="Arial"/>
          <w:sz w:val="14"/>
          <w:szCs w:val="14"/>
          <w:color w:val="4C4C4C"/>
        </w:rPr>
      </w:pPr>
      <w:r>
        <w:rPr>
          <w:rFonts w:ascii="Arial" w:cs="Arial" w:eastAsia="Arial" w:hAnsi="Arial"/>
          <w:sz w:val="14"/>
          <w:szCs w:val="14"/>
          <w:color w:val="4C4C4C"/>
        </w:rPr>
        <w:t>For Mr. Walker, includes 585 RSUs vesting within 60 days of the Record Date, the Class A shares for which will be delivered on July 30, 2026.</w:t>
      </w:r>
    </w:p>
    <w:p>
      <w:pPr>
        <w:spacing w:after="0" w:line="1" w:lineRule="exact"/>
        <w:rPr>
          <w:rFonts w:ascii="Arial" w:cs="Arial" w:eastAsia="Arial" w:hAnsi="Arial"/>
          <w:sz w:val="14"/>
          <w:szCs w:val="14"/>
          <w:color w:val="4C4C4C"/>
        </w:rPr>
      </w:pPr>
    </w:p>
    <w:p>
      <w:pPr>
        <w:ind w:left="346" w:right="180" w:hanging="346"/>
        <w:spacing w:after="0" w:line="281" w:lineRule="auto"/>
        <w:tabs>
          <w:tab w:leader="none" w:pos="346" w:val="left"/>
        </w:tabs>
        <w:numPr>
          <w:ilvl w:val="0"/>
          <w:numId w:val="38"/>
        </w:numPr>
        <w:rPr>
          <w:rFonts w:ascii="Arial" w:cs="Arial" w:eastAsia="Arial" w:hAnsi="Arial"/>
          <w:sz w:val="14"/>
          <w:szCs w:val="14"/>
          <w:color w:val="4C4C4C"/>
        </w:rPr>
      </w:pPr>
      <w:r>
        <w:rPr>
          <w:rFonts w:ascii="Arial" w:cs="Arial" w:eastAsia="Arial" w:hAnsi="Arial"/>
          <w:sz w:val="14"/>
          <w:szCs w:val="14"/>
          <w:color w:val="4C4C4C"/>
        </w:rPr>
        <w:t>For Ms. Zhang, includes 585 RSUs vesting within 60 days of the Record Date, the Class A shares for which will be delivered on July 30, 2026.</w:t>
      </w:r>
    </w:p>
    <w:p>
      <w:pPr>
        <w:spacing w:after="0" w:line="1" w:lineRule="exact"/>
        <w:rPr>
          <w:rFonts w:ascii="Arial" w:cs="Arial" w:eastAsia="Arial" w:hAnsi="Arial"/>
          <w:sz w:val="14"/>
          <w:szCs w:val="14"/>
          <w:color w:val="4C4C4C"/>
        </w:rPr>
      </w:pPr>
    </w:p>
    <w:p>
      <w:pPr>
        <w:ind w:left="346" w:right="60" w:hanging="346"/>
        <w:spacing w:after="0" w:line="256" w:lineRule="auto"/>
        <w:tabs>
          <w:tab w:leader="none" w:pos="346" w:val="left"/>
        </w:tabs>
        <w:numPr>
          <w:ilvl w:val="0"/>
          <w:numId w:val="38"/>
        </w:numPr>
        <w:rPr>
          <w:rFonts w:ascii="Arial" w:cs="Arial" w:eastAsia="Arial" w:hAnsi="Arial"/>
          <w:sz w:val="14"/>
          <w:szCs w:val="14"/>
          <w:color w:val="4C4C4C"/>
        </w:rPr>
      </w:pPr>
      <w:r>
        <w:rPr>
          <w:rFonts w:ascii="Arial" w:cs="Arial" w:eastAsia="Arial" w:hAnsi="Arial"/>
          <w:sz w:val="14"/>
          <w:szCs w:val="14"/>
          <w:color w:val="4C4C4C"/>
        </w:rPr>
        <w:t>According to a Schedule 13G filed on April 29, 2026, Vanguard Portfolio Management LLC (“Vanguard Portfolio Management”) is the beneficial owner of 1,957,240 shares of Class A Common Stock with the shared power to vote or direct the vote over 6,376 shares of Class A Common Stock and sole dispositive power over 1,957,240 shares of Class A Common Stock. The address for Vanguard Portfolio Management is 100 Vanguard Blvd., Malvern, Pennsylvania 19355.</w:t>
      </w:r>
    </w:p>
    <w:p>
      <w:pPr>
        <w:spacing w:after="0" w:line="15" w:lineRule="exact"/>
        <w:rPr>
          <w:rFonts w:ascii="Arial" w:cs="Arial" w:eastAsia="Arial" w:hAnsi="Arial"/>
          <w:sz w:val="14"/>
          <w:szCs w:val="14"/>
          <w:color w:val="4C4C4C"/>
        </w:rPr>
      </w:pPr>
    </w:p>
    <w:p>
      <w:pPr>
        <w:ind w:left="346" w:right="140" w:hanging="346"/>
        <w:spacing w:after="0" w:line="256" w:lineRule="auto"/>
        <w:tabs>
          <w:tab w:leader="none" w:pos="346" w:val="left"/>
        </w:tabs>
        <w:numPr>
          <w:ilvl w:val="0"/>
          <w:numId w:val="38"/>
        </w:numPr>
        <w:rPr>
          <w:rFonts w:ascii="Arial" w:cs="Arial" w:eastAsia="Arial" w:hAnsi="Arial"/>
          <w:sz w:val="14"/>
          <w:szCs w:val="14"/>
          <w:color w:val="4C4C4C"/>
        </w:rPr>
      </w:pPr>
      <w:r>
        <w:rPr>
          <w:rFonts w:ascii="Arial" w:cs="Arial" w:eastAsia="Arial" w:hAnsi="Arial"/>
          <w:sz w:val="14"/>
          <w:szCs w:val="14"/>
          <w:color w:val="4C4C4C"/>
        </w:rPr>
        <w:t>According to a Schedule 13G filed on April 30, 2026, Vanguard Capital Management LLC (“Vanguard Capital Management”) is the beneficial owner of 2,782,790 shares of Class A Common Stock with the shared power to vote or direct the vote over 337,237 shares of Class A Common Stock and sole dispositive power over 2,782,790 shares of Class A Common Stock. The address for Vanguard Capital Management is 100 Vanguard Blvd., Malvern, Pennsylvania 19355.</w:t>
      </w:r>
    </w:p>
    <w:p>
      <w:pPr>
        <w:spacing w:after="0" w:line="15" w:lineRule="exact"/>
        <w:rPr>
          <w:rFonts w:ascii="Arial" w:cs="Arial" w:eastAsia="Arial" w:hAnsi="Arial"/>
          <w:sz w:val="14"/>
          <w:szCs w:val="14"/>
          <w:color w:val="4C4C4C"/>
        </w:rPr>
      </w:pPr>
    </w:p>
    <w:p>
      <w:pPr>
        <w:ind w:left="346" w:right="20" w:hanging="346"/>
        <w:spacing w:after="0" w:line="247" w:lineRule="auto"/>
        <w:tabs>
          <w:tab w:leader="none" w:pos="346" w:val="left"/>
        </w:tabs>
        <w:numPr>
          <w:ilvl w:val="0"/>
          <w:numId w:val="38"/>
        </w:numPr>
        <w:rPr>
          <w:rFonts w:ascii="Arial" w:cs="Arial" w:eastAsia="Arial" w:hAnsi="Arial"/>
          <w:sz w:val="14"/>
          <w:szCs w:val="14"/>
          <w:color w:val="4C4C4C"/>
        </w:rPr>
      </w:pPr>
      <w:r>
        <w:rPr>
          <w:rFonts w:ascii="Arial" w:cs="Arial" w:eastAsia="Arial" w:hAnsi="Arial"/>
          <w:sz w:val="14"/>
          <w:szCs w:val="14"/>
          <w:color w:val="4C4C4C"/>
        </w:rPr>
        <w:t>According to a Schedule 13G/A filed on April 17, 2025, BlackRock, Inc. (“BlackRock”) may be deemed the beneficial owner of 2,376,511 shares of Class A Common Stock beneficially owned by its subsidiaries, BlackRock Life Limited, BlackRock Advisors, LLC, BlackRock (Netherlands) B.V.,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BlackRock Fund Advisors, BlackRock Advisors (UK) Limited, BlackRock Asset Management North Asia Limited, and BlackRock Fund Managers Ltd, with the sole power to vote or direct the vote over 2,284,175 shares of Class A Common Stock and sole dispositive power over 2,376,511 shares of Class A Common Stock. BlackRock’s address is 50 Hudson Yards New York, New York 10001.</w:t>
      </w:r>
    </w:p>
    <w:p>
      <w:pPr>
        <w:spacing w:after="0" w:line="24" w:lineRule="exact"/>
        <w:rPr>
          <w:rFonts w:ascii="Arial" w:cs="Arial" w:eastAsia="Arial" w:hAnsi="Arial"/>
          <w:sz w:val="14"/>
          <w:szCs w:val="14"/>
          <w:color w:val="4C4C4C"/>
        </w:rPr>
      </w:pPr>
    </w:p>
    <w:p>
      <w:pPr>
        <w:ind w:left="346" w:right="20" w:hanging="346"/>
        <w:spacing w:after="0" w:line="252" w:lineRule="auto"/>
        <w:tabs>
          <w:tab w:leader="none" w:pos="346" w:val="left"/>
        </w:tabs>
        <w:numPr>
          <w:ilvl w:val="0"/>
          <w:numId w:val="38"/>
        </w:numPr>
        <w:rPr>
          <w:rFonts w:ascii="Arial" w:cs="Arial" w:eastAsia="Arial" w:hAnsi="Arial"/>
          <w:sz w:val="14"/>
          <w:szCs w:val="14"/>
          <w:color w:val="4C4C4C"/>
        </w:rPr>
      </w:pPr>
      <w:r>
        <w:rPr>
          <w:rFonts w:ascii="Arial" w:cs="Arial" w:eastAsia="Arial" w:hAnsi="Arial"/>
          <w:sz w:val="14"/>
          <w:szCs w:val="14"/>
          <w:color w:val="4C4C4C"/>
        </w:rPr>
        <w:t>Includes RSUs vested as of the Record Date or within 60 days thereafter representing 4,680 shares of Class A Common Stock. Does not include (i) 173,978 unvested performance-based stock awards, a portion of which are subject to upward or downward adjustment, (ii) 97,676 unvested RSUs, and (iii) 524,940.17 vested RSUs (the underlying shares of our Class A Common Stock for these RSUs will not be delivered to Mr. R. Lauren until his separation of service from the Company or if earlier, upon a change in control), granted under the 1997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58293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86"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54</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582930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54"/>
          <w:szCs w:val="54"/>
          <w:color w:val="001641"/>
        </w:rPr>
        <w:t>Delinquent Section 16(a) Reports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Section 16(a) of the Exchange Act requires our directors and executive officers to file initial reports of ownership and reports of changes in ownership of our Class A Common Stock with the SEC and to provide copies of these reports to us. These filing requirements also apply to certain beneficial owners of more than 10% of our Class A Common Stock. To our knowledge, based solely on our review of the copies of Section 16(a) reports furnished to us during and with respect to Fiscal 2026 and on written representations from certain reporting persons, all reportable transactions during Fiscal 2026 were reported on a timely basis, except for the following: Robert Ranftl filed one late Form 4 reporting a sale (covering a total of 621 shares), which was delayed because notice of the transaction was not provided in a timely manner by the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8293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260985</wp:posOffset>
            </wp:positionV>
            <wp:extent cx="128905" cy="11176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39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66" w:name="page67"/>
    <w:bookmarkEnd w:id="6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582930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
        <w:spacing w:after="0"/>
        <w:rPr>
          <w:sz w:val="20"/>
          <w:szCs w:val="20"/>
          <w:color w:val="auto"/>
        </w:rPr>
      </w:pPr>
      <w:r>
        <w:rPr>
          <w:rFonts w:ascii="Times New Roman" w:cs="Times New Roman" w:eastAsia="Times New Roman" w:hAnsi="Times New Roman"/>
          <w:sz w:val="54"/>
          <w:szCs w:val="54"/>
          <w:color w:val="001641"/>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
        <w:spacing w:after="0"/>
        <w:rPr>
          <w:sz w:val="20"/>
          <w:szCs w:val="20"/>
          <w:color w:val="auto"/>
        </w:rPr>
      </w:pPr>
      <w:r>
        <w:rPr>
          <w:rFonts w:ascii="Arial" w:cs="Arial" w:eastAsia="Arial" w:hAnsi="Arial"/>
          <w:sz w:val="16"/>
          <w:szCs w:val="16"/>
          <w:color w:val="auto"/>
        </w:rPr>
        <w:t>For Fiscal 2026, the compensation for non-employee directors was as follows:</w:t>
      </w:r>
    </w:p>
    <w:p>
      <w:pPr>
        <w:spacing w:after="0" w:line="87" w:lineRule="exact"/>
        <w:rPr>
          <w:sz w:val="20"/>
          <w:szCs w:val="20"/>
          <w:color w:val="auto"/>
        </w:rPr>
      </w:pPr>
    </w:p>
    <w:tbl>
      <w:tblPr>
        <w:tblLayout w:type="fixed"/>
        <w:tblInd w:w="6" w:type="dxa"/>
        <w:tblCellMar>
          <w:top w:w="0" w:type="dxa"/>
          <w:left w:w="0" w:type="dxa"/>
          <w:bottom w:w="0" w:type="dxa"/>
          <w:right w:w="0" w:type="dxa"/>
        </w:tblCellMar>
      </w:tblPr>
      <w:tr>
        <w:trPr>
          <w:trHeight w:val="331"/>
        </w:trPr>
        <w:tc>
          <w:tcPr>
            <w:tcW w:w="4520" w:type="dxa"/>
            <w:vAlign w:val="bottom"/>
            <w:tcBorders>
              <w:bottom w:val="single" w:sz="8" w:color="001641"/>
            </w:tcBorders>
            <w:shd w:val="clear" w:color="auto" w:fill="001641"/>
          </w:tcPr>
          <w:p>
            <w:pPr>
              <w:ind w:left="160"/>
              <w:spacing w:after="0"/>
              <w:rPr>
                <w:sz w:val="20"/>
                <w:szCs w:val="20"/>
                <w:color w:val="auto"/>
              </w:rPr>
            </w:pPr>
            <w:r>
              <w:rPr>
                <w:rFonts w:ascii="Arial" w:cs="Arial" w:eastAsia="Arial" w:hAnsi="Arial"/>
                <w:sz w:val="14"/>
                <w:szCs w:val="14"/>
                <w:b w:val="1"/>
                <w:bCs w:val="1"/>
                <w:color w:val="FFFFFF"/>
              </w:rPr>
              <w:t>Type of Compensation</w:t>
            </w:r>
          </w:p>
        </w:tc>
        <w:tc>
          <w:tcPr>
            <w:tcW w:w="4660" w:type="dxa"/>
            <w:vAlign w:val="bottom"/>
            <w:tcBorders>
              <w:bottom w:val="single" w:sz="8" w:color="001641"/>
            </w:tcBorders>
            <w:shd w:val="clear" w:color="auto" w:fill="001641"/>
          </w:tcPr>
          <w:p>
            <w:pPr>
              <w:ind w:left="180"/>
              <w:spacing w:after="0"/>
              <w:rPr>
                <w:sz w:val="20"/>
                <w:szCs w:val="20"/>
                <w:color w:val="auto"/>
              </w:rPr>
            </w:pPr>
            <w:r>
              <w:rPr>
                <w:rFonts w:ascii="Arial" w:cs="Arial" w:eastAsia="Arial" w:hAnsi="Arial"/>
                <w:sz w:val="14"/>
                <w:szCs w:val="14"/>
                <w:b w:val="1"/>
                <w:bCs w:val="1"/>
                <w:color w:val="FFFFFF"/>
              </w:rPr>
              <w:t>Compensation Amount</w:t>
            </w:r>
          </w:p>
        </w:tc>
      </w:tr>
      <w:tr>
        <w:trPr>
          <w:trHeight w:val="324"/>
        </w:trPr>
        <w:tc>
          <w:tcPr>
            <w:tcW w:w="4520" w:type="dxa"/>
            <w:vAlign w:val="bottom"/>
            <w:tcBorders>
              <w:bottom w:val="single" w:sz="8" w:color="BFA071"/>
            </w:tcBorders>
          </w:tcPr>
          <w:p>
            <w:pPr>
              <w:ind w:left="160"/>
              <w:spacing w:after="0"/>
              <w:rPr>
                <w:sz w:val="20"/>
                <w:szCs w:val="20"/>
                <w:color w:val="auto"/>
              </w:rPr>
            </w:pPr>
            <w:r>
              <w:rPr>
                <w:rFonts w:ascii="Arial" w:cs="Arial" w:eastAsia="Arial" w:hAnsi="Arial"/>
                <w:sz w:val="14"/>
                <w:szCs w:val="14"/>
                <w:color w:val="001641"/>
              </w:rPr>
              <w:t>Annual retainer for each non-employee director</w:t>
            </w:r>
            <w:r>
              <w:rPr>
                <w:rFonts w:ascii="Arial" w:cs="Arial" w:eastAsia="Arial" w:hAnsi="Arial"/>
                <w:sz w:val="23"/>
                <w:szCs w:val="23"/>
                <w:color w:val="001641"/>
                <w:vertAlign w:val="superscript"/>
              </w:rPr>
              <w:t>1</w:t>
            </w:r>
          </w:p>
        </w:tc>
        <w:tc>
          <w:tcPr>
            <w:tcW w:w="4660" w:type="dxa"/>
            <w:vAlign w:val="bottom"/>
            <w:tcBorders>
              <w:bottom w:val="single" w:sz="8" w:color="BFA071"/>
            </w:tcBorders>
          </w:tcPr>
          <w:p>
            <w:pPr>
              <w:ind w:left="180"/>
              <w:spacing w:after="0"/>
              <w:rPr>
                <w:sz w:val="20"/>
                <w:szCs w:val="20"/>
                <w:color w:val="auto"/>
              </w:rPr>
            </w:pPr>
            <w:r>
              <w:rPr>
                <w:rFonts w:ascii="Arial" w:cs="Arial" w:eastAsia="Arial" w:hAnsi="Arial"/>
                <w:sz w:val="14"/>
                <w:szCs w:val="14"/>
                <w:color w:val="001641"/>
              </w:rPr>
              <w:t>$105,000</w:t>
            </w:r>
          </w:p>
        </w:tc>
      </w:tr>
      <w:tr>
        <w:trPr>
          <w:trHeight w:val="318"/>
        </w:trPr>
        <w:tc>
          <w:tcPr>
            <w:tcW w:w="4520" w:type="dxa"/>
            <w:vAlign w:val="bottom"/>
            <w:tcBorders>
              <w:bottom w:val="single" w:sz="8" w:color="BFA071"/>
            </w:tcBorders>
          </w:tcPr>
          <w:p>
            <w:pPr>
              <w:ind w:left="160"/>
              <w:spacing w:after="0"/>
              <w:rPr>
                <w:sz w:val="20"/>
                <w:szCs w:val="20"/>
                <w:color w:val="auto"/>
              </w:rPr>
            </w:pPr>
            <w:r>
              <w:rPr>
                <w:rFonts w:ascii="Arial" w:cs="Arial" w:eastAsia="Arial" w:hAnsi="Arial"/>
                <w:sz w:val="14"/>
                <w:szCs w:val="14"/>
                <w:color w:val="001641"/>
              </w:rPr>
              <w:t>Additional annual retainer for Lead Independent Director</w:t>
            </w:r>
            <w:r>
              <w:rPr>
                <w:rFonts w:ascii="Arial" w:cs="Arial" w:eastAsia="Arial" w:hAnsi="Arial"/>
                <w:sz w:val="23"/>
                <w:szCs w:val="23"/>
                <w:color w:val="001641"/>
                <w:vertAlign w:val="superscript"/>
              </w:rPr>
              <w:t>1</w:t>
            </w:r>
          </w:p>
        </w:tc>
        <w:tc>
          <w:tcPr>
            <w:tcW w:w="4660" w:type="dxa"/>
            <w:vAlign w:val="bottom"/>
            <w:tcBorders>
              <w:bottom w:val="single" w:sz="8" w:color="BFA071"/>
            </w:tcBorders>
          </w:tcPr>
          <w:p>
            <w:pPr>
              <w:ind w:left="180"/>
              <w:spacing w:after="0"/>
              <w:rPr>
                <w:sz w:val="20"/>
                <w:szCs w:val="20"/>
                <w:color w:val="auto"/>
              </w:rPr>
            </w:pPr>
            <w:r>
              <w:rPr>
                <w:rFonts w:ascii="Arial" w:cs="Arial" w:eastAsia="Arial" w:hAnsi="Arial"/>
                <w:sz w:val="14"/>
                <w:szCs w:val="14"/>
                <w:color w:val="001641"/>
              </w:rPr>
              <w:t>$50,000</w:t>
            </w:r>
          </w:p>
        </w:tc>
      </w:tr>
      <w:tr>
        <w:trPr>
          <w:trHeight w:val="223"/>
        </w:trPr>
        <w:tc>
          <w:tcPr>
            <w:tcW w:w="4520" w:type="dxa"/>
            <w:vAlign w:val="bottom"/>
          </w:tcPr>
          <w:p>
            <w:pPr>
              <w:ind w:left="160"/>
              <w:spacing w:after="0" w:line="223" w:lineRule="exact"/>
              <w:rPr>
                <w:sz w:val="20"/>
                <w:szCs w:val="20"/>
                <w:color w:val="auto"/>
              </w:rPr>
            </w:pPr>
            <w:r>
              <w:rPr>
                <w:rFonts w:ascii="Arial" w:cs="Arial" w:eastAsia="Arial" w:hAnsi="Arial"/>
                <w:sz w:val="14"/>
                <w:szCs w:val="14"/>
                <w:color w:val="001641"/>
              </w:rPr>
              <w:t>Additional annual retainer for the Chair of each Board Committee</w:t>
            </w:r>
            <w:r>
              <w:rPr>
                <w:rFonts w:ascii="Arial" w:cs="Arial" w:eastAsia="Arial" w:hAnsi="Arial"/>
                <w:sz w:val="23"/>
                <w:szCs w:val="23"/>
                <w:color w:val="001641"/>
                <w:vertAlign w:val="superscript"/>
              </w:rPr>
              <w:t>1</w:t>
            </w:r>
          </w:p>
        </w:tc>
        <w:tc>
          <w:tcPr>
            <w:tcW w:w="4660" w:type="dxa"/>
            <w:vAlign w:val="bottom"/>
          </w:tcPr>
          <w:p>
            <w:pPr>
              <w:ind w:left="180"/>
              <w:spacing w:after="0"/>
              <w:rPr>
                <w:sz w:val="20"/>
                <w:szCs w:val="20"/>
                <w:color w:val="auto"/>
              </w:rPr>
            </w:pPr>
            <w:r>
              <w:rPr>
                <w:rFonts w:ascii="Arial" w:cs="Arial" w:eastAsia="Arial" w:hAnsi="Arial"/>
                <w:sz w:val="14"/>
                <w:szCs w:val="14"/>
                <w:color w:val="001641"/>
              </w:rPr>
              <w:t>•  Chair of the Audit Committee: $40,000</w:t>
            </w:r>
          </w:p>
        </w:tc>
      </w:tr>
      <w:tr>
        <w:trPr>
          <w:trHeight w:val="153"/>
        </w:trPr>
        <w:tc>
          <w:tcPr>
            <w:tcW w:w="4520" w:type="dxa"/>
            <w:vAlign w:val="bottom"/>
          </w:tcPr>
          <w:p>
            <w:pPr>
              <w:spacing w:after="0"/>
              <w:rPr>
                <w:sz w:val="13"/>
                <w:szCs w:val="13"/>
                <w:color w:val="auto"/>
              </w:rPr>
            </w:pPr>
          </w:p>
        </w:tc>
        <w:tc>
          <w:tcPr>
            <w:tcW w:w="4660" w:type="dxa"/>
            <w:vAlign w:val="bottom"/>
          </w:tcPr>
          <w:p>
            <w:pPr>
              <w:ind w:left="180"/>
              <w:spacing w:after="0" w:line="153" w:lineRule="exact"/>
              <w:rPr>
                <w:sz w:val="20"/>
                <w:szCs w:val="20"/>
                <w:color w:val="auto"/>
              </w:rPr>
            </w:pPr>
            <w:r>
              <w:rPr>
                <w:rFonts w:ascii="Arial" w:cs="Arial" w:eastAsia="Arial" w:hAnsi="Arial"/>
                <w:sz w:val="14"/>
                <w:szCs w:val="14"/>
                <w:color w:val="001641"/>
              </w:rPr>
              <w:t>•  Chair of the Talent Committee: $30,000</w:t>
            </w:r>
          </w:p>
        </w:tc>
      </w:tr>
      <w:tr>
        <w:trPr>
          <w:trHeight w:val="162"/>
        </w:trPr>
        <w:tc>
          <w:tcPr>
            <w:tcW w:w="4520" w:type="dxa"/>
            <w:vAlign w:val="bottom"/>
          </w:tcPr>
          <w:p>
            <w:pPr>
              <w:spacing w:after="0"/>
              <w:rPr>
                <w:sz w:val="14"/>
                <w:szCs w:val="14"/>
                <w:color w:val="auto"/>
              </w:rPr>
            </w:pPr>
          </w:p>
        </w:tc>
        <w:tc>
          <w:tcPr>
            <w:tcW w:w="4660" w:type="dxa"/>
            <w:vAlign w:val="bottom"/>
          </w:tcPr>
          <w:p>
            <w:pPr>
              <w:ind w:left="180"/>
              <w:spacing w:after="0"/>
              <w:rPr>
                <w:sz w:val="20"/>
                <w:szCs w:val="20"/>
                <w:color w:val="auto"/>
              </w:rPr>
            </w:pPr>
            <w:r>
              <w:rPr>
                <w:rFonts w:ascii="Arial" w:cs="Arial" w:eastAsia="Arial" w:hAnsi="Arial"/>
                <w:sz w:val="14"/>
                <w:szCs w:val="14"/>
                <w:color w:val="001641"/>
              </w:rPr>
              <w:t>•  Chair of the Nominating Committee: $30,000</w:t>
            </w:r>
          </w:p>
        </w:tc>
      </w:tr>
      <w:tr>
        <w:trPr>
          <w:trHeight w:val="190"/>
        </w:trPr>
        <w:tc>
          <w:tcPr>
            <w:tcW w:w="4520" w:type="dxa"/>
            <w:vAlign w:val="bottom"/>
          </w:tcPr>
          <w:p>
            <w:pPr>
              <w:spacing w:after="0"/>
              <w:rPr>
                <w:sz w:val="16"/>
                <w:szCs w:val="16"/>
                <w:color w:val="auto"/>
              </w:rPr>
            </w:pPr>
          </w:p>
        </w:tc>
        <w:tc>
          <w:tcPr>
            <w:tcW w:w="4660" w:type="dxa"/>
            <w:vAlign w:val="bottom"/>
          </w:tcPr>
          <w:p>
            <w:pPr>
              <w:ind w:left="180"/>
              <w:spacing w:after="0"/>
              <w:rPr>
                <w:sz w:val="20"/>
                <w:szCs w:val="20"/>
                <w:color w:val="auto"/>
              </w:rPr>
            </w:pPr>
            <w:r>
              <w:rPr>
                <w:rFonts w:ascii="Arial" w:cs="Arial" w:eastAsia="Arial" w:hAnsi="Arial"/>
                <w:sz w:val="14"/>
                <w:szCs w:val="14"/>
                <w:color w:val="001641"/>
              </w:rPr>
              <w:t>•  Chair of the Finance Committee: $30,000</w:t>
            </w:r>
          </w:p>
        </w:tc>
      </w:tr>
      <w:tr>
        <w:trPr>
          <w:trHeight w:val="48"/>
        </w:trPr>
        <w:tc>
          <w:tcPr>
            <w:tcW w:w="4520" w:type="dxa"/>
            <w:vAlign w:val="bottom"/>
            <w:tcBorders>
              <w:bottom w:val="single" w:sz="8" w:color="BFA071"/>
            </w:tcBorders>
          </w:tcPr>
          <w:p>
            <w:pPr>
              <w:spacing w:after="0"/>
              <w:rPr>
                <w:sz w:val="4"/>
                <w:szCs w:val="4"/>
                <w:color w:val="auto"/>
              </w:rPr>
            </w:pPr>
          </w:p>
        </w:tc>
        <w:tc>
          <w:tcPr>
            <w:tcW w:w="4660" w:type="dxa"/>
            <w:vAlign w:val="bottom"/>
            <w:tcBorders>
              <w:bottom w:val="single" w:sz="8" w:color="BFA071"/>
            </w:tcBorders>
          </w:tcPr>
          <w:p>
            <w:pPr>
              <w:spacing w:after="0"/>
              <w:rPr>
                <w:sz w:val="4"/>
                <w:szCs w:val="4"/>
                <w:color w:val="auto"/>
              </w:rPr>
            </w:pPr>
          </w:p>
        </w:tc>
      </w:tr>
      <w:tr>
        <w:trPr>
          <w:trHeight w:val="223"/>
        </w:trPr>
        <w:tc>
          <w:tcPr>
            <w:tcW w:w="4520" w:type="dxa"/>
            <w:vAlign w:val="bottom"/>
          </w:tcPr>
          <w:p>
            <w:pPr>
              <w:ind w:left="160"/>
              <w:spacing w:after="0" w:line="223" w:lineRule="exact"/>
              <w:rPr>
                <w:sz w:val="20"/>
                <w:szCs w:val="20"/>
                <w:color w:val="auto"/>
              </w:rPr>
            </w:pPr>
            <w:r>
              <w:rPr>
                <w:rFonts w:ascii="Arial" w:cs="Arial" w:eastAsia="Arial" w:hAnsi="Arial"/>
                <w:sz w:val="14"/>
                <w:szCs w:val="14"/>
                <w:color w:val="001641"/>
              </w:rPr>
              <w:t>Annual retainer for member of each Board Committee</w:t>
            </w:r>
            <w:r>
              <w:rPr>
                <w:rFonts w:ascii="Arial" w:cs="Arial" w:eastAsia="Arial" w:hAnsi="Arial"/>
                <w:sz w:val="23"/>
                <w:szCs w:val="23"/>
                <w:color w:val="001641"/>
                <w:vertAlign w:val="superscript"/>
              </w:rPr>
              <w:t>1</w:t>
            </w:r>
          </w:p>
        </w:tc>
        <w:tc>
          <w:tcPr>
            <w:tcW w:w="4660" w:type="dxa"/>
            <w:vAlign w:val="bottom"/>
          </w:tcPr>
          <w:p>
            <w:pPr>
              <w:ind w:left="180"/>
              <w:spacing w:after="0"/>
              <w:rPr>
                <w:sz w:val="20"/>
                <w:szCs w:val="20"/>
                <w:color w:val="auto"/>
              </w:rPr>
            </w:pPr>
            <w:r>
              <w:rPr>
                <w:rFonts w:ascii="Arial" w:cs="Arial" w:eastAsia="Arial" w:hAnsi="Arial"/>
                <w:sz w:val="14"/>
                <w:szCs w:val="14"/>
                <w:color w:val="001641"/>
              </w:rPr>
              <w:t>•  Audit Committee Member: $15,000</w:t>
            </w:r>
          </w:p>
        </w:tc>
      </w:tr>
      <w:tr>
        <w:trPr>
          <w:trHeight w:val="153"/>
        </w:trPr>
        <w:tc>
          <w:tcPr>
            <w:tcW w:w="4520" w:type="dxa"/>
            <w:vAlign w:val="bottom"/>
          </w:tcPr>
          <w:p>
            <w:pPr>
              <w:spacing w:after="0"/>
              <w:rPr>
                <w:sz w:val="13"/>
                <w:szCs w:val="13"/>
                <w:color w:val="auto"/>
              </w:rPr>
            </w:pPr>
          </w:p>
        </w:tc>
        <w:tc>
          <w:tcPr>
            <w:tcW w:w="4660" w:type="dxa"/>
            <w:vAlign w:val="bottom"/>
          </w:tcPr>
          <w:p>
            <w:pPr>
              <w:ind w:left="180"/>
              <w:spacing w:after="0" w:line="153" w:lineRule="exact"/>
              <w:rPr>
                <w:sz w:val="20"/>
                <w:szCs w:val="20"/>
                <w:color w:val="auto"/>
              </w:rPr>
            </w:pPr>
            <w:r>
              <w:rPr>
                <w:rFonts w:ascii="Arial" w:cs="Arial" w:eastAsia="Arial" w:hAnsi="Arial"/>
                <w:sz w:val="14"/>
                <w:szCs w:val="14"/>
                <w:color w:val="001641"/>
              </w:rPr>
              <w:t>•  Talent Committee Member: $15,000</w:t>
            </w:r>
          </w:p>
        </w:tc>
      </w:tr>
      <w:tr>
        <w:trPr>
          <w:trHeight w:val="162"/>
        </w:trPr>
        <w:tc>
          <w:tcPr>
            <w:tcW w:w="4520" w:type="dxa"/>
            <w:vAlign w:val="bottom"/>
          </w:tcPr>
          <w:p>
            <w:pPr>
              <w:spacing w:after="0"/>
              <w:rPr>
                <w:sz w:val="14"/>
                <w:szCs w:val="14"/>
                <w:color w:val="auto"/>
              </w:rPr>
            </w:pPr>
          </w:p>
        </w:tc>
        <w:tc>
          <w:tcPr>
            <w:tcW w:w="4660" w:type="dxa"/>
            <w:vAlign w:val="bottom"/>
          </w:tcPr>
          <w:p>
            <w:pPr>
              <w:ind w:left="180"/>
              <w:spacing w:after="0"/>
              <w:rPr>
                <w:sz w:val="20"/>
                <w:szCs w:val="20"/>
                <w:color w:val="auto"/>
              </w:rPr>
            </w:pPr>
            <w:r>
              <w:rPr>
                <w:rFonts w:ascii="Arial" w:cs="Arial" w:eastAsia="Arial" w:hAnsi="Arial"/>
                <w:sz w:val="14"/>
                <w:szCs w:val="14"/>
                <w:color w:val="001641"/>
              </w:rPr>
              <w:t>•  Nominating Committee Member: $15,000</w:t>
            </w:r>
          </w:p>
        </w:tc>
      </w:tr>
      <w:tr>
        <w:trPr>
          <w:trHeight w:val="190"/>
        </w:trPr>
        <w:tc>
          <w:tcPr>
            <w:tcW w:w="4520" w:type="dxa"/>
            <w:vAlign w:val="bottom"/>
          </w:tcPr>
          <w:p>
            <w:pPr>
              <w:spacing w:after="0"/>
              <w:rPr>
                <w:sz w:val="16"/>
                <w:szCs w:val="16"/>
                <w:color w:val="auto"/>
              </w:rPr>
            </w:pPr>
          </w:p>
        </w:tc>
        <w:tc>
          <w:tcPr>
            <w:tcW w:w="4660" w:type="dxa"/>
            <w:vAlign w:val="bottom"/>
          </w:tcPr>
          <w:p>
            <w:pPr>
              <w:ind w:left="180"/>
              <w:spacing w:after="0"/>
              <w:rPr>
                <w:sz w:val="20"/>
                <w:szCs w:val="20"/>
                <w:color w:val="auto"/>
              </w:rPr>
            </w:pPr>
            <w:r>
              <w:rPr>
                <w:rFonts w:ascii="Arial" w:cs="Arial" w:eastAsia="Arial" w:hAnsi="Arial"/>
                <w:sz w:val="14"/>
                <w:szCs w:val="14"/>
                <w:color w:val="001641"/>
              </w:rPr>
              <w:t>•  Finance Committee Member: $15,000</w:t>
            </w:r>
          </w:p>
        </w:tc>
      </w:tr>
      <w:tr>
        <w:trPr>
          <w:trHeight w:val="49"/>
        </w:trPr>
        <w:tc>
          <w:tcPr>
            <w:tcW w:w="4520" w:type="dxa"/>
            <w:vAlign w:val="bottom"/>
            <w:tcBorders>
              <w:bottom w:val="single" w:sz="8" w:color="BFA071"/>
            </w:tcBorders>
          </w:tcPr>
          <w:p>
            <w:pPr>
              <w:spacing w:after="0"/>
              <w:rPr>
                <w:sz w:val="4"/>
                <w:szCs w:val="4"/>
                <w:color w:val="auto"/>
              </w:rPr>
            </w:pPr>
          </w:p>
        </w:tc>
        <w:tc>
          <w:tcPr>
            <w:tcW w:w="4660" w:type="dxa"/>
            <w:vAlign w:val="bottom"/>
            <w:tcBorders>
              <w:bottom w:val="single" w:sz="8" w:color="BFA071"/>
            </w:tcBorders>
          </w:tcPr>
          <w:p>
            <w:pPr>
              <w:spacing w:after="0"/>
              <w:rPr>
                <w:sz w:val="4"/>
                <w:szCs w:val="4"/>
                <w:color w:val="auto"/>
              </w:rPr>
            </w:pPr>
          </w:p>
        </w:tc>
      </w:tr>
      <w:tr>
        <w:trPr>
          <w:trHeight w:val="223"/>
        </w:trPr>
        <w:tc>
          <w:tcPr>
            <w:tcW w:w="4520" w:type="dxa"/>
            <w:vAlign w:val="bottom"/>
          </w:tcPr>
          <w:p>
            <w:pPr>
              <w:ind w:left="160"/>
              <w:spacing w:after="0" w:line="223" w:lineRule="exact"/>
              <w:rPr>
                <w:sz w:val="20"/>
                <w:szCs w:val="20"/>
                <w:color w:val="auto"/>
              </w:rPr>
            </w:pPr>
            <w:r>
              <w:rPr>
                <w:rFonts w:ascii="Arial" w:cs="Arial" w:eastAsia="Arial" w:hAnsi="Arial"/>
                <w:sz w:val="14"/>
                <w:szCs w:val="14"/>
                <w:color w:val="001641"/>
              </w:rPr>
              <w:t>Annual equity award</w:t>
            </w:r>
            <w:r>
              <w:rPr>
                <w:rFonts w:ascii="Arial" w:cs="Arial" w:eastAsia="Arial" w:hAnsi="Arial"/>
                <w:sz w:val="23"/>
                <w:szCs w:val="23"/>
                <w:color w:val="001641"/>
                <w:vertAlign w:val="superscript"/>
              </w:rPr>
              <w:t>2</w:t>
            </w:r>
          </w:p>
        </w:tc>
        <w:tc>
          <w:tcPr>
            <w:tcW w:w="4660" w:type="dxa"/>
            <w:vAlign w:val="bottom"/>
          </w:tcPr>
          <w:p>
            <w:pPr>
              <w:ind w:left="180"/>
              <w:spacing w:after="0"/>
              <w:rPr>
                <w:sz w:val="20"/>
                <w:szCs w:val="20"/>
                <w:color w:val="auto"/>
              </w:rPr>
            </w:pPr>
            <w:r>
              <w:rPr>
                <w:rFonts w:ascii="Arial" w:cs="Arial" w:eastAsia="Arial" w:hAnsi="Arial"/>
                <w:sz w:val="14"/>
                <w:szCs w:val="14"/>
                <w:color w:val="001641"/>
              </w:rPr>
              <w:t>Target equity value of $175,000, which is delivered in the form of</w:t>
            </w:r>
          </w:p>
        </w:tc>
      </w:tr>
      <w:tr>
        <w:trPr>
          <w:trHeight w:val="153"/>
        </w:trPr>
        <w:tc>
          <w:tcPr>
            <w:tcW w:w="4520" w:type="dxa"/>
            <w:vAlign w:val="bottom"/>
          </w:tcPr>
          <w:p>
            <w:pPr>
              <w:spacing w:after="0"/>
              <w:rPr>
                <w:sz w:val="13"/>
                <w:szCs w:val="13"/>
                <w:color w:val="auto"/>
              </w:rPr>
            </w:pPr>
          </w:p>
        </w:tc>
        <w:tc>
          <w:tcPr>
            <w:tcW w:w="4660" w:type="dxa"/>
            <w:vAlign w:val="bottom"/>
          </w:tcPr>
          <w:p>
            <w:pPr>
              <w:ind w:left="180"/>
              <w:spacing w:after="0" w:line="153" w:lineRule="exact"/>
              <w:rPr>
                <w:sz w:val="20"/>
                <w:szCs w:val="20"/>
                <w:color w:val="auto"/>
              </w:rPr>
            </w:pPr>
            <w:r>
              <w:rPr>
                <w:rFonts w:ascii="Arial" w:cs="Arial" w:eastAsia="Arial" w:hAnsi="Arial"/>
                <w:sz w:val="14"/>
                <w:szCs w:val="14"/>
                <w:color w:val="001641"/>
              </w:rPr>
              <w:t>restricted stock units of Class A Common Stock. These restricted</w:t>
            </w:r>
          </w:p>
        </w:tc>
      </w:tr>
      <w:tr>
        <w:trPr>
          <w:trHeight w:val="194"/>
        </w:trPr>
        <w:tc>
          <w:tcPr>
            <w:tcW w:w="4520" w:type="dxa"/>
            <w:vAlign w:val="bottom"/>
            <w:tcBorders>
              <w:bottom w:val="single" w:sz="8" w:color="001641"/>
            </w:tcBorders>
          </w:tcPr>
          <w:p>
            <w:pPr>
              <w:spacing w:after="0"/>
              <w:rPr>
                <w:sz w:val="16"/>
                <w:szCs w:val="16"/>
                <w:color w:val="auto"/>
              </w:rPr>
            </w:pPr>
          </w:p>
        </w:tc>
        <w:tc>
          <w:tcPr>
            <w:tcW w:w="4660" w:type="dxa"/>
            <w:vAlign w:val="bottom"/>
            <w:tcBorders>
              <w:bottom w:val="single" w:sz="8" w:color="001641"/>
            </w:tcBorders>
          </w:tcPr>
          <w:p>
            <w:pPr>
              <w:ind w:left="180"/>
              <w:spacing w:after="0"/>
              <w:rPr>
                <w:sz w:val="20"/>
                <w:szCs w:val="20"/>
                <w:color w:val="auto"/>
              </w:rPr>
            </w:pPr>
            <w:r>
              <w:rPr>
                <w:rFonts w:ascii="Arial" w:cs="Arial" w:eastAsia="Arial" w:hAnsi="Arial"/>
                <w:sz w:val="14"/>
                <w:szCs w:val="14"/>
                <w:color w:val="001641"/>
              </w:rPr>
              <w:t>stock units vest on the one year anniversary of the grant.</w:t>
            </w:r>
          </w:p>
        </w:tc>
      </w:tr>
    </w:tbl>
    <w:p>
      <w:pPr>
        <w:spacing w:after="0" w:line="193" w:lineRule="exact"/>
        <w:rPr>
          <w:sz w:val="20"/>
          <w:szCs w:val="20"/>
          <w:color w:val="auto"/>
        </w:rPr>
      </w:pPr>
    </w:p>
    <w:p>
      <w:pPr>
        <w:ind w:left="246" w:hanging="246"/>
        <w:spacing w:after="0"/>
        <w:tabs>
          <w:tab w:leader="none" w:pos="246" w:val="left"/>
        </w:tabs>
        <w:numPr>
          <w:ilvl w:val="0"/>
          <w:numId w:val="39"/>
        </w:numPr>
        <w:rPr>
          <w:rFonts w:ascii="Arial" w:cs="Arial" w:eastAsia="Arial" w:hAnsi="Arial"/>
          <w:sz w:val="14"/>
          <w:szCs w:val="14"/>
          <w:color w:val="4C4C4C"/>
        </w:rPr>
      </w:pPr>
      <w:r>
        <w:rPr>
          <w:rFonts w:ascii="Arial" w:cs="Arial" w:eastAsia="Arial" w:hAnsi="Arial"/>
          <w:sz w:val="14"/>
          <w:szCs w:val="14"/>
          <w:color w:val="4C4C4C"/>
        </w:rPr>
        <w:t>The annual retainers are paid to the non-employee directors in quarterly installments in arrears.</w:t>
      </w:r>
    </w:p>
    <w:p>
      <w:pPr>
        <w:spacing w:after="0" w:line="55" w:lineRule="exact"/>
        <w:rPr>
          <w:rFonts w:ascii="Arial" w:cs="Arial" w:eastAsia="Arial" w:hAnsi="Arial"/>
          <w:sz w:val="14"/>
          <w:szCs w:val="14"/>
          <w:color w:val="4C4C4C"/>
        </w:rPr>
      </w:pPr>
    </w:p>
    <w:p>
      <w:pPr>
        <w:ind w:left="246" w:right="140" w:hanging="246"/>
        <w:spacing w:after="0" w:line="285" w:lineRule="auto"/>
        <w:tabs>
          <w:tab w:leader="none" w:pos="246" w:val="left"/>
        </w:tabs>
        <w:numPr>
          <w:ilvl w:val="0"/>
          <w:numId w:val="39"/>
        </w:numPr>
        <w:rPr>
          <w:rFonts w:ascii="Arial" w:cs="Arial" w:eastAsia="Arial" w:hAnsi="Arial"/>
          <w:sz w:val="14"/>
          <w:szCs w:val="14"/>
          <w:color w:val="4C4C4C"/>
        </w:rPr>
      </w:pPr>
      <w:r>
        <w:rPr>
          <w:rFonts w:ascii="Arial" w:cs="Arial" w:eastAsia="Arial" w:hAnsi="Arial"/>
          <w:sz w:val="14"/>
          <w:szCs w:val="14"/>
          <w:color w:val="4C4C4C"/>
        </w:rPr>
        <w:t>The annual equity award to non-employee directors is awarded on the date of the Annual Meeting of Stockholders each year to those non-employee directors who join the Board on the date of the Meeting or have served as directors in the preceding fiscal year.</w:t>
      </w:r>
    </w:p>
    <w:p>
      <w:pPr>
        <w:spacing w:after="0" w:line="24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STOCK OWNERSHIP GUIDELINES</w:t>
      </w:r>
    </w:p>
    <w:p>
      <w:pPr>
        <w:spacing w:after="0" w:line="153" w:lineRule="exact"/>
        <w:rPr>
          <w:sz w:val="20"/>
          <w:szCs w:val="20"/>
          <w:color w:val="auto"/>
        </w:rPr>
      </w:pPr>
    </w:p>
    <w:p>
      <w:pPr>
        <w:ind w:left="6" w:right="220"/>
        <w:spacing w:after="0" w:line="254" w:lineRule="auto"/>
        <w:rPr>
          <w:sz w:val="20"/>
          <w:szCs w:val="20"/>
          <w:color w:val="auto"/>
        </w:rPr>
      </w:pPr>
      <w:r>
        <w:rPr>
          <w:rFonts w:ascii="Arial" w:cs="Arial" w:eastAsia="Arial" w:hAnsi="Arial"/>
          <w:sz w:val="16"/>
          <w:szCs w:val="16"/>
          <w:color w:val="auto"/>
        </w:rPr>
        <w:t>Our Board and Talent Committee believe it is important for our NEOs, key members of our senior management team, and our non-employee directors to build and maintain a long-term ownership position in the Company, to further align their financial interests with those of our stockholders, and to encourage the creation of long-term value. The Talent Committee has established stock ownership guidelines for our non-employee directors, our NEOs, and select other members of our senior management group. Further details on the guidelines for NEOs and certain members of our senior management group are provided in “Compensation Discussion and Analysis – Executive Stock Ownership Guidelines.”</w:t>
      </w:r>
    </w:p>
    <w:p>
      <w:pPr>
        <w:spacing w:after="0" w:line="209"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current stock ownership guidelines for the non-employee directors are as follows:</w:t>
      </w:r>
    </w:p>
    <w:p>
      <w:pPr>
        <w:spacing w:after="0" w:line="167" w:lineRule="exact"/>
        <w:rPr>
          <w:sz w:val="20"/>
          <w:szCs w:val="20"/>
          <w:color w:val="auto"/>
        </w:rPr>
      </w:pPr>
    </w:p>
    <w:p>
      <w:pPr>
        <w:ind w:left="166" w:right="260" w:hanging="166"/>
        <w:spacing w:after="0" w:line="296" w:lineRule="auto"/>
        <w:tabs>
          <w:tab w:leader="none" w:pos="166"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Ownership requirement is defined as a multiple of annual cash retainer. The target for directors is set at five times the annual cash retainer.</w:t>
      </w:r>
    </w:p>
    <w:p>
      <w:pPr>
        <w:spacing w:after="0" w:line="45" w:lineRule="exact"/>
        <w:rPr>
          <w:rFonts w:ascii="Arial" w:cs="Arial" w:eastAsia="Arial" w:hAnsi="Arial"/>
          <w:sz w:val="16"/>
          <w:szCs w:val="16"/>
          <w:color w:val="auto"/>
        </w:rPr>
      </w:pPr>
    </w:p>
    <w:p>
      <w:pPr>
        <w:ind w:left="166" w:right="460" w:hanging="166"/>
        <w:spacing w:after="0" w:line="296" w:lineRule="auto"/>
        <w:tabs>
          <w:tab w:leader="none" w:pos="166"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There is a hold-and-retain requirement of 50% of net equity proceeds acquired through the vesting of restricted shares and RSUs and the exercise of stock options until the stock ownership target is attained.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58293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50"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56</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67" w:name="page68"/>
    <w:bookmarkEnd w:id="6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left="166" w:right="480" w:hanging="166"/>
        <w:spacing w:after="0" w:line="296" w:lineRule="auto"/>
        <w:tabs>
          <w:tab w:leader="none" w:pos="166"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In addition to counting shares owned outright by the director or his or her family members, unvested restricted shares and RSUs count toward the achievement of ownership targets.</w:t>
      </w:r>
    </w:p>
    <w:p>
      <w:pPr>
        <w:spacing w:after="0" w:line="45" w:lineRule="exact"/>
        <w:rPr>
          <w:rFonts w:ascii="Arial" w:cs="Arial" w:eastAsia="Arial" w:hAnsi="Arial"/>
          <w:sz w:val="16"/>
          <w:szCs w:val="16"/>
          <w:color w:val="auto"/>
        </w:rPr>
      </w:pPr>
    </w:p>
    <w:p>
      <w:pPr>
        <w:ind w:left="166" w:right="280" w:hanging="166"/>
        <w:spacing w:after="0" w:line="296" w:lineRule="auto"/>
        <w:tabs>
          <w:tab w:leader="none" w:pos="166"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As of the Record Date, all non-employee directors who were covered under stock ownership guidelines exceeded their Fiscal 2026 stock ownership target.</w:t>
      </w:r>
    </w:p>
    <w:p>
      <w:pPr>
        <w:spacing w:after="0" w:line="86" w:lineRule="exact"/>
        <w:rPr>
          <w:sz w:val="20"/>
          <w:szCs w:val="20"/>
          <w:color w:val="auto"/>
        </w:rPr>
      </w:pPr>
    </w:p>
    <w:p>
      <w:pPr>
        <w:ind w:left="6" w:right="40"/>
        <w:spacing w:after="0" w:line="266" w:lineRule="auto"/>
        <w:rPr>
          <w:sz w:val="20"/>
          <w:szCs w:val="20"/>
          <w:color w:val="auto"/>
        </w:rPr>
      </w:pPr>
      <w:r>
        <w:rPr>
          <w:rFonts w:ascii="Arial" w:cs="Arial" w:eastAsia="Arial" w:hAnsi="Arial"/>
          <w:sz w:val="16"/>
          <w:szCs w:val="16"/>
          <w:color w:val="auto"/>
        </w:rPr>
        <w:t>We reimburse our non-employee directors for reasonable travel and other related expenses to attend Board and Committee meetings and for director education courses. Non-employee directors are also provided with a merchandise discount on most of our products.</w:t>
      </w:r>
    </w:p>
    <w:p>
      <w:pPr>
        <w:spacing w:after="0" w:line="292"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DIRECTOR COMPENSATION TABLE</w:t>
      </w:r>
    </w:p>
    <w:p>
      <w:pPr>
        <w:spacing w:after="0" w:line="153" w:lineRule="exact"/>
        <w:rPr>
          <w:sz w:val="20"/>
          <w:szCs w:val="20"/>
          <w:color w:val="auto"/>
        </w:rPr>
      </w:pPr>
    </w:p>
    <w:p>
      <w:pPr>
        <w:jc w:val="both"/>
        <w:ind w:left="6" w:right="220"/>
        <w:spacing w:after="0" w:line="266" w:lineRule="auto"/>
        <w:rPr>
          <w:sz w:val="20"/>
          <w:szCs w:val="20"/>
          <w:color w:val="auto"/>
        </w:rPr>
      </w:pPr>
      <w:r>
        <w:rPr>
          <w:rFonts w:ascii="Arial" w:cs="Arial" w:eastAsia="Arial" w:hAnsi="Arial"/>
          <w:sz w:val="16"/>
          <w:szCs w:val="16"/>
          <w:color w:val="auto"/>
        </w:rPr>
        <w:t>The following table provides information concerning the compensation of those individuals who served as our non-employee directors during Fiscal 2026. Directors who are our employees receive no compensation for their services as directors and do not serve on any Committees of the Board.</w:t>
      </w:r>
    </w:p>
    <w:p>
      <w:pPr>
        <w:spacing w:after="0" w:line="37" w:lineRule="exact"/>
        <w:rPr>
          <w:sz w:val="20"/>
          <w:szCs w:val="20"/>
          <w:color w:val="auto"/>
        </w:rPr>
      </w:pPr>
    </w:p>
    <w:tbl>
      <w:tblPr>
        <w:tblLayout w:type="fixed"/>
        <w:tblInd w:w="6" w:type="dxa"/>
        <w:tblCellMar>
          <w:top w:w="0" w:type="dxa"/>
          <w:left w:w="0" w:type="dxa"/>
          <w:bottom w:w="0" w:type="dxa"/>
          <w:right w:w="0" w:type="dxa"/>
        </w:tblCellMar>
      </w:tblPr>
      <w:tr>
        <w:trPr>
          <w:trHeight w:val="328"/>
        </w:trPr>
        <w:tc>
          <w:tcPr>
            <w:tcW w:w="3180" w:type="dxa"/>
            <w:vAlign w:val="bottom"/>
            <w:shd w:val="clear" w:color="auto" w:fill="001641"/>
          </w:tcPr>
          <w:p>
            <w:pPr>
              <w:spacing w:after="0"/>
              <w:rPr>
                <w:sz w:val="24"/>
                <w:szCs w:val="24"/>
                <w:color w:val="auto"/>
              </w:rPr>
            </w:pPr>
          </w:p>
        </w:tc>
        <w:tc>
          <w:tcPr>
            <w:tcW w:w="3800" w:type="dxa"/>
            <w:vAlign w:val="bottom"/>
            <w:shd w:val="clear" w:color="auto" w:fill="001641"/>
          </w:tcPr>
          <w:p>
            <w:pPr>
              <w:jc w:val="right"/>
              <w:ind w:right="128"/>
              <w:spacing w:after="0"/>
              <w:rPr>
                <w:sz w:val="20"/>
                <w:szCs w:val="20"/>
                <w:color w:val="auto"/>
              </w:rPr>
            </w:pPr>
            <w:r>
              <w:rPr>
                <w:rFonts w:ascii="Arial" w:cs="Arial" w:eastAsia="Arial" w:hAnsi="Arial"/>
                <w:sz w:val="14"/>
                <w:szCs w:val="14"/>
                <w:b w:val="1"/>
                <w:bCs w:val="1"/>
                <w:color w:val="FFFFFF"/>
              </w:rPr>
              <w:t>Fees Earned or Paid in Cash</w:t>
            </w:r>
            <w:r>
              <w:rPr>
                <w:rFonts w:ascii="Arial" w:cs="Arial" w:eastAsia="Arial" w:hAnsi="Arial"/>
                <w:sz w:val="23"/>
                <w:szCs w:val="23"/>
                <w:b w:val="1"/>
                <w:bCs w:val="1"/>
                <w:color w:val="FFFFFF"/>
                <w:vertAlign w:val="superscript"/>
              </w:rPr>
              <w:t>1</w:t>
            </w:r>
          </w:p>
        </w:tc>
        <w:tc>
          <w:tcPr>
            <w:tcW w:w="1380" w:type="dxa"/>
            <w:vAlign w:val="bottom"/>
            <w:shd w:val="clear" w:color="auto" w:fill="001641"/>
          </w:tcPr>
          <w:p>
            <w:pPr>
              <w:jc w:val="right"/>
              <w:ind w:right="108"/>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23"/>
                <w:szCs w:val="23"/>
                <w:b w:val="1"/>
                <w:bCs w:val="1"/>
                <w:color w:val="FFFFFF"/>
                <w:vertAlign w:val="superscript"/>
              </w:rPr>
              <w:t>2</w:t>
            </w:r>
          </w:p>
        </w:tc>
        <w:tc>
          <w:tcPr>
            <w:tcW w:w="820" w:type="dxa"/>
            <w:vAlign w:val="bottom"/>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Total</w:t>
            </w:r>
          </w:p>
        </w:tc>
      </w:tr>
      <w:tr>
        <w:trPr>
          <w:trHeight w:val="232"/>
        </w:trPr>
        <w:tc>
          <w:tcPr>
            <w:tcW w:w="3180" w:type="dxa"/>
            <w:vAlign w:val="bottom"/>
            <w:tcBorders>
              <w:bottom w:val="single" w:sz="8" w:color="001641"/>
            </w:tcBorders>
            <w:shd w:val="clear" w:color="auto" w:fill="001641"/>
          </w:tcPr>
          <w:p>
            <w:pPr>
              <w:ind w:left="140"/>
              <w:spacing w:after="0"/>
              <w:rPr>
                <w:sz w:val="20"/>
                <w:szCs w:val="20"/>
                <w:color w:val="auto"/>
              </w:rPr>
            </w:pPr>
            <w:r>
              <w:rPr>
                <w:rFonts w:ascii="Arial" w:cs="Arial" w:eastAsia="Arial" w:hAnsi="Arial"/>
                <w:sz w:val="14"/>
                <w:szCs w:val="14"/>
                <w:b w:val="1"/>
                <w:bCs w:val="1"/>
                <w:color w:val="FFFFFF"/>
              </w:rPr>
              <w:t>Name</w:t>
            </w:r>
          </w:p>
        </w:tc>
        <w:tc>
          <w:tcPr>
            <w:tcW w:w="3800" w:type="dxa"/>
            <w:vAlign w:val="bottom"/>
            <w:tcBorders>
              <w:bottom w:val="single" w:sz="8" w:color="001641"/>
            </w:tcBorders>
            <w:shd w:val="clear" w:color="auto" w:fill="00164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380" w:type="dxa"/>
            <w:vAlign w:val="bottom"/>
            <w:tcBorders>
              <w:bottom w:val="single" w:sz="8" w:color="001641"/>
            </w:tcBorders>
            <w:shd w:val="clear" w:color="auto" w:fill="001641"/>
          </w:tcPr>
          <w:p>
            <w:pPr>
              <w:jc w:val="right"/>
              <w:ind w:right="108"/>
              <w:spacing w:after="0"/>
              <w:rPr>
                <w:sz w:val="20"/>
                <w:szCs w:val="20"/>
                <w:color w:val="auto"/>
              </w:rPr>
            </w:pPr>
            <w:r>
              <w:rPr>
                <w:rFonts w:ascii="Arial" w:cs="Arial" w:eastAsia="Arial" w:hAnsi="Arial"/>
                <w:sz w:val="14"/>
                <w:szCs w:val="14"/>
                <w:b w:val="1"/>
                <w:bCs w:val="1"/>
                <w:color w:val="FFFFFF"/>
              </w:rPr>
              <w:t>($)</w:t>
            </w:r>
          </w:p>
        </w:tc>
        <w:tc>
          <w:tcPr>
            <w:tcW w:w="820" w:type="dxa"/>
            <w:vAlign w:val="bottom"/>
            <w:tcBorders>
              <w:bottom w:val="single" w:sz="8" w:color="001641"/>
            </w:tcBorders>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254"/>
        </w:trPr>
        <w:tc>
          <w:tcPr>
            <w:tcW w:w="3180" w:type="dxa"/>
            <w:vAlign w:val="bottom"/>
          </w:tcPr>
          <w:p>
            <w:pPr>
              <w:ind w:left="140"/>
              <w:spacing w:after="0"/>
              <w:rPr>
                <w:sz w:val="20"/>
                <w:szCs w:val="20"/>
                <w:color w:val="auto"/>
              </w:rPr>
            </w:pPr>
            <w:r>
              <w:rPr>
                <w:rFonts w:ascii="Arial" w:cs="Arial" w:eastAsia="Arial" w:hAnsi="Arial"/>
                <w:sz w:val="14"/>
                <w:szCs w:val="14"/>
                <w:b w:val="1"/>
                <w:bCs w:val="1"/>
                <w:color w:val="001641"/>
              </w:rPr>
              <w:t>Angela Ahrendts</w:t>
            </w:r>
          </w:p>
        </w:tc>
        <w:tc>
          <w:tcPr>
            <w:tcW w:w="3800" w:type="dxa"/>
            <w:vAlign w:val="bottom"/>
          </w:tcPr>
          <w:p>
            <w:pPr>
              <w:jc w:val="right"/>
              <w:ind w:right="408"/>
              <w:spacing w:after="0"/>
              <w:rPr>
                <w:sz w:val="20"/>
                <w:szCs w:val="20"/>
                <w:color w:val="auto"/>
              </w:rPr>
            </w:pPr>
            <w:r>
              <w:rPr>
                <w:rFonts w:ascii="Arial" w:cs="Arial" w:eastAsia="Arial" w:hAnsi="Arial"/>
                <w:sz w:val="14"/>
                <w:szCs w:val="14"/>
                <w:color w:val="001641"/>
              </w:rPr>
              <w:t>203,750</w:t>
            </w:r>
          </w:p>
        </w:tc>
        <w:tc>
          <w:tcPr>
            <w:tcW w:w="1380" w:type="dxa"/>
            <w:vAlign w:val="bottom"/>
          </w:tcPr>
          <w:p>
            <w:pPr>
              <w:jc w:val="right"/>
              <w:ind w:right="108"/>
              <w:spacing w:after="0"/>
              <w:rPr>
                <w:sz w:val="20"/>
                <w:szCs w:val="20"/>
                <w:color w:val="auto"/>
              </w:rPr>
            </w:pPr>
            <w:r>
              <w:rPr>
                <w:rFonts w:ascii="Arial" w:cs="Arial" w:eastAsia="Arial" w:hAnsi="Arial"/>
                <w:sz w:val="14"/>
                <w:szCs w:val="14"/>
                <w:color w:val="001641"/>
              </w:rPr>
              <w:t>175,116</w:t>
            </w:r>
          </w:p>
        </w:tc>
        <w:tc>
          <w:tcPr>
            <w:tcW w:w="820" w:type="dxa"/>
            <w:vAlign w:val="bottom"/>
          </w:tcPr>
          <w:p>
            <w:pPr>
              <w:jc w:val="right"/>
              <w:ind w:right="48"/>
              <w:spacing w:after="0"/>
              <w:rPr>
                <w:sz w:val="20"/>
                <w:szCs w:val="20"/>
                <w:color w:val="auto"/>
              </w:rPr>
            </w:pPr>
            <w:r>
              <w:rPr>
                <w:rFonts w:ascii="Arial" w:cs="Arial" w:eastAsia="Arial" w:hAnsi="Arial"/>
                <w:sz w:val="14"/>
                <w:szCs w:val="14"/>
                <w:color w:val="001641"/>
              </w:rPr>
              <w:t>378,866</w:t>
            </w:r>
          </w:p>
        </w:tc>
      </w:tr>
      <w:tr>
        <w:trPr>
          <w:trHeight w:val="43"/>
        </w:trPr>
        <w:tc>
          <w:tcPr>
            <w:tcW w:w="3180" w:type="dxa"/>
            <w:vAlign w:val="bottom"/>
            <w:tcBorders>
              <w:bottom w:val="single" w:sz="8" w:color="BFA071"/>
            </w:tcBorders>
          </w:tcPr>
          <w:p>
            <w:pPr>
              <w:spacing w:after="0"/>
              <w:rPr>
                <w:sz w:val="3"/>
                <w:szCs w:val="3"/>
                <w:color w:val="auto"/>
              </w:rPr>
            </w:pPr>
          </w:p>
        </w:tc>
        <w:tc>
          <w:tcPr>
            <w:tcW w:w="3800" w:type="dxa"/>
            <w:vAlign w:val="bottom"/>
            <w:tcBorders>
              <w:bottom w:val="single" w:sz="8" w:color="BFA071"/>
            </w:tcBorders>
          </w:tcPr>
          <w:p>
            <w:pPr>
              <w:spacing w:after="0"/>
              <w:rPr>
                <w:sz w:val="3"/>
                <w:szCs w:val="3"/>
                <w:color w:val="auto"/>
              </w:rPr>
            </w:pPr>
          </w:p>
        </w:tc>
        <w:tc>
          <w:tcPr>
            <w:tcW w:w="1380" w:type="dxa"/>
            <w:vAlign w:val="bottom"/>
            <w:tcBorders>
              <w:bottom w:val="single" w:sz="8" w:color="BFA071"/>
            </w:tcBorders>
          </w:tcPr>
          <w:p>
            <w:pPr>
              <w:spacing w:after="0"/>
              <w:rPr>
                <w:sz w:val="3"/>
                <w:szCs w:val="3"/>
                <w:color w:val="auto"/>
              </w:rPr>
            </w:pPr>
          </w:p>
        </w:tc>
        <w:tc>
          <w:tcPr>
            <w:tcW w:w="820" w:type="dxa"/>
            <w:vAlign w:val="bottom"/>
            <w:tcBorders>
              <w:bottom w:val="single" w:sz="8" w:color="BFA071"/>
            </w:tcBorders>
          </w:tcPr>
          <w:p>
            <w:pPr>
              <w:spacing w:after="0"/>
              <w:rPr>
                <w:sz w:val="3"/>
                <w:szCs w:val="3"/>
                <w:color w:val="auto"/>
              </w:rPr>
            </w:pPr>
          </w:p>
        </w:tc>
      </w:tr>
      <w:tr>
        <w:trPr>
          <w:trHeight w:val="248"/>
        </w:trPr>
        <w:tc>
          <w:tcPr>
            <w:tcW w:w="3180" w:type="dxa"/>
            <w:vAlign w:val="bottom"/>
          </w:tcPr>
          <w:p>
            <w:pPr>
              <w:ind w:left="140"/>
              <w:spacing w:after="0"/>
              <w:rPr>
                <w:sz w:val="20"/>
                <w:szCs w:val="20"/>
                <w:color w:val="auto"/>
              </w:rPr>
            </w:pPr>
            <w:r>
              <w:rPr>
                <w:rFonts w:ascii="Arial" w:cs="Arial" w:eastAsia="Arial" w:hAnsi="Arial"/>
                <w:sz w:val="14"/>
                <w:szCs w:val="14"/>
                <w:b w:val="1"/>
                <w:bCs w:val="1"/>
                <w:color w:val="001641"/>
              </w:rPr>
              <w:t>Frank A. Bennack, Jr</w:t>
            </w:r>
          </w:p>
        </w:tc>
        <w:tc>
          <w:tcPr>
            <w:tcW w:w="3800" w:type="dxa"/>
            <w:vAlign w:val="bottom"/>
          </w:tcPr>
          <w:p>
            <w:pPr>
              <w:jc w:val="right"/>
              <w:ind w:right="408"/>
              <w:spacing w:after="0"/>
              <w:rPr>
                <w:sz w:val="20"/>
                <w:szCs w:val="20"/>
                <w:color w:val="auto"/>
              </w:rPr>
            </w:pPr>
            <w:r>
              <w:rPr>
                <w:rFonts w:ascii="Arial" w:cs="Arial" w:eastAsia="Arial" w:hAnsi="Arial"/>
                <w:sz w:val="14"/>
                <w:szCs w:val="14"/>
                <w:color w:val="001641"/>
              </w:rPr>
              <w:t>132,500</w:t>
            </w:r>
          </w:p>
        </w:tc>
        <w:tc>
          <w:tcPr>
            <w:tcW w:w="1380" w:type="dxa"/>
            <w:vAlign w:val="bottom"/>
          </w:tcPr>
          <w:p>
            <w:pPr>
              <w:jc w:val="right"/>
              <w:ind w:right="108"/>
              <w:spacing w:after="0"/>
              <w:rPr>
                <w:sz w:val="20"/>
                <w:szCs w:val="20"/>
                <w:color w:val="auto"/>
              </w:rPr>
            </w:pPr>
            <w:r>
              <w:rPr>
                <w:rFonts w:ascii="Arial" w:cs="Arial" w:eastAsia="Arial" w:hAnsi="Arial"/>
                <w:sz w:val="14"/>
                <w:szCs w:val="14"/>
                <w:color w:val="001641"/>
              </w:rPr>
              <w:t>175,116</w:t>
            </w:r>
          </w:p>
        </w:tc>
        <w:tc>
          <w:tcPr>
            <w:tcW w:w="820" w:type="dxa"/>
            <w:vAlign w:val="bottom"/>
          </w:tcPr>
          <w:p>
            <w:pPr>
              <w:jc w:val="right"/>
              <w:ind w:right="48"/>
              <w:spacing w:after="0"/>
              <w:rPr>
                <w:sz w:val="20"/>
                <w:szCs w:val="20"/>
                <w:color w:val="auto"/>
              </w:rPr>
            </w:pPr>
            <w:r>
              <w:rPr>
                <w:rFonts w:ascii="Arial" w:cs="Arial" w:eastAsia="Arial" w:hAnsi="Arial"/>
                <w:sz w:val="14"/>
                <w:szCs w:val="14"/>
                <w:color w:val="001641"/>
              </w:rPr>
              <w:t>307,616</w:t>
            </w:r>
          </w:p>
        </w:tc>
      </w:tr>
      <w:tr>
        <w:trPr>
          <w:trHeight w:val="43"/>
        </w:trPr>
        <w:tc>
          <w:tcPr>
            <w:tcW w:w="3180" w:type="dxa"/>
            <w:vAlign w:val="bottom"/>
            <w:tcBorders>
              <w:bottom w:val="single" w:sz="8" w:color="BFA071"/>
            </w:tcBorders>
          </w:tcPr>
          <w:p>
            <w:pPr>
              <w:spacing w:after="0"/>
              <w:rPr>
                <w:sz w:val="3"/>
                <w:szCs w:val="3"/>
                <w:color w:val="auto"/>
              </w:rPr>
            </w:pPr>
          </w:p>
        </w:tc>
        <w:tc>
          <w:tcPr>
            <w:tcW w:w="3800" w:type="dxa"/>
            <w:vAlign w:val="bottom"/>
            <w:tcBorders>
              <w:bottom w:val="single" w:sz="8" w:color="BFA071"/>
            </w:tcBorders>
          </w:tcPr>
          <w:p>
            <w:pPr>
              <w:spacing w:after="0"/>
              <w:rPr>
                <w:sz w:val="3"/>
                <w:szCs w:val="3"/>
                <w:color w:val="auto"/>
              </w:rPr>
            </w:pPr>
          </w:p>
        </w:tc>
        <w:tc>
          <w:tcPr>
            <w:tcW w:w="1380" w:type="dxa"/>
            <w:vAlign w:val="bottom"/>
            <w:tcBorders>
              <w:bottom w:val="single" w:sz="8" w:color="BFA071"/>
            </w:tcBorders>
          </w:tcPr>
          <w:p>
            <w:pPr>
              <w:spacing w:after="0"/>
              <w:rPr>
                <w:sz w:val="3"/>
                <w:szCs w:val="3"/>
                <w:color w:val="auto"/>
              </w:rPr>
            </w:pPr>
          </w:p>
        </w:tc>
        <w:tc>
          <w:tcPr>
            <w:tcW w:w="820" w:type="dxa"/>
            <w:vAlign w:val="bottom"/>
            <w:tcBorders>
              <w:bottom w:val="single" w:sz="8" w:color="BFA071"/>
            </w:tcBorders>
          </w:tcPr>
          <w:p>
            <w:pPr>
              <w:spacing w:after="0"/>
              <w:rPr>
                <w:sz w:val="3"/>
                <w:szCs w:val="3"/>
                <w:color w:val="auto"/>
              </w:rPr>
            </w:pPr>
          </w:p>
        </w:tc>
      </w:tr>
      <w:tr>
        <w:trPr>
          <w:trHeight w:val="248"/>
        </w:trPr>
        <w:tc>
          <w:tcPr>
            <w:tcW w:w="3180" w:type="dxa"/>
            <w:vAlign w:val="bottom"/>
          </w:tcPr>
          <w:p>
            <w:pPr>
              <w:ind w:left="140"/>
              <w:spacing w:after="0"/>
              <w:rPr>
                <w:sz w:val="20"/>
                <w:szCs w:val="20"/>
                <w:color w:val="auto"/>
              </w:rPr>
            </w:pPr>
            <w:r>
              <w:rPr>
                <w:rFonts w:ascii="Arial" w:cs="Arial" w:eastAsia="Arial" w:hAnsi="Arial"/>
                <w:sz w:val="14"/>
                <w:szCs w:val="14"/>
                <w:b w:val="1"/>
                <w:bCs w:val="1"/>
                <w:color w:val="001641"/>
              </w:rPr>
              <w:t>Cesar Conde</w:t>
            </w:r>
          </w:p>
        </w:tc>
        <w:tc>
          <w:tcPr>
            <w:tcW w:w="3800" w:type="dxa"/>
            <w:vAlign w:val="bottom"/>
          </w:tcPr>
          <w:p>
            <w:pPr>
              <w:jc w:val="right"/>
              <w:ind w:right="408"/>
              <w:spacing w:after="0"/>
              <w:rPr>
                <w:sz w:val="20"/>
                <w:szCs w:val="20"/>
                <w:color w:val="auto"/>
              </w:rPr>
            </w:pPr>
            <w:r>
              <w:rPr>
                <w:rFonts w:ascii="Arial" w:cs="Arial" w:eastAsia="Arial" w:hAnsi="Arial"/>
                <w:sz w:val="14"/>
                <w:szCs w:val="14"/>
                <w:color w:val="001641"/>
              </w:rPr>
              <w:t>26,250</w:t>
            </w:r>
          </w:p>
        </w:tc>
        <w:tc>
          <w:tcPr>
            <w:tcW w:w="1380" w:type="dxa"/>
            <w:vAlign w:val="bottom"/>
          </w:tcPr>
          <w:p>
            <w:pPr>
              <w:jc w:val="right"/>
              <w:ind w:right="108"/>
              <w:spacing w:after="0"/>
              <w:rPr>
                <w:sz w:val="20"/>
                <w:szCs w:val="20"/>
                <w:color w:val="auto"/>
              </w:rPr>
            </w:pPr>
            <w:r>
              <w:rPr>
                <w:rFonts w:ascii="Arial" w:cs="Arial" w:eastAsia="Arial" w:hAnsi="Arial"/>
                <w:sz w:val="14"/>
                <w:szCs w:val="14"/>
                <w:color w:val="001641"/>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001641"/>
              </w:rPr>
              <w:t>26,250</w:t>
            </w:r>
          </w:p>
        </w:tc>
      </w:tr>
      <w:tr>
        <w:trPr>
          <w:trHeight w:val="43"/>
        </w:trPr>
        <w:tc>
          <w:tcPr>
            <w:tcW w:w="3180" w:type="dxa"/>
            <w:vAlign w:val="bottom"/>
            <w:tcBorders>
              <w:bottom w:val="single" w:sz="8" w:color="BFA071"/>
            </w:tcBorders>
          </w:tcPr>
          <w:p>
            <w:pPr>
              <w:spacing w:after="0"/>
              <w:rPr>
                <w:sz w:val="3"/>
                <w:szCs w:val="3"/>
                <w:color w:val="auto"/>
              </w:rPr>
            </w:pPr>
          </w:p>
        </w:tc>
        <w:tc>
          <w:tcPr>
            <w:tcW w:w="3800" w:type="dxa"/>
            <w:vAlign w:val="bottom"/>
            <w:tcBorders>
              <w:bottom w:val="single" w:sz="8" w:color="BFA071"/>
            </w:tcBorders>
          </w:tcPr>
          <w:p>
            <w:pPr>
              <w:spacing w:after="0"/>
              <w:rPr>
                <w:sz w:val="3"/>
                <w:szCs w:val="3"/>
                <w:color w:val="auto"/>
              </w:rPr>
            </w:pPr>
          </w:p>
        </w:tc>
        <w:tc>
          <w:tcPr>
            <w:tcW w:w="1380" w:type="dxa"/>
            <w:vAlign w:val="bottom"/>
            <w:tcBorders>
              <w:bottom w:val="single" w:sz="8" w:color="BFA071"/>
            </w:tcBorders>
          </w:tcPr>
          <w:p>
            <w:pPr>
              <w:spacing w:after="0"/>
              <w:rPr>
                <w:sz w:val="3"/>
                <w:szCs w:val="3"/>
                <w:color w:val="auto"/>
              </w:rPr>
            </w:pPr>
          </w:p>
        </w:tc>
        <w:tc>
          <w:tcPr>
            <w:tcW w:w="820" w:type="dxa"/>
            <w:vAlign w:val="bottom"/>
            <w:tcBorders>
              <w:bottom w:val="single" w:sz="8" w:color="BFA071"/>
            </w:tcBorders>
          </w:tcPr>
          <w:p>
            <w:pPr>
              <w:spacing w:after="0"/>
              <w:rPr>
                <w:sz w:val="3"/>
                <w:szCs w:val="3"/>
                <w:color w:val="auto"/>
              </w:rPr>
            </w:pPr>
          </w:p>
        </w:tc>
      </w:tr>
      <w:tr>
        <w:trPr>
          <w:trHeight w:val="248"/>
        </w:trPr>
        <w:tc>
          <w:tcPr>
            <w:tcW w:w="3180" w:type="dxa"/>
            <w:vAlign w:val="bottom"/>
          </w:tcPr>
          <w:p>
            <w:pPr>
              <w:ind w:left="140"/>
              <w:spacing w:after="0"/>
              <w:rPr>
                <w:sz w:val="20"/>
                <w:szCs w:val="20"/>
                <w:color w:val="auto"/>
              </w:rPr>
            </w:pPr>
            <w:r>
              <w:rPr>
                <w:rFonts w:ascii="Arial" w:cs="Arial" w:eastAsia="Arial" w:hAnsi="Arial"/>
                <w:sz w:val="14"/>
                <w:szCs w:val="14"/>
                <w:b w:val="1"/>
                <w:bCs w:val="1"/>
                <w:color w:val="001641"/>
              </w:rPr>
              <w:t>Debra Cupp</w:t>
            </w:r>
          </w:p>
        </w:tc>
        <w:tc>
          <w:tcPr>
            <w:tcW w:w="3800" w:type="dxa"/>
            <w:vAlign w:val="bottom"/>
          </w:tcPr>
          <w:p>
            <w:pPr>
              <w:jc w:val="right"/>
              <w:ind w:right="408"/>
              <w:spacing w:after="0"/>
              <w:rPr>
                <w:sz w:val="20"/>
                <w:szCs w:val="20"/>
                <w:color w:val="auto"/>
              </w:rPr>
            </w:pPr>
            <w:r>
              <w:rPr>
                <w:rFonts w:ascii="Arial" w:cs="Arial" w:eastAsia="Arial" w:hAnsi="Arial"/>
                <w:sz w:val="14"/>
                <w:szCs w:val="14"/>
                <w:color w:val="001641"/>
              </w:rPr>
              <w:t>132,500</w:t>
            </w:r>
          </w:p>
        </w:tc>
        <w:tc>
          <w:tcPr>
            <w:tcW w:w="1380" w:type="dxa"/>
            <w:vAlign w:val="bottom"/>
          </w:tcPr>
          <w:p>
            <w:pPr>
              <w:jc w:val="right"/>
              <w:ind w:right="108"/>
              <w:spacing w:after="0"/>
              <w:rPr>
                <w:sz w:val="20"/>
                <w:szCs w:val="20"/>
                <w:color w:val="auto"/>
              </w:rPr>
            </w:pPr>
            <w:r>
              <w:rPr>
                <w:rFonts w:ascii="Arial" w:cs="Arial" w:eastAsia="Arial" w:hAnsi="Arial"/>
                <w:sz w:val="14"/>
                <w:szCs w:val="14"/>
                <w:color w:val="001641"/>
              </w:rPr>
              <w:t>175,116</w:t>
            </w:r>
          </w:p>
        </w:tc>
        <w:tc>
          <w:tcPr>
            <w:tcW w:w="820" w:type="dxa"/>
            <w:vAlign w:val="bottom"/>
          </w:tcPr>
          <w:p>
            <w:pPr>
              <w:jc w:val="right"/>
              <w:ind w:right="48"/>
              <w:spacing w:after="0"/>
              <w:rPr>
                <w:sz w:val="20"/>
                <w:szCs w:val="20"/>
                <w:color w:val="auto"/>
              </w:rPr>
            </w:pPr>
            <w:r>
              <w:rPr>
                <w:rFonts w:ascii="Arial" w:cs="Arial" w:eastAsia="Arial" w:hAnsi="Arial"/>
                <w:sz w:val="14"/>
                <w:szCs w:val="14"/>
                <w:color w:val="001641"/>
              </w:rPr>
              <w:t>307,616</w:t>
            </w:r>
          </w:p>
        </w:tc>
      </w:tr>
      <w:tr>
        <w:trPr>
          <w:trHeight w:val="43"/>
        </w:trPr>
        <w:tc>
          <w:tcPr>
            <w:tcW w:w="3180" w:type="dxa"/>
            <w:vAlign w:val="bottom"/>
            <w:tcBorders>
              <w:bottom w:val="single" w:sz="8" w:color="BFA071"/>
            </w:tcBorders>
          </w:tcPr>
          <w:p>
            <w:pPr>
              <w:spacing w:after="0"/>
              <w:rPr>
                <w:sz w:val="3"/>
                <w:szCs w:val="3"/>
                <w:color w:val="auto"/>
              </w:rPr>
            </w:pPr>
          </w:p>
        </w:tc>
        <w:tc>
          <w:tcPr>
            <w:tcW w:w="3800" w:type="dxa"/>
            <w:vAlign w:val="bottom"/>
            <w:tcBorders>
              <w:bottom w:val="single" w:sz="8" w:color="BFA071"/>
            </w:tcBorders>
          </w:tcPr>
          <w:p>
            <w:pPr>
              <w:spacing w:after="0"/>
              <w:rPr>
                <w:sz w:val="3"/>
                <w:szCs w:val="3"/>
                <w:color w:val="auto"/>
              </w:rPr>
            </w:pPr>
          </w:p>
        </w:tc>
        <w:tc>
          <w:tcPr>
            <w:tcW w:w="1380" w:type="dxa"/>
            <w:vAlign w:val="bottom"/>
            <w:tcBorders>
              <w:bottom w:val="single" w:sz="8" w:color="BFA071"/>
            </w:tcBorders>
          </w:tcPr>
          <w:p>
            <w:pPr>
              <w:spacing w:after="0"/>
              <w:rPr>
                <w:sz w:val="3"/>
                <w:szCs w:val="3"/>
                <w:color w:val="auto"/>
              </w:rPr>
            </w:pPr>
          </w:p>
        </w:tc>
        <w:tc>
          <w:tcPr>
            <w:tcW w:w="820" w:type="dxa"/>
            <w:vAlign w:val="bottom"/>
            <w:tcBorders>
              <w:bottom w:val="single" w:sz="8" w:color="BFA071"/>
            </w:tcBorders>
          </w:tcPr>
          <w:p>
            <w:pPr>
              <w:spacing w:after="0"/>
              <w:rPr>
                <w:sz w:val="3"/>
                <w:szCs w:val="3"/>
                <w:color w:val="auto"/>
              </w:rPr>
            </w:pPr>
          </w:p>
        </w:tc>
      </w:tr>
      <w:tr>
        <w:trPr>
          <w:trHeight w:val="248"/>
        </w:trPr>
        <w:tc>
          <w:tcPr>
            <w:tcW w:w="3180" w:type="dxa"/>
            <w:vAlign w:val="bottom"/>
          </w:tcPr>
          <w:p>
            <w:pPr>
              <w:ind w:left="140"/>
              <w:spacing w:after="0"/>
              <w:rPr>
                <w:sz w:val="20"/>
                <w:szCs w:val="20"/>
                <w:color w:val="auto"/>
              </w:rPr>
            </w:pPr>
            <w:r>
              <w:rPr>
                <w:rFonts w:ascii="Arial" w:cs="Arial" w:eastAsia="Arial" w:hAnsi="Arial"/>
                <w:sz w:val="14"/>
                <w:szCs w:val="14"/>
                <w:b w:val="1"/>
                <w:bCs w:val="1"/>
                <w:color w:val="001641"/>
              </w:rPr>
              <w:t>Linda Findley</w:t>
            </w:r>
          </w:p>
        </w:tc>
        <w:tc>
          <w:tcPr>
            <w:tcW w:w="3800" w:type="dxa"/>
            <w:vAlign w:val="bottom"/>
          </w:tcPr>
          <w:p>
            <w:pPr>
              <w:jc w:val="right"/>
              <w:ind w:right="408"/>
              <w:spacing w:after="0"/>
              <w:rPr>
                <w:sz w:val="20"/>
                <w:szCs w:val="20"/>
                <w:color w:val="auto"/>
              </w:rPr>
            </w:pPr>
            <w:r>
              <w:rPr>
                <w:rFonts w:ascii="Arial" w:cs="Arial" w:eastAsia="Arial" w:hAnsi="Arial"/>
                <w:sz w:val="14"/>
                <w:szCs w:val="14"/>
                <w:color w:val="001641"/>
              </w:rPr>
              <w:t>170,000</w:t>
            </w:r>
          </w:p>
        </w:tc>
        <w:tc>
          <w:tcPr>
            <w:tcW w:w="1380" w:type="dxa"/>
            <w:vAlign w:val="bottom"/>
          </w:tcPr>
          <w:p>
            <w:pPr>
              <w:jc w:val="right"/>
              <w:ind w:right="108"/>
              <w:spacing w:after="0"/>
              <w:rPr>
                <w:sz w:val="20"/>
                <w:szCs w:val="20"/>
                <w:color w:val="auto"/>
              </w:rPr>
            </w:pPr>
            <w:r>
              <w:rPr>
                <w:rFonts w:ascii="Arial" w:cs="Arial" w:eastAsia="Arial" w:hAnsi="Arial"/>
                <w:sz w:val="14"/>
                <w:szCs w:val="14"/>
                <w:color w:val="001641"/>
              </w:rPr>
              <w:t>175,116</w:t>
            </w:r>
          </w:p>
        </w:tc>
        <w:tc>
          <w:tcPr>
            <w:tcW w:w="820" w:type="dxa"/>
            <w:vAlign w:val="bottom"/>
          </w:tcPr>
          <w:p>
            <w:pPr>
              <w:jc w:val="right"/>
              <w:ind w:right="68"/>
              <w:spacing w:after="0"/>
              <w:rPr>
                <w:sz w:val="20"/>
                <w:szCs w:val="20"/>
                <w:color w:val="auto"/>
              </w:rPr>
            </w:pPr>
            <w:r>
              <w:rPr>
                <w:rFonts w:ascii="Arial" w:cs="Arial" w:eastAsia="Arial" w:hAnsi="Arial"/>
                <w:sz w:val="14"/>
                <w:szCs w:val="14"/>
                <w:color w:val="001641"/>
              </w:rPr>
              <w:t>345,116</w:t>
            </w:r>
          </w:p>
        </w:tc>
      </w:tr>
      <w:tr>
        <w:trPr>
          <w:trHeight w:val="43"/>
        </w:trPr>
        <w:tc>
          <w:tcPr>
            <w:tcW w:w="3180" w:type="dxa"/>
            <w:vAlign w:val="bottom"/>
            <w:tcBorders>
              <w:bottom w:val="single" w:sz="8" w:color="BFA071"/>
            </w:tcBorders>
          </w:tcPr>
          <w:p>
            <w:pPr>
              <w:spacing w:after="0"/>
              <w:rPr>
                <w:sz w:val="3"/>
                <w:szCs w:val="3"/>
                <w:color w:val="auto"/>
              </w:rPr>
            </w:pPr>
          </w:p>
        </w:tc>
        <w:tc>
          <w:tcPr>
            <w:tcW w:w="3800" w:type="dxa"/>
            <w:vAlign w:val="bottom"/>
            <w:tcBorders>
              <w:bottom w:val="single" w:sz="8" w:color="BFA071"/>
            </w:tcBorders>
          </w:tcPr>
          <w:p>
            <w:pPr>
              <w:spacing w:after="0"/>
              <w:rPr>
                <w:sz w:val="3"/>
                <w:szCs w:val="3"/>
                <w:color w:val="auto"/>
              </w:rPr>
            </w:pPr>
          </w:p>
        </w:tc>
        <w:tc>
          <w:tcPr>
            <w:tcW w:w="1380" w:type="dxa"/>
            <w:vAlign w:val="bottom"/>
            <w:tcBorders>
              <w:bottom w:val="single" w:sz="8" w:color="BFA071"/>
            </w:tcBorders>
          </w:tcPr>
          <w:p>
            <w:pPr>
              <w:spacing w:after="0"/>
              <w:rPr>
                <w:sz w:val="3"/>
                <w:szCs w:val="3"/>
                <w:color w:val="auto"/>
              </w:rPr>
            </w:pPr>
          </w:p>
        </w:tc>
        <w:tc>
          <w:tcPr>
            <w:tcW w:w="820" w:type="dxa"/>
            <w:vAlign w:val="bottom"/>
            <w:tcBorders>
              <w:bottom w:val="single" w:sz="8" w:color="BFA071"/>
            </w:tcBorders>
          </w:tcPr>
          <w:p>
            <w:pPr>
              <w:spacing w:after="0"/>
              <w:rPr>
                <w:sz w:val="3"/>
                <w:szCs w:val="3"/>
                <w:color w:val="auto"/>
              </w:rPr>
            </w:pPr>
          </w:p>
        </w:tc>
      </w:tr>
      <w:tr>
        <w:trPr>
          <w:trHeight w:val="248"/>
        </w:trPr>
        <w:tc>
          <w:tcPr>
            <w:tcW w:w="3180" w:type="dxa"/>
            <w:vAlign w:val="bottom"/>
          </w:tcPr>
          <w:p>
            <w:pPr>
              <w:ind w:left="140"/>
              <w:spacing w:after="0"/>
              <w:rPr>
                <w:sz w:val="20"/>
                <w:szCs w:val="20"/>
                <w:color w:val="auto"/>
              </w:rPr>
            </w:pPr>
            <w:r>
              <w:rPr>
                <w:rFonts w:ascii="Arial" w:cs="Arial" w:eastAsia="Arial" w:hAnsi="Arial"/>
                <w:sz w:val="14"/>
                <w:szCs w:val="14"/>
                <w:b w:val="1"/>
                <w:bCs w:val="1"/>
                <w:color w:val="001641"/>
              </w:rPr>
              <w:t>Michael George</w:t>
            </w:r>
          </w:p>
        </w:tc>
        <w:tc>
          <w:tcPr>
            <w:tcW w:w="3800" w:type="dxa"/>
            <w:vAlign w:val="bottom"/>
          </w:tcPr>
          <w:p>
            <w:pPr>
              <w:jc w:val="right"/>
              <w:ind w:right="408"/>
              <w:spacing w:after="0"/>
              <w:rPr>
                <w:sz w:val="20"/>
                <w:szCs w:val="20"/>
                <w:color w:val="auto"/>
              </w:rPr>
            </w:pPr>
            <w:r>
              <w:rPr>
                <w:rFonts w:ascii="Arial" w:cs="Arial" w:eastAsia="Arial" w:hAnsi="Arial"/>
                <w:sz w:val="14"/>
                <w:szCs w:val="14"/>
                <w:color w:val="001641"/>
              </w:rPr>
              <w:t>185,000</w:t>
            </w:r>
          </w:p>
        </w:tc>
        <w:tc>
          <w:tcPr>
            <w:tcW w:w="1380" w:type="dxa"/>
            <w:vAlign w:val="bottom"/>
          </w:tcPr>
          <w:p>
            <w:pPr>
              <w:jc w:val="right"/>
              <w:ind w:right="108"/>
              <w:spacing w:after="0"/>
              <w:rPr>
                <w:sz w:val="20"/>
                <w:szCs w:val="20"/>
                <w:color w:val="auto"/>
              </w:rPr>
            </w:pPr>
            <w:r>
              <w:rPr>
                <w:rFonts w:ascii="Arial" w:cs="Arial" w:eastAsia="Arial" w:hAnsi="Arial"/>
                <w:sz w:val="14"/>
                <w:szCs w:val="14"/>
                <w:color w:val="001641"/>
              </w:rPr>
              <w:t>175,116</w:t>
            </w:r>
          </w:p>
        </w:tc>
        <w:tc>
          <w:tcPr>
            <w:tcW w:w="820" w:type="dxa"/>
            <w:vAlign w:val="bottom"/>
          </w:tcPr>
          <w:p>
            <w:pPr>
              <w:jc w:val="right"/>
              <w:ind w:right="68"/>
              <w:spacing w:after="0"/>
              <w:rPr>
                <w:sz w:val="20"/>
                <w:szCs w:val="20"/>
                <w:color w:val="auto"/>
              </w:rPr>
            </w:pPr>
            <w:r>
              <w:rPr>
                <w:rFonts w:ascii="Arial" w:cs="Arial" w:eastAsia="Arial" w:hAnsi="Arial"/>
                <w:sz w:val="14"/>
                <w:szCs w:val="14"/>
                <w:color w:val="001641"/>
              </w:rPr>
              <w:t>360,116</w:t>
            </w:r>
          </w:p>
        </w:tc>
      </w:tr>
      <w:tr>
        <w:trPr>
          <w:trHeight w:val="43"/>
        </w:trPr>
        <w:tc>
          <w:tcPr>
            <w:tcW w:w="3180" w:type="dxa"/>
            <w:vAlign w:val="bottom"/>
            <w:tcBorders>
              <w:bottom w:val="single" w:sz="8" w:color="BFA071"/>
            </w:tcBorders>
          </w:tcPr>
          <w:p>
            <w:pPr>
              <w:spacing w:after="0"/>
              <w:rPr>
                <w:sz w:val="3"/>
                <w:szCs w:val="3"/>
                <w:color w:val="auto"/>
              </w:rPr>
            </w:pPr>
          </w:p>
        </w:tc>
        <w:tc>
          <w:tcPr>
            <w:tcW w:w="3800" w:type="dxa"/>
            <w:vAlign w:val="bottom"/>
            <w:tcBorders>
              <w:bottom w:val="single" w:sz="8" w:color="BFA071"/>
            </w:tcBorders>
          </w:tcPr>
          <w:p>
            <w:pPr>
              <w:spacing w:after="0"/>
              <w:rPr>
                <w:sz w:val="3"/>
                <w:szCs w:val="3"/>
                <w:color w:val="auto"/>
              </w:rPr>
            </w:pPr>
          </w:p>
        </w:tc>
        <w:tc>
          <w:tcPr>
            <w:tcW w:w="1380" w:type="dxa"/>
            <w:vAlign w:val="bottom"/>
            <w:tcBorders>
              <w:bottom w:val="single" w:sz="8" w:color="BFA071"/>
            </w:tcBorders>
          </w:tcPr>
          <w:p>
            <w:pPr>
              <w:spacing w:after="0"/>
              <w:rPr>
                <w:sz w:val="3"/>
                <w:szCs w:val="3"/>
                <w:color w:val="auto"/>
              </w:rPr>
            </w:pPr>
          </w:p>
        </w:tc>
        <w:tc>
          <w:tcPr>
            <w:tcW w:w="820" w:type="dxa"/>
            <w:vAlign w:val="bottom"/>
            <w:tcBorders>
              <w:bottom w:val="single" w:sz="8" w:color="BFA071"/>
            </w:tcBorders>
          </w:tcPr>
          <w:p>
            <w:pPr>
              <w:spacing w:after="0"/>
              <w:rPr>
                <w:sz w:val="3"/>
                <w:szCs w:val="3"/>
                <w:color w:val="auto"/>
              </w:rPr>
            </w:pPr>
          </w:p>
        </w:tc>
      </w:tr>
      <w:tr>
        <w:trPr>
          <w:trHeight w:val="248"/>
        </w:trPr>
        <w:tc>
          <w:tcPr>
            <w:tcW w:w="3180" w:type="dxa"/>
            <w:vAlign w:val="bottom"/>
          </w:tcPr>
          <w:p>
            <w:pPr>
              <w:ind w:left="140"/>
              <w:spacing w:after="0"/>
              <w:rPr>
                <w:sz w:val="20"/>
                <w:szCs w:val="20"/>
                <w:color w:val="auto"/>
              </w:rPr>
            </w:pPr>
            <w:r>
              <w:rPr>
                <w:rFonts w:ascii="Arial" w:cs="Arial" w:eastAsia="Arial" w:hAnsi="Arial"/>
                <w:sz w:val="14"/>
                <w:szCs w:val="14"/>
                <w:b w:val="1"/>
                <w:bCs w:val="1"/>
                <w:color w:val="001641"/>
              </w:rPr>
              <w:t>Valerie Jarrett</w:t>
            </w:r>
          </w:p>
        </w:tc>
        <w:tc>
          <w:tcPr>
            <w:tcW w:w="3800" w:type="dxa"/>
            <w:vAlign w:val="bottom"/>
          </w:tcPr>
          <w:p>
            <w:pPr>
              <w:jc w:val="right"/>
              <w:ind w:right="408"/>
              <w:spacing w:after="0"/>
              <w:rPr>
                <w:sz w:val="20"/>
                <w:szCs w:val="20"/>
                <w:color w:val="auto"/>
              </w:rPr>
            </w:pPr>
            <w:r>
              <w:rPr>
                <w:rFonts w:ascii="Arial" w:cs="Arial" w:eastAsia="Arial" w:hAnsi="Arial"/>
                <w:sz w:val="14"/>
                <w:szCs w:val="14"/>
                <w:color w:val="001641"/>
              </w:rPr>
              <w:t>162,500</w:t>
            </w:r>
          </w:p>
        </w:tc>
        <w:tc>
          <w:tcPr>
            <w:tcW w:w="1380" w:type="dxa"/>
            <w:vAlign w:val="bottom"/>
          </w:tcPr>
          <w:p>
            <w:pPr>
              <w:jc w:val="right"/>
              <w:ind w:right="108"/>
              <w:spacing w:after="0"/>
              <w:rPr>
                <w:sz w:val="20"/>
                <w:szCs w:val="20"/>
                <w:color w:val="auto"/>
              </w:rPr>
            </w:pPr>
            <w:r>
              <w:rPr>
                <w:rFonts w:ascii="Arial" w:cs="Arial" w:eastAsia="Arial" w:hAnsi="Arial"/>
                <w:sz w:val="14"/>
                <w:szCs w:val="14"/>
                <w:color w:val="001641"/>
              </w:rPr>
              <w:t>175,116</w:t>
            </w:r>
          </w:p>
        </w:tc>
        <w:tc>
          <w:tcPr>
            <w:tcW w:w="820" w:type="dxa"/>
            <w:vAlign w:val="bottom"/>
          </w:tcPr>
          <w:p>
            <w:pPr>
              <w:jc w:val="right"/>
              <w:ind w:right="48"/>
              <w:spacing w:after="0"/>
              <w:rPr>
                <w:sz w:val="20"/>
                <w:szCs w:val="20"/>
                <w:color w:val="auto"/>
              </w:rPr>
            </w:pPr>
            <w:r>
              <w:rPr>
                <w:rFonts w:ascii="Arial" w:cs="Arial" w:eastAsia="Arial" w:hAnsi="Arial"/>
                <w:sz w:val="14"/>
                <w:szCs w:val="14"/>
                <w:color w:val="001641"/>
              </w:rPr>
              <w:t>337,616</w:t>
            </w:r>
          </w:p>
        </w:tc>
      </w:tr>
      <w:tr>
        <w:trPr>
          <w:trHeight w:val="43"/>
        </w:trPr>
        <w:tc>
          <w:tcPr>
            <w:tcW w:w="3180" w:type="dxa"/>
            <w:vAlign w:val="bottom"/>
            <w:tcBorders>
              <w:bottom w:val="single" w:sz="8" w:color="BFA071"/>
            </w:tcBorders>
          </w:tcPr>
          <w:p>
            <w:pPr>
              <w:spacing w:after="0"/>
              <w:rPr>
                <w:sz w:val="3"/>
                <w:szCs w:val="3"/>
                <w:color w:val="auto"/>
              </w:rPr>
            </w:pPr>
          </w:p>
        </w:tc>
        <w:tc>
          <w:tcPr>
            <w:tcW w:w="3800" w:type="dxa"/>
            <w:vAlign w:val="bottom"/>
            <w:tcBorders>
              <w:bottom w:val="single" w:sz="8" w:color="BFA071"/>
            </w:tcBorders>
          </w:tcPr>
          <w:p>
            <w:pPr>
              <w:spacing w:after="0"/>
              <w:rPr>
                <w:sz w:val="3"/>
                <w:szCs w:val="3"/>
                <w:color w:val="auto"/>
              </w:rPr>
            </w:pPr>
          </w:p>
        </w:tc>
        <w:tc>
          <w:tcPr>
            <w:tcW w:w="1380" w:type="dxa"/>
            <w:vAlign w:val="bottom"/>
            <w:tcBorders>
              <w:bottom w:val="single" w:sz="8" w:color="BFA071"/>
            </w:tcBorders>
          </w:tcPr>
          <w:p>
            <w:pPr>
              <w:spacing w:after="0"/>
              <w:rPr>
                <w:sz w:val="3"/>
                <w:szCs w:val="3"/>
                <w:color w:val="auto"/>
              </w:rPr>
            </w:pPr>
          </w:p>
        </w:tc>
        <w:tc>
          <w:tcPr>
            <w:tcW w:w="820" w:type="dxa"/>
            <w:vAlign w:val="bottom"/>
            <w:tcBorders>
              <w:bottom w:val="single" w:sz="8" w:color="BFA071"/>
            </w:tcBorders>
          </w:tcPr>
          <w:p>
            <w:pPr>
              <w:spacing w:after="0"/>
              <w:rPr>
                <w:sz w:val="3"/>
                <w:szCs w:val="3"/>
                <w:color w:val="auto"/>
              </w:rPr>
            </w:pPr>
          </w:p>
        </w:tc>
      </w:tr>
      <w:tr>
        <w:trPr>
          <w:trHeight w:val="248"/>
        </w:trPr>
        <w:tc>
          <w:tcPr>
            <w:tcW w:w="3180" w:type="dxa"/>
            <w:vAlign w:val="bottom"/>
          </w:tcPr>
          <w:p>
            <w:pPr>
              <w:ind w:left="140"/>
              <w:spacing w:after="0"/>
              <w:rPr>
                <w:sz w:val="20"/>
                <w:szCs w:val="20"/>
                <w:color w:val="auto"/>
              </w:rPr>
            </w:pPr>
            <w:r>
              <w:rPr>
                <w:rFonts w:ascii="Arial" w:cs="Arial" w:eastAsia="Arial" w:hAnsi="Arial"/>
                <w:sz w:val="14"/>
                <w:szCs w:val="14"/>
                <w:b w:val="1"/>
                <w:bCs w:val="1"/>
                <w:color w:val="001641"/>
              </w:rPr>
              <w:t>Hubert Joly</w:t>
            </w:r>
          </w:p>
        </w:tc>
        <w:tc>
          <w:tcPr>
            <w:tcW w:w="3800" w:type="dxa"/>
            <w:vAlign w:val="bottom"/>
          </w:tcPr>
          <w:p>
            <w:pPr>
              <w:jc w:val="right"/>
              <w:ind w:right="408"/>
              <w:spacing w:after="0"/>
              <w:rPr>
                <w:sz w:val="20"/>
                <w:szCs w:val="20"/>
                <w:color w:val="auto"/>
              </w:rPr>
            </w:pPr>
            <w:r>
              <w:rPr>
                <w:rFonts w:ascii="Arial" w:cs="Arial" w:eastAsia="Arial" w:hAnsi="Arial"/>
                <w:sz w:val="14"/>
                <w:szCs w:val="14"/>
                <w:color w:val="001641"/>
              </w:rPr>
              <w:t>87,500</w:t>
            </w:r>
          </w:p>
        </w:tc>
        <w:tc>
          <w:tcPr>
            <w:tcW w:w="1380" w:type="dxa"/>
            <w:vAlign w:val="bottom"/>
          </w:tcPr>
          <w:p>
            <w:pPr>
              <w:jc w:val="right"/>
              <w:ind w:right="108"/>
              <w:spacing w:after="0"/>
              <w:rPr>
                <w:sz w:val="20"/>
                <w:szCs w:val="20"/>
                <w:color w:val="auto"/>
              </w:rPr>
            </w:pPr>
            <w:r>
              <w:rPr>
                <w:rFonts w:ascii="Arial" w:cs="Arial" w:eastAsia="Arial" w:hAnsi="Arial"/>
                <w:sz w:val="14"/>
                <w:szCs w:val="14"/>
                <w:color w:val="001641"/>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001641"/>
              </w:rPr>
              <w:t>87,500</w:t>
            </w:r>
          </w:p>
        </w:tc>
      </w:tr>
      <w:tr>
        <w:trPr>
          <w:trHeight w:val="43"/>
        </w:trPr>
        <w:tc>
          <w:tcPr>
            <w:tcW w:w="3180" w:type="dxa"/>
            <w:vAlign w:val="bottom"/>
            <w:tcBorders>
              <w:bottom w:val="single" w:sz="8" w:color="BFA071"/>
            </w:tcBorders>
          </w:tcPr>
          <w:p>
            <w:pPr>
              <w:spacing w:after="0"/>
              <w:rPr>
                <w:sz w:val="3"/>
                <w:szCs w:val="3"/>
                <w:color w:val="auto"/>
              </w:rPr>
            </w:pPr>
          </w:p>
        </w:tc>
        <w:tc>
          <w:tcPr>
            <w:tcW w:w="3800" w:type="dxa"/>
            <w:vAlign w:val="bottom"/>
            <w:tcBorders>
              <w:bottom w:val="single" w:sz="8" w:color="BFA071"/>
            </w:tcBorders>
          </w:tcPr>
          <w:p>
            <w:pPr>
              <w:spacing w:after="0"/>
              <w:rPr>
                <w:sz w:val="3"/>
                <w:szCs w:val="3"/>
                <w:color w:val="auto"/>
              </w:rPr>
            </w:pPr>
          </w:p>
        </w:tc>
        <w:tc>
          <w:tcPr>
            <w:tcW w:w="1380" w:type="dxa"/>
            <w:vAlign w:val="bottom"/>
            <w:tcBorders>
              <w:bottom w:val="single" w:sz="8" w:color="BFA071"/>
            </w:tcBorders>
          </w:tcPr>
          <w:p>
            <w:pPr>
              <w:spacing w:after="0"/>
              <w:rPr>
                <w:sz w:val="3"/>
                <w:szCs w:val="3"/>
                <w:color w:val="auto"/>
              </w:rPr>
            </w:pPr>
          </w:p>
        </w:tc>
        <w:tc>
          <w:tcPr>
            <w:tcW w:w="820" w:type="dxa"/>
            <w:vAlign w:val="bottom"/>
            <w:tcBorders>
              <w:bottom w:val="single" w:sz="8" w:color="BFA071"/>
            </w:tcBorders>
          </w:tcPr>
          <w:p>
            <w:pPr>
              <w:spacing w:after="0"/>
              <w:rPr>
                <w:sz w:val="3"/>
                <w:szCs w:val="3"/>
                <w:color w:val="auto"/>
              </w:rPr>
            </w:pPr>
          </w:p>
        </w:tc>
      </w:tr>
      <w:tr>
        <w:trPr>
          <w:trHeight w:val="248"/>
        </w:trPr>
        <w:tc>
          <w:tcPr>
            <w:tcW w:w="3180" w:type="dxa"/>
            <w:vAlign w:val="bottom"/>
          </w:tcPr>
          <w:p>
            <w:pPr>
              <w:ind w:left="140"/>
              <w:spacing w:after="0"/>
              <w:rPr>
                <w:sz w:val="20"/>
                <w:szCs w:val="20"/>
                <w:color w:val="auto"/>
              </w:rPr>
            </w:pPr>
            <w:r>
              <w:rPr>
                <w:rFonts w:ascii="Arial" w:cs="Arial" w:eastAsia="Arial" w:hAnsi="Arial"/>
                <w:sz w:val="14"/>
                <w:szCs w:val="14"/>
                <w:b w:val="1"/>
                <w:bCs w:val="1"/>
                <w:color w:val="001641"/>
              </w:rPr>
              <w:t>Darren Walker</w:t>
            </w:r>
          </w:p>
        </w:tc>
        <w:tc>
          <w:tcPr>
            <w:tcW w:w="3800" w:type="dxa"/>
            <w:vAlign w:val="bottom"/>
          </w:tcPr>
          <w:p>
            <w:pPr>
              <w:jc w:val="right"/>
              <w:ind w:right="408"/>
              <w:spacing w:after="0"/>
              <w:rPr>
                <w:sz w:val="20"/>
                <w:szCs w:val="20"/>
                <w:color w:val="auto"/>
              </w:rPr>
            </w:pPr>
            <w:r>
              <w:rPr>
                <w:rFonts w:ascii="Arial" w:cs="Arial" w:eastAsia="Arial" w:hAnsi="Arial"/>
                <w:sz w:val="14"/>
                <w:szCs w:val="14"/>
                <w:color w:val="001641"/>
              </w:rPr>
              <w:t>132,500</w:t>
            </w:r>
          </w:p>
        </w:tc>
        <w:tc>
          <w:tcPr>
            <w:tcW w:w="1380" w:type="dxa"/>
            <w:vAlign w:val="bottom"/>
          </w:tcPr>
          <w:p>
            <w:pPr>
              <w:jc w:val="right"/>
              <w:ind w:right="108"/>
              <w:spacing w:after="0"/>
              <w:rPr>
                <w:sz w:val="20"/>
                <w:szCs w:val="20"/>
                <w:color w:val="auto"/>
              </w:rPr>
            </w:pPr>
            <w:r>
              <w:rPr>
                <w:rFonts w:ascii="Arial" w:cs="Arial" w:eastAsia="Arial" w:hAnsi="Arial"/>
                <w:sz w:val="14"/>
                <w:szCs w:val="14"/>
                <w:color w:val="001641"/>
              </w:rPr>
              <w:t>175,116</w:t>
            </w:r>
          </w:p>
        </w:tc>
        <w:tc>
          <w:tcPr>
            <w:tcW w:w="820" w:type="dxa"/>
            <w:vAlign w:val="bottom"/>
          </w:tcPr>
          <w:p>
            <w:pPr>
              <w:jc w:val="right"/>
              <w:ind w:right="48"/>
              <w:spacing w:after="0"/>
              <w:rPr>
                <w:sz w:val="20"/>
                <w:szCs w:val="20"/>
                <w:color w:val="auto"/>
              </w:rPr>
            </w:pPr>
            <w:r>
              <w:rPr>
                <w:rFonts w:ascii="Arial" w:cs="Arial" w:eastAsia="Arial" w:hAnsi="Arial"/>
                <w:sz w:val="14"/>
                <w:szCs w:val="14"/>
                <w:color w:val="001641"/>
              </w:rPr>
              <w:t>307,616</w:t>
            </w:r>
          </w:p>
        </w:tc>
      </w:tr>
      <w:tr>
        <w:trPr>
          <w:trHeight w:val="43"/>
        </w:trPr>
        <w:tc>
          <w:tcPr>
            <w:tcW w:w="3180" w:type="dxa"/>
            <w:vAlign w:val="bottom"/>
            <w:tcBorders>
              <w:bottom w:val="single" w:sz="8" w:color="BFA071"/>
            </w:tcBorders>
          </w:tcPr>
          <w:p>
            <w:pPr>
              <w:spacing w:after="0"/>
              <w:rPr>
                <w:sz w:val="3"/>
                <w:szCs w:val="3"/>
                <w:color w:val="auto"/>
              </w:rPr>
            </w:pPr>
          </w:p>
        </w:tc>
        <w:tc>
          <w:tcPr>
            <w:tcW w:w="3800" w:type="dxa"/>
            <w:vAlign w:val="bottom"/>
            <w:tcBorders>
              <w:bottom w:val="single" w:sz="8" w:color="BFA071"/>
            </w:tcBorders>
          </w:tcPr>
          <w:p>
            <w:pPr>
              <w:spacing w:after="0"/>
              <w:rPr>
                <w:sz w:val="3"/>
                <w:szCs w:val="3"/>
                <w:color w:val="auto"/>
              </w:rPr>
            </w:pPr>
          </w:p>
        </w:tc>
        <w:tc>
          <w:tcPr>
            <w:tcW w:w="1380" w:type="dxa"/>
            <w:vAlign w:val="bottom"/>
            <w:tcBorders>
              <w:bottom w:val="single" w:sz="8" w:color="BFA071"/>
            </w:tcBorders>
          </w:tcPr>
          <w:p>
            <w:pPr>
              <w:spacing w:after="0"/>
              <w:rPr>
                <w:sz w:val="3"/>
                <w:szCs w:val="3"/>
                <w:color w:val="auto"/>
              </w:rPr>
            </w:pPr>
          </w:p>
        </w:tc>
        <w:tc>
          <w:tcPr>
            <w:tcW w:w="820" w:type="dxa"/>
            <w:vAlign w:val="bottom"/>
            <w:tcBorders>
              <w:bottom w:val="single" w:sz="8" w:color="BFA071"/>
            </w:tcBorders>
          </w:tcPr>
          <w:p>
            <w:pPr>
              <w:spacing w:after="0"/>
              <w:rPr>
                <w:sz w:val="3"/>
                <w:szCs w:val="3"/>
                <w:color w:val="auto"/>
              </w:rPr>
            </w:pPr>
          </w:p>
        </w:tc>
      </w:tr>
      <w:tr>
        <w:trPr>
          <w:trHeight w:val="249"/>
        </w:trPr>
        <w:tc>
          <w:tcPr>
            <w:tcW w:w="3180" w:type="dxa"/>
            <w:vAlign w:val="bottom"/>
            <w:tcBorders>
              <w:bottom w:val="single" w:sz="8" w:color="001641"/>
            </w:tcBorders>
          </w:tcPr>
          <w:p>
            <w:pPr>
              <w:ind w:left="140"/>
              <w:spacing w:after="0"/>
              <w:rPr>
                <w:sz w:val="20"/>
                <w:szCs w:val="20"/>
                <w:color w:val="auto"/>
              </w:rPr>
            </w:pPr>
            <w:r>
              <w:rPr>
                <w:rFonts w:ascii="Arial" w:cs="Arial" w:eastAsia="Arial" w:hAnsi="Arial"/>
                <w:sz w:val="14"/>
                <w:szCs w:val="14"/>
                <w:b w:val="1"/>
                <w:bCs w:val="1"/>
                <w:color w:val="001641"/>
              </w:rPr>
              <w:t>Wei Zhang</w:t>
            </w:r>
          </w:p>
        </w:tc>
        <w:tc>
          <w:tcPr>
            <w:tcW w:w="3800" w:type="dxa"/>
            <w:vAlign w:val="bottom"/>
            <w:tcBorders>
              <w:bottom w:val="single" w:sz="8" w:color="001641"/>
            </w:tcBorders>
          </w:tcPr>
          <w:p>
            <w:pPr>
              <w:jc w:val="right"/>
              <w:ind w:right="408"/>
              <w:spacing w:after="0"/>
              <w:rPr>
                <w:sz w:val="20"/>
                <w:szCs w:val="20"/>
                <w:color w:val="auto"/>
              </w:rPr>
            </w:pPr>
            <w:r>
              <w:rPr>
                <w:rFonts w:ascii="Arial" w:cs="Arial" w:eastAsia="Arial" w:hAnsi="Arial"/>
                <w:sz w:val="14"/>
                <w:szCs w:val="14"/>
                <w:color w:val="001641"/>
              </w:rPr>
              <w:t>132,500</w:t>
            </w:r>
          </w:p>
        </w:tc>
        <w:tc>
          <w:tcPr>
            <w:tcW w:w="1380" w:type="dxa"/>
            <w:vAlign w:val="bottom"/>
            <w:tcBorders>
              <w:bottom w:val="single" w:sz="8" w:color="001641"/>
            </w:tcBorders>
          </w:tcPr>
          <w:p>
            <w:pPr>
              <w:jc w:val="right"/>
              <w:ind w:right="108"/>
              <w:spacing w:after="0"/>
              <w:rPr>
                <w:sz w:val="20"/>
                <w:szCs w:val="20"/>
                <w:color w:val="auto"/>
              </w:rPr>
            </w:pPr>
            <w:r>
              <w:rPr>
                <w:rFonts w:ascii="Arial" w:cs="Arial" w:eastAsia="Arial" w:hAnsi="Arial"/>
                <w:sz w:val="14"/>
                <w:szCs w:val="14"/>
                <w:color w:val="001641"/>
              </w:rPr>
              <w:t>175,116</w:t>
            </w:r>
          </w:p>
        </w:tc>
        <w:tc>
          <w:tcPr>
            <w:tcW w:w="820" w:type="dxa"/>
            <w:vAlign w:val="bottom"/>
            <w:tcBorders>
              <w:bottom w:val="single" w:sz="8" w:color="001641"/>
            </w:tcBorders>
          </w:tcPr>
          <w:p>
            <w:pPr>
              <w:jc w:val="right"/>
              <w:ind w:right="48"/>
              <w:spacing w:after="0"/>
              <w:rPr>
                <w:sz w:val="20"/>
                <w:szCs w:val="20"/>
                <w:color w:val="auto"/>
              </w:rPr>
            </w:pPr>
            <w:r>
              <w:rPr>
                <w:rFonts w:ascii="Arial" w:cs="Arial" w:eastAsia="Arial" w:hAnsi="Arial"/>
                <w:sz w:val="14"/>
                <w:szCs w:val="14"/>
                <w:color w:val="001641"/>
              </w:rPr>
              <w:t>307,616</w:t>
            </w:r>
          </w:p>
        </w:tc>
      </w:tr>
    </w:tbl>
    <w:p>
      <w:pPr>
        <w:spacing w:after="0" w:line="153" w:lineRule="exact"/>
        <w:rPr>
          <w:sz w:val="20"/>
          <w:szCs w:val="20"/>
          <w:color w:val="auto"/>
        </w:rPr>
      </w:pPr>
    </w:p>
    <w:p>
      <w:pPr>
        <w:ind w:left="246" w:right="140" w:hanging="246"/>
        <w:spacing w:after="0" w:line="281" w:lineRule="auto"/>
        <w:tabs>
          <w:tab w:leader="none" w:pos="246" w:val="left"/>
        </w:tabs>
        <w:numPr>
          <w:ilvl w:val="0"/>
          <w:numId w:val="42"/>
        </w:numPr>
        <w:rPr>
          <w:rFonts w:ascii="Arial" w:cs="Arial" w:eastAsia="Arial" w:hAnsi="Arial"/>
          <w:sz w:val="14"/>
          <w:szCs w:val="14"/>
          <w:color w:val="4C4C4C"/>
        </w:rPr>
      </w:pPr>
      <w:r>
        <w:rPr>
          <w:rFonts w:ascii="Arial" w:cs="Arial" w:eastAsia="Arial" w:hAnsi="Arial"/>
          <w:sz w:val="14"/>
          <w:szCs w:val="14"/>
          <w:color w:val="4C4C4C"/>
        </w:rPr>
        <w:t>Reflects the amount of fees paid in arrears for Fiscal 2026 per the retainers set forth in the table above based on timing of appointments to Committees or as Chairs thereof, as applicable.</w:t>
      </w:r>
    </w:p>
    <w:p>
      <w:pPr>
        <w:spacing w:after="0" w:line="1" w:lineRule="exact"/>
        <w:rPr>
          <w:rFonts w:ascii="Arial" w:cs="Arial" w:eastAsia="Arial" w:hAnsi="Arial"/>
          <w:sz w:val="14"/>
          <w:szCs w:val="14"/>
          <w:color w:val="4C4C4C"/>
        </w:rPr>
      </w:pPr>
    </w:p>
    <w:p>
      <w:pPr>
        <w:ind w:left="246" w:right="80" w:hanging="246"/>
        <w:spacing w:after="0" w:line="263" w:lineRule="auto"/>
        <w:tabs>
          <w:tab w:leader="none" w:pos="246" w:val="left"/>
        </w:tabs>
        <w:numPr>
          <w:ilvl w:val="0"/>
          <w:numId w:val="42"/>
        </w:numPr>
        <w:rPr>
          <w:rFonts w:ascii="Arial" w:cs="Arial" w:eastAsia="Arial" w:hAnsi="Arial"/>
          <w:sz w:val="14"/>
          <w:szCs w:val="14"/>
          <w:color w:val="4C4C4C"/>
        </w:rPr>
      </w:pPr>
      <w:r>
        <w:rPr>
          <w:rFonts w:ascii="Arial" w:cs="Arial" w:eastAsia="Arial" w:hAnsi="Arial"/>
          <w:sz w:val="14"/>
          <w:szCs w:val="14"/>
          <w:color w:val="4C4C4C"/>
        </w:rPr>
        <w:t>We granted annual stock-based awards to non-employee directors on the same day as the annual stockholders meeting in the amount of $175,116, representing the aggregate grant date fair value of the annual grant, made on July 31, 2025 of 581 shares of the Company’s Class A Common Stock, calculated in accordance with Financial Accounting Standards Board Accounting Standards Codification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582930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252730</wp:posOffset>
            </wp:positionV>
            <wp:extent cx="128905" cy="11112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82" w:lineRule="exact"/>
        <w:rPr>
          <w:sz w:val="20"/>
          <w:szCs w:val="20"/>
          <w:color w:val="auto"/>
        </w:rPr>
      </w:pPr>
    </w:p>
    <w:p>
      <w:pPr>
        <w:ind w:left="6546"/>
        <w:spacing w:after="0"/>
        <w:tabs>
          <w:tab w:leader="none" w:pos="9006"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68" w:name="page69"/>
    <w:bookmarkEnd w:id="6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DIRECTOR EQUITY TABLE</w:t>
      </w:r>
    </w:p>
    <w:p>
      <w:pPr>
        <w:spacing w:after="0" w:line="153" w:lineRule="exact"/>
        <w:rPr>
          <w:sz w:val="20"/>
          <w:szCs w:val="20"/>
          <w:color w:val="auto"/>
        </w:rPr>
      </w:pPr>
    </w:p>
    <w:p>
      <w:pPr>
        <w:ind w:left="6" w:right="100"/>
        <w:spacing w:after="0" w:line="286" w:lineRule="auto"/>
        <w:rPr>
          <w:sz w:val="20"/>
          <w:szCs w:val="20"/>
          <w:color w:val="auto"/>
        </w:rPr>
      </w:pPr>
      <w:r>
        <w:rPr>
          <w:rFonts w:ascii="Arial" w:cs="Arial" w:eastAsia="Arial" w:hAnsi="Arial"/>
          <w:sz w:val="16"/>
          <w:szCs w:val="16"/>
          <w:color w:val="auto"/>
        </w:rPr>
        <w:t>At the end of Fiscal 2026, each individual who served as a non-employee director during Fiscal 2026 held restricted stock units of our Class A Common Stock as follows:</w:t>
      </w:r>
    </w:p>
    <w:p>
      <w:pPr>
        <w:spacing w:after="0" w:line="21" w:lineRule="exact"/>
        <w:rPr>
          <w:sz w:val="20"/>
          <w:szCs w:val="20"/>
          <w:color w:val="auto"/>
        </w:rPr>
      </w:pPr>
    </w:p>
    <w:tbl>
      <w:tblPr>
        <w:tblLayout w:type="fixed"/>
        <w:tblInd w:w="6" w:type="dxa"/>
        <w:tblCellMar>
          <w:top w:w="0" w:type="dxa"/>
          <w:left w:w="0" w:type="dxa"/>
          <w:bottom w:w="0" w:type="dxa"/>
          <w:right w:w="0" w:type="dxa"/>
        </w:tblCellMar>
      </w:tblPr>
      <w:tr>
        <w:trPr>
          <w:trHeight w:val="378"/>
        </w:trPr>
        <w:tc>
          <w:tcPr>
            <w:tcW w:w="4540" w:type="dxa"/>
            <w:vAlign w:val="bottom"/>
            <w:shd w:val="clear" w:color="auto" w:fill="001641"/>
          </w:tcPr>
          <w:p>
            <w:pPr>
              <w:spacing w:after="0"/>
              <w:rPr>
                <w:sz w:val="24"/>
                <w:szCs w:val="24"/>
                <w:color w:val="auto"/>
              </w:rPr>
            </w:pPr>
          </w:p>
        </w:tc>
        <w:tc>
          <w:tcPr>
            <w:tcW w:w="4640" w:type="dxa"/>
            <w:vAlign w:val="bottom"/>
            <w:shd w:val="clear" w:color="auto" w:fill="001641"/>
          </w:tcPr>
          <w:p>
            <w:pPr>
              <w:ind w:left="2920"/>
              <w:spacing w:after="0"/>
              <w:rPr>
                <w:sz w:val="20"/>
                <w:szCs w:val="20"/>
                <w:color w:val="auto"/>
              </w:rPr>
            </w:pPr>
            <w:r>
              <w:rPr>
                <w:rFonts w:ascii="Arial" w:cs="Arial" w:eastAsia="Arial" w:hAnsi="Arial"/>
                <w:sz w:val="14"/>
                <w:szCs w:val="14"/>
                <w:b w:val="1"/>
                <w:bCs w:val="1"/>
                <w:color w:val="FFFFFF"/>
              </w:rPr>
              <w:t>Restricted Stock Units</w:t>
            </w:r>
            <w:r>
              <w:rPr>
                <w:rFonts w:ascii="Arial" w:cs="Arial" w:eastAsia="Arial" w:hAnsi="Arial"/>
                <w:sz w:val="23"/>
                <w:szCs w:val="23"/>
                <w:b w:val="1"/>
                <w:bCs w:val="1"/>
                <w:color w:val="FFFFFF"/>
                <w:vertAlign w:val="superscript"/>
              </w:rPr>
              <w:t>1</w:t>
            </w:r>
          </w:p>
        </w:tc>
      </w:tr>
      <w:tr>
        <w:trPr>
          <w:trHeight w:val="254"/>
        </w:trPr>
        <w:tc>
          <w:tcPr>
            <w:tcW w:w="4540" w:type="dxa"/>
            <w:vAlign w:val="bottom"/>
          </w:tcPr>
          <w:p>
            <w:pPr>
              <w:ind w:left="140"/>
              <w:spacing w:after="0"/>
              <w:rPr>
                <w:sz w:val="20"/>
                <w:szCs w:val="20"/>
                <w:color w:val="auto"/>
              </w:rPr>
            </w:pPr>
            <w:r>
              <w:rPr>
                <w:rFonts w:ascii="Arial" w:cs="Arial" w:eastAsia="Arial" w:hAnsi="Arial"/>
                <w:sz w:val="14"/>
                <w:szCs w:val="14"/>
                <w:b w:val="1"/>
                <w:bCs w:val="1"/>
                <w:color w:val="001641"/>
              </w:rPr>
              <w:t>Angela Ahrendts</w:t>
            </w:r>
          </w:p>
        </w:tc>
        <w:tc>
          <w:tcPr>
            <w:tcW w:w="4640" w:type="dxa"/>
            <w:vAlign w:val="bottom"/>
          </w:tcPr>
          <w:p>
            <w:pPr>
              <w:jc w:val="center"/>
              <w:ind w:left="2728"/>
              <w:spacing w:after="0"/>
              <w:rPr>
                <w:sz w:val="20"/>
                <w:szCs w:val="20"/>
                <w:color w:val="auto"/>
              </w:rPr>
            </w:pPr>
            <w:r>
              <w:rPr>
                <w:rFonts w:ascii="Arial" w:cs="Arial" w:eastAsia="Arial" w:hAnsi="Arial"/>
                <w:sz w:val="14"/>
                <w:szCs w:val="14"/>
                <w:color w:val="001641"/>
              </w:rPr>
              <w:t>584.1</w:t>
            </w:r>
          </w:p>
        </w:tc>
      </w:tr>
      <w:tr>
        <w:trPr>
          <w:trHeight w:val="43"/>
        </w:trPr>
        <w:tc>
          <w:tcPr>
            <w:tcW w:w="4540" w:type="dxa"/>
            <w:vAlign w:val="bottom"/>
            <w:tcBorders>
              <w:bottom w:val="single" w:sz="8" w:color="BFA071"/>
            </w:tcBorders>
          </w:tcPr>
          <w:p>
            <w:pPr>
              <w:spacing w:after="0"/>
              <w:rPr>
                <w:sz w:val="3"/>
                <w:szCs w:val="3"/>
                <w:color w:val="auto"/>
              </w:rPr>
            </w:pPr>
          </w:p>
        </w:tc>
        <w:tc>
          <w:tcPr>
            <w:tcW w:w="4640" w:type="dxa"/>
            <w:vAlign w:val="bottom"/>
            <w:tcBorders>
              <w:bottom w:val="single" w:sz="8" w:color="BFA071"/>
            </w:tcBorders>
          </w:tcPr>
          <w:p>
            <w:pPr>
              <w:spacing w:after="0"/>
              <w:rPr>
                <w:sz w:val="3"/>
                <w:szCs w:val="3"/>
                <w:color w:val="auto"/>
              </w:rPr>
            </w:pPr>
          </w:p>
        </w:tc>
      </w:tr>
      <w:tr>
        <w:trPr>
          <w:trHeight w:val="248"/>
        </w:trPr>
        <w:tc>
          <w:tcPr>
            <w:tcW w:w="4540" w:type="dxa"/>
            <w:vAlign w:val="bottom"/>
          </w:tcPr>
          <w:p>
            <w:pPr>
              <w:ind w:left="140"/>
              <w:spacing w:after="0"/>
              <w:rPr>
                <w:sz w:val="20"/>
                <w:szCs w:val="20"/>
                <w:color w:val="auto"/>
              </w:rPr>
            </w:pPr>
            <w:r>
              <w:rPr>
                <w:rFonts w:ascii="Arial" w:cs="Arial" w:eastAsia="Arial" w:hAnsi="Arial"/>
                <w:sz w:val="14"/>
                <w:szCs w:val="14"/>
                <w:b w:val="1"/>
                <w:bCs w:val="1"/>
                <w:color w:val="001641"/>
              </w:rPr>
              <w:t>Frank A. Bennack, Jr.</w:t>
            </w:r>
          </w:p>
        </w:tc>
        <w:tc>
          <w:tcPr>
            <w:tcW w:w="4640" w:type="dxa"/>
            <w:vAlign w:val="bottom"/>
          </w:tcPr>
          <w:p>
            <w:pPr>
              <w:jc w:val="center"/>
              <w:ind w:left="2728"/>
              <w:spacing w:after="0"/>
              <w:rPr>
                <w:sz w:val="20"/>
                <w:szCs w:val="20"/>
                <w:color w:val="auto"/>
              </w:rPr>
            </w:pPr>
            <w:r>
              <w:rPr>
                <w:rFonts w:ascii="Arial" w:cs="Arial" w:eastAsia="Arial" w:hAnsi="Arial"/>
                <w:sz w:val="14"/>
                <w:szCs w:val="14"/>
                <w:color w:val="001641"/>
              </w:rPr>
              <w:t>584.1</w:t>
            </w:r>
          </w:p>
        </w:tc>
      </w:tr>
      <w:tr>
        <w:trPr>
          <w:trHeight w:val="43"/>
        </w:trPr>
        <w:tc>
          <w:tcPr>
            <w:tcW w:w="4540" w:type="dxa"/>
            <w:vAlign w:val="bottom"/>
            <w:tcBorders>
              <w:bottom w:val="single" w:sz="8" w:color="BFA071"/>
            </w:tcBorders>
          </w:tcPr>
          <w:p>
            <w:pPr>
              <w:spacing w:after="0"/>
              <w:rPr>
                <w:sz w:val="3"/>
                <w:szCs w:val="3"/>
                <w:color w:val="auto"/>
              </w:rPr>
            </w:pPr>
          </w:p>
        </w:tc>
        <w:tc>
          <w:tcPr>
            <w:tcW w:w="4640" w:type="dxa"/>
            <w:vAlign w:val="bottom"/>
            <w:tcBorders>
              <w:bottom w:val="single" w:sz="8" w:color="BFA071"/>
            </w:tcBorders>
          </w:tcPr>
          <w:p>
            <w:pPr>
              <w:spacing w:after="0"/>
              <w:rPr>
                <w:sz w:val="3"/>
                <w:szCs w:val="3"/>
                <w:color w:val="auto"/>
              </w:rPr>
            </w:pPr>
          </w:p>
        </w:tc>
      </w:tr>
      <w:tr>
        <w:trPr>
          <w:trHeight w:val="318"/>
        </w:trPr>
        <w:tc>
          <w:tcPr>
            <w:tcW w:w="4540" w:type="dxa"/>
            <w:vAlign w:val="bottom"/>
            <w:tcBorders>
              <w:bottom w:val="single" w:sz="8" w:color="BFA071"/>
            </w:tcBorders>
          </w:tcPr>
          <w:p>
            <w:pPr>
              <w:ind w:left="140"/>
              <w:spacing w:after="0"/>
              <w:rPr>
                <w:sz w:val="20"/>
                <w:szCs w:val="20"/>
                <w:color w:val="auto"/>
              </w:rPr>
            </w:pPr>
            <w:r>
              <w:rPr>
                <w:rFonts w:ascii="Arial" w:cs="Arial" w:eastAsia="Arial" w:hAnsi="Arial"/>
                <w:sz w:val="14"/>
                <w:szCs w:val="14"/>
                <w:b w:val="1"/>
                <w:bCs w:val="1"/>
                <w:color w:val="001641"/>
              </w:rPr>
              <w:t>Cesar Conde</w:t>
            </w:r>
            <w:r>
              <w:rPr>
                <w:rFonts w:ascii="Arial" w:cs="Arial" w:eastAsia="Arial" w:hAnsi="Arial"/>
                <w:sz w:val="23"/>
                <w:szCs w:val="23"/>
                <w:b w:val="1"/>
                <w:bCs w:val="1"/>
                <w:color w:val="001641"/>
                <w:vertAlign w:val="superscript"/>
              </w:rPr>
              <w:t>2</w:t>
            </w:r>
          </w:p>
        </w:tc>
        <w:tc>
          <w:tcPr>
            <w:tcW w:w="4640" w:type="dxa"/>
            <w:vAlign w:val="bottom"/>
            <w:tcBorders>
              <w:bottom w:val="single" w:sz="8" w:color="BFA071"/>
            </w:tcBorders>
          </w:tcPr>
          <w:p>
            <w:pPr>
              <w:jc w:val="center"/>
              <w:ind w:left="2748"/>
              <w:spacing w:after="0"/>
              <w:rPr>
                <w:sz w:val="20"/>
                <w:szCs w:val="20"/>
                <w:color w:val="auto"/>
              </w:rPr>
            </w:pPr>
            <w:r>
              <w:rPr>
                <w:rFonts w:ascii="Arial" w:cs="Arial" w:eastAsia="Arial" w:hAnsi="Arial"/>
                <w:sz w:val="14"/>
                <w:szCs w:val="14"/>
                <w:color w:val="001641"/>
                <w:w w:val="99"/>
              </w:rPr>
              <w:t>—</w:t>
            </w:r>
          </w:p>
        </w:tc>
      </w:tr>
      <w:tr>
        <w:trPr>
          <w:trHeight w:val="248"/>
        </w:trPr>
        <w:tc>
          <w:tcPr>
            <w:tcW w:w="4540" w:type="dxa"/>
            <w:vAlign w:val="bottom"/>
          </w:tcPr>
          <w:p>
            <w:pPr>
              <w:ind w:left="140"/>
              <w:spacing w:after="0"/>
              <w:rPr>
                <w:sz w:val="20"/>
                <w:szCs w:val="20"/>
                <w:color w:val="auto"/>
              </w:rPr>
            </w:pPr>
            <w:r>
              <w:rPr>
                <w:rFonts w:ascii="Arial" w:cs="Arial" w:eastAsia="Arial" w:hAnsi="Arial"/>
                <w:sz w:val="14"/>
                <w:szCs w:val="14"/>
                <w:b w:val="1"/>
                <w:bCs w:val="1"/>
                <w:color w:val="001641"/>
              </w:rPr>
              <w:t>Debra Cupp</w:t>
            </w:r>
          </w:p>
        </w:tc>
        <w:tc>
          <w:tcPr>
            <w:tcW w:w="4640" w:type="dxa"/>
            <w:vAlign w:val="bottom"/>
          </w:tcPr>
          <w:p>
            <w:pPr>
              <w:jc w:val="center"/>
              <w:ind w:left="2728"/>
              <w:spacing w:after="0"/>
              <w:rPr>
                <w:sz w:val="20"/>
                <w:szCs w:val="20"/>
                <w:color w:val="auto"/>
              </w:rPr>
            </w:pPr>
            <w:r>
              <w:rPr>
                <w:rFonts w:ascii="Arial" w:cs="Arial" w:eastAsia="Arial" w:hAnsi="Arial"/>
                <w:sz w:val="14"/>
                <w:szCs w:val="14"/>
                <w:color w:val="001641"/>
              </w:rPr>
              <w:t>584.1</w:t>
            </w:r>
          </w:p>
        </w:tc>
      </w:tr>
      <w:tr>
        <w:trPr>
          <w:trHeight w:val="43"/>
        </w:trPr>
        <w:tc>
          <w:tcPr>
            <w:tcW w:w="4540" w:type="dxa"/>
            <w:vAlign w:val="bottom"/>
            <w:tcBorders>
              <w:bottom w:val="single" w:sz="8" w:color="BFA071"/>
            </w:tcBorders>
          </w:tcPr>
          <w:p>
            <w:pPr>
              <w:spacing w:after="0"/>
              <w:rPr>
                <w:sz w:val="3"/>
                <w:szCs w:val="3"/>
                <w:color w:val="auto"/>
              </w:rPr>
            </w:pPr>
          </w:p>
        </w:tc>
        <w:tc>
          <w:tcPr>
            <w:tcW w:w="4640" w:type="dxa"/>
            <w:vAlign w:val="bottom"/>
            <w:tcBorders>
              <w:bottom w:val="single" w:sz="8" w:color="BFA071"/>
            </w:tcBorders>
          </w:tcPr>
          <w:p>
            <w:pPr>
              <w:spacing w:after="0"/>
              <w:rPr>
                <w:sz w:val="3"/>
                <w:szCs w:val="3"/>
                <w:color w:val="auto"/>
              </w:rPr>
            </w:pPr>
          </w:p>
        </w:tc>
      </w:tr>
      <w:tr>
        <w:trPr>
          <w:trHeight w:val="248"/>
        </w:trPr>
        <w:tc>
          <w:tcPr>
            <w:tcW w:w="4540" w:type="dxa"/>
            <w:vAlign w:val="bottom"/>
          </w:tcPr>
          <w:p>
            <w:pPr>
              <w:ind w:left="140"/>
              <w:spacing w:after="0"/>
              <w:rPr>
                <w:sz w:val="20"/>
                <w:szCs w:val="20"/>
                <w:color w:val="auto"/>
              </w:rPr>
            </w:pPr>
            <w:r>
              <w:rPr>
                <w:rFonts w:ascii="Arial" w:cs="Arial" w:eastAsia="Arial" w:hAnsi="Arial"/>
                <w:sz w:val="14"/>
                <w:szCs w:val="14"/>
                <w:b w:val="1"/>
                <w:bCs w:val="1"/>
                <w:color w:val="001641"/>
              </w:rPr>
              <w:t>Linda Findley</w:t>
            </w:r>
          </w:p>
        </w:tc>
        <w:tc>
          <w:tcPr>
            <w:tcW w:w="4640" w:type="dxa"/>
            <w:vAlign w:val="bottom"/>
          </w:tcPr>
          <w:p>
            <w:pPr>
              <w:jc w:val="center"/>
              <w:ind w:left="2728"/>
              <w:spacing w:after="0"/>
              <w:rPr>
                <w:sz w:val="20"/>
                <w:szCs w:val="20"/>
                <w:color w:val="auto"/>
              </w:rPr>
            </w:pPr>
            <w:r>
              <w:rPr>
                <w:rFonts w:ascii="Arial" w:cs="Arial" w:eastAsia="Arial" w:hAnsi="Arial"/>
                <w:sz w:val="14"/>
                <w:szCs w:val="14"/>
                <w:color w:val="001641"/>
              </w:rPr>
              <w:t>584.1</w:t>
            </w:r>
          </w:p>
        </w:tc>
      </w:tr>
      <w:tr>
        <w:trPr>
          <w:trHeight w:val="43"/>
        </w:trPr>
        <w:tc>
          <w:tcPr>
            <w:tcW w:w="4540" w:type="dxa"/>
            <w:vAlign w:val="bottom"/>
            <w:tcBorders>
              <w:bottom w:val="single" w:sz="8" w:color="BFA071"/>
            </w:tcBorders>
          </w:tcPr>
          <w:p>
            <w:pPr>
              <w:spacing w:after="0"/>
              <w:rPr>
                <w:sz w:val="3"/>
                <w:szCs w:val="3"/>
                <w:color w:val="auto"/>
              </w:rPr>
            </w:pPr>
          </w:p>
        </w:tc>
        <w:tc>
          <w:tcPr>
            <w:tcW w:w="4640" w:type="dxa"/>
            <w:vAlign w:val="bottom"/>
            <w:tcBorders>
              <w:bottom w:val="single" w:sz="8" w:color="BFA071"/>
            </w:tcBorders>
          </w:tcPr>
          <w:p>
            <w:pPr>
              <w:spacing w:after="0"/>
              <w:rPr>
                <w:sz w:val="3"/>
                <w:szCs w:val="3"/>
                <w:color w:val="auto"/>
              </w:rPr>
            </w:pPr>
          </w:p>
        </w:tc>
      </w:tr>
      <w:tr>
        <w:trPr>
          <w:trHeight w:val="248"/>
        </w:trPr>
        <w:tc>
          <w:tcPr>
            <w:tcW w:w="4540" w:type="dxa"/>
            <w:vAlign w:val="bottom"/>
          </w:tcPr>
          <w:p>
            <w:pPr>
              <w:ind w:left="140"/>
              <w:spacing w:after="0"/>
              <w:rPr>
                <w:sz w:val="20"/>
                <w:szCs w:val="20"/>
                <w:color w:val="auto"/>
              </w:rPr>
            </w:pPr>
            <w:r>
              <w:rPr>
                <w:rFonts w:ascii="Arial" w:cs="Arial" w:eastAsia="Arial" w:hAnsi="Arial"/>
                <w:sz w:val="14"/>
                <w:szCs w:val="14"/>
                <w:b w:val="1"/>
                <w:bCs w:val="1"/>
                <w:color w:val="001641"/>
              </w:rPr>
              <w:t>Michael George</w:t>
            </w:r>
          </w:p>
        </w:tc>
        <w:tc>
          <w:tcPr>
            <w:tcW w:w="4640" w:type="dxa"/>
            <w:vAlign w:val="bottom"/>
          </w:tcPr>
          <w:p>
            <w:pPr>
              <w:jc w:val="center"/>
              <w:ind w:left="2728"/>
              <w:spacing w:after="0"/>
              <w:rPr>
                <w:sz w:val="20"/>
                <w:szCs w:val="20"/>
                <w:color w:val="auto"/>
              </w:rPr>
            </w:pPr>
            <w:r>
              <w:rPr>
                <w:rFonts w:ascii="Arial" w:cs="Arial" w:eastAsia="Arial" w:hAnsi="Arial"/>
                <w:sz w:val="14"/>
                <w:szCs w:val="14"/>
                <w:color w:val="001641"/>
              </w:rPr>
              <w:t>584.1</w:t>
            </w:r>
          </w:p>
        </w:tc>
      </w:tr>
      <w:tr>
        <w:trPr>
          <w:trHeight w:val="43"/>
        </w:trPr>
        <w:tc>
          <w:tcPr>
            <w:tcW w:w="4540" w:type="dxa"/>
            <w:vAlign w:val="bottom"/>
            <w:tcBorders>
              <w:bottom w:val="single" w:sz="8" w:color="BFA071"/>
            </w:tcBorders>
          </w:tcPr>
          <w:p>
            <w:pPr>
              <w:spacing w:after="0"/>
              <w:rPr>
                <w:sz w:val="3"/>
                <w:szCs w:val="3"/>
                <w:color w:val="auto"/>
              </w:rPr>
            </w:pPr>
          </w:p>
        </w:tc>
        <w:tc>
          <w:tcPr>
            <w:tcW w:w="4640" w:type="dxa"/>
            <w:vAlign w:val="bottom"/>
            <w:tcBorders>
              <w:bottom w:val="single" w:sz="8" w:color="BFA071"/>
            </w:tcBorders>
          </w:tcPr>
          <w:p>
            <w:pPr>
              <w:spacing w:after="0"/>
              <w:rPr>
                <w:sz w:val="3"/>
                <w:szCs w:val="3"/>
                <w:color w:val="auto"/>
              </w:rPr>
            </w:pPr>
          </w:p>
        </w:tc>
      </w:tr>
      <w:tr>
        <w:trPr>
          <w:trHeight w:val="248"/>
        </w:trPr>
        <w:tc>
          <w:tcPr>
            <w:tcW w:w="4540" w:type="dxa"/>
            <w:vAlign w:val="bottom"/>
          </w:tcPr>
          <w:p>
            <w:pPr>
              <w:ind w:left="140"/>
              <w:spacing w:after="0"/>
              <w:rPr>
                <w:sz w:val="20"/>
                <w:szCs w:val="20"/>
                <w:color w:val="auto"/>
              </w:rPr>
            </w:pPr>
            <w:r>
              <w:rPr>
                <w:rFonts w:ascii="Arial" w:cs="Arial" w:eastAsia="Arial" w:hAnsi="Arial"/>
                <w:sz w:val="14"/>
                <w:szCs w:val="14"/>
                <w:b w:val="1"/>
                <w:bCs w:val="1"/>
                <w:color w:val="001641"/>
              </w:rPr>
              <w:t>Valerie Jarrett</w:t>
            </w:r>
          </w:p>
        </w:tc>
        <w:tc>
          <w:tcPr>
            <w:tcW w:w="4640" w:type="dxa"/>
            <w:vAlign w:val="bottom"/>
          </w:tcPr>
          <w:p>
            <w:pPr>
              <w:jc w:val="center"/>
              <w:ind w:left="2728"/>
              <w:spacing w:after="0"/>
              <w:rPr>
                <w:sz w:val="20"/>
                <w:szCs w:val="20"/>
                <w:color w:val="auto"/>
              </w:rPr>
            </w:pPr>
            <w:r>
              <w:rPr>
                <w:rFonts w:ascii="Arial" w:cs="Arial" w:eastAsia="Arial" w:hAnsi="Arial"/>
                <w:sz w:val="14"/>
                <w:szCs w:val="14"/>
                <w:color w:val="001641"/>
              </w:rPr>
              <w:t>584.1</w:t>
            </w:r>
          </w:p>
        </w:tc>
      </w:tr>
      <w:tr>
        <w:trPr>
          <w:trHeight w:val="43"/>
        </w:trPr>
        <w:tc>
          <w:tcPr>
            <w:tcW w:w="4540" w:type="dxa"/>
            <w:vAlign w:val="bottom"/>
            <w:tcBorders>
              <w:bottom w:val="single" w:sz="8" w:color="BFA071"/>
            </w:tcBorders>
          </w:tcPr>
          <w:p>
            <w:pPr>
              <w:spacing w:after="0"/>
              <w:rPr>
                <w:sz w:val="3"/>
                <w:szCs w:val="3"/>
                <w:color w:val="auto"/>
              </w:rPr>
            </w:pPr>
          </w:p>
        </w:tc>
        <w:tc>
          <w:tcPr>
            <w:tcW w:w="4640" w:type="dxa"/>
            <w:vAlign w:val="bottom"/>
            <w:tcBorders>
              <w:bottom w:val="single" w:sz="8" w:color="BFA071"/>
            </w:tcBorders>
          </w:tcPr>
          <w:p>
            <w:pPr>
              <w:spacing w:after="0"/>
              <w:rPr>
                <w:sz w:val="3"/>
                <w:szCs w:val="3"/>
                <w:color w:val="auto"/>
              </w:rPr>
            </w:pPr>
          </w:p>
        </w:tc>
      </w:tr>
      <w:tr>
        <w:trPr>
          <w:trHeight w:val="248"/>
        </w:trPr>
        <w:tc>
          <w:tcPr>
            <w:tcW w:w="4540" w:type="dxa"/>
            <w:vAlign w:val="bottom"/>
          </w:tcPr>
          <w:p>
            <w:pPr>
              <w:ind w:left="140"/>
              <w:spacing w:after="0"/>
              <w:rPr>
                <w:sz w:val="20"/>
                <w:szCs w:val="20"/>
                <w:color w:val="auto"/>
              </w:rPr>
            </w:pPr>
            <w:r>
              <w:rPr>
                <w:rFonts w:ascii="Arial" w:cs="Arial" w:eastAsia="Arial" w:hAnsi="Arial"/>
                <w:sz w:val="14"/>
                <w:szCs w:val="14"/>
                <w:b w:val="1"/>
                <w:bCs w:val="1"/>
                <w:color w:val="001641"/>
              </w:rPr>
              <w:t>Darren Walker</w:t>
            </w:r>
          </w:p>
        </w:tc>
        <w:tc>
          <w:tcPr>
            <w:tcW w:w="4640" w:type="dxa"/>
            <w:vAlign w:val="bottom"/>
          </w:tcPr>
          <w:p>
            <w:pPr>
              <w:jc w:val="center"/>
              <w:ind w:left="2728"/>
              <w:spacing w:after="0"/>
              <w:rPr>
                <w:sz w:val="20"/>
                <w:szCs w:val="20"/>
                <w:color w:val="auto"/>
              </w:rPr>
            </w:pPr>
            <w:r>
              <w:rPr>
                <w:rFonts w:ascii="Arial" w:cs="Arial" w:eastAsia="Arial" w:hAnsi="Arial"/>
                <w:sz w:val="14"/>
                <w:szCs w:val="14"/>
                <w:color w:val="001641"/>
              </w:rPr>
              <w:t>584.1</w:t>
            </w:r>
          </w:p>
        </w:tc>
      </w:tr>
      <w:tr>
        <w:trPr>
          <w:trHeight w:val="43"/>
        </w:trPr>
        <w:tc>
          <w:tcPr>
            <w:tcW w:w="4540" w:type="dxa"/>
            <w:vAlign w:val="bottom"/>
            <w:tcBorders>
              <w:bottom w:val="single" w:sz="8" w:color="BFA071"/>
            </w:tcBorders>
          </w:tcPr>
          <w:p>
            <w:pPr>
              <w:spacing w:after="0"/>
              <w:rPr>
                <w:sz w:val="3"/>
                <w:szCs w:val="3"/>
                <w:color w:val="auto"/>
              </w:rPr>
            </w:pPr>
          </w:p>
        </w:tc>
        <w:tc>
          <w:tcPr>
            <w:tcW w:w="4640" w:type="dxa"/>
            <w:vAlign w:val="bottom"/>
            <w:tcBorders>
              <w:bottom w:val="single" w:sz="8" w:color="BFA071"/>
            </w:tcBorders>
          </w:tcPr>
          <w:p>
            <w:pPr>
              <w:spacing w:after="0"/>
              <w:rPr>
                <w:sz w:val="3"/>
                <w:szCs w:val="3"/>
                <w:color w:val="auto"/>
              </w:rPr>
            </w:pPr>
          </w:p>
        </w:tc>
      </w:tr>
      <w:tr>
        <w:trPr>
          <w:trHeight w:val="249"/>
        </w:trPr>
        <w:tc>
          <w:tcPr>
            <w:tcW w:w="4540" w:type="dxa"/>
            <w:vAlign w:val="bottom"/>
            <w:tcBorders>
              <w:bottom w:val="single" w:sz="8" w:color="001641"/>
            </w:tcBorders>
          </w:tcPr>
          <w:p>
            <w:pPr>
              <w:ind w:left="140"/>
              <w:spacing w:after="0"/>
              <w:rPr>
                <w:sz w:val="20"/>
                <w:szCs w:val="20"/>
                <w:color w:val="auto"/>
              </w:rPr>
            </w:pPr>
            <w:r>
              <w:rPr>
                <w:rFonts w:ascii="Arial" w:cs="Arial" w:eastAsia="Arial" w:hAnsi="Arial"/>
                <w:sz w:val="14"/>
                <w:szCs w:val="14"/>
                <w:b w:val="1"/>
                <w:bCs w:val="1"/>
                <w:color w:val="001641"/>
              </w:rPr>
              <w:t>Wei Zhang</w:t>
            </w:r>
          </w:p>
        </w:tc>
        <w:tc>
          <w:tcPr>
            <w:tcW w:w="4640" w:type="dxa"/>
            <w:vAlign w:val="bottom"/>
            <w:tcBorders>
              <w:bottom w:val="single" w:sz="8" w:color="001641"/>
            </w:tcBorders>
          </w:tcPr>
          <w:p>
            <w:pPr>
              <w:jc w:val="center"/>
              <w:ind w:left="2728"/>
              <w:spacing w:after="0"/>
              <w:rPr>
                <w:sz w:val="20"/>
                <w:szCs w:val="20"/>
                <w:color w:val="auto"/>
              </w:rPr>
            </w:pPr>
            <w:r>
              <w:rPr>
                <w:rFonts w:ascii="Arial" w:cs="Arial" w:eastAsia="Arial" w:hAnsi="Arial"/>
                <w:sz w:val="14"/>
                <w:szCs w:val="14"/>
                <w:color w:val="001641"/>
              </w:rPr>
              <w:t>584.1</w:t>
            </w:r>
          </w:p>
        </w:tc>
      </w:tr>
    </w:tbl>
    <w:p>
      <w:pPr>
        <w:spacing w:after="0" w:line="153" w:lineRule="exact"/>
        <w:rPr>
          <w:sz w:val="20"/>
          <w:szCs w:val="20"/>
          <w:color w:val="auto"/>
        </w:rPr>
      </w:pPr>
    </w:p>
    <w:p>
      <w:pPr>
        <w:ind w:left="246" w:right="20" w:hanging="246"/>
        <w:spacing w:after="0" w:line="281" w:lineRule="auto"/>
        <w:tabs>
          <w:tab w:leader="none" w:pos="246" w:val="left"/>
        </w:tabs>
        <w:numPr>
          <w:ilvl w:val="0"/>
          <w:numId w:val="43"/>
        </w:numPr>
        <w:rPr>
          <w:rFonts w:ascii="Arial" w:cs="Arial" w:eastAsia="Arial" w:hAnsi="Arial"/>
          <w:sz w:val="14"/>
          <w:szCs w:val="14"/>
          <w:color w:val="4C4C4C"/>
        </w:rPr>
      </w:pPr>
      <w:r>
        <w:rPr>
          <w:rFonts w:ascii="Arial" w:cs="Arial" w:eastAsia="Arial" w:hAnsi="Arial"/>
          <w:sz w:val="14"/>
          <w:szCs w:val="14"/>
          <w:color w:val="4C4C4C"/>
        </w:rPr>
        <w:t>Includes Dividend Equivalent Units that are subject to the same vesting provisions as the underlying restricted stock units and are accrued in the form of additional restricted stock units each quarter and credited to each non-employee director’s holdings.</w:t>
      </w:r>
    </w:p>
    <w:p>
      <w:pPr>
        <w:spacing w:after="0" w:line="1" w:lineRule="exact"/>
        <w:rPr>
          <w:rFonts w:ascii="Arial" w:cs="Arial" w:eastAsia="Arial" w:hAnsi="Arial"/>
          <w:sz w:val="14"/>
          <w:szCs w:val="14"/>
          <w:color w:val="4C4C4C"/>
        </w:rPr>
      </w:pPr>
    </w:p>
    <w:p>
      <w:pPr>
        <w:ind w:left="246" w:hanging="246"/>
        <w:spacing w:after="0"/>
        <w:tabs>
          <w:tab w:leader="none" w:pos="246" w:val="left"/>
        </w:tabs>
        <w:numPr>
          <w:ilvl w:val="0"/>
          <w:numId w:val="43"/>
        </w:numPr>
        <w:rPr>
          <w:rFonts w:ascii="Arial" w:cs="Arial" w:eastAsia="Arial" w:hAnsi="Arial"/>
          <w:sz w:val="14"/>
          <w:szCs w:val="14"/>
          <w:color w:val="4C4C4C"/>
        </w:rPr>
      </w:pPr>
      <w:r>
        <w:rPr>
          <w:rFonts w:ascii="Arial" w:cs="Arial" w:eastAsia="Arial" w:hAnsi="Arial"/>
          <w:sz w:val="14"/>
          <w:szCs w:val="14"/>
          <w:color w:val="4C4C4C"/>
        </w:rPr>
        <w:t>Mr. Conde joined the Board in January 2026 and will be eligible for the July 30, 2026 grant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82930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58</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760"/>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102870</wp:posOffset>
            </wp:positionV>
            <wp:extent cx="6995160" cy="905256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-21590</wp:posOffset>
            </wp:positionV>
            <wp:extent cx="699516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70" w:name="page71"/>
    <w:bookmarkEnd w:id="70"/>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283210</wp:posOffset>
            </wp:positionV>
            <wp:extent cx="582930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20" w:right="1280"/>
        <w:spacing w:after="0" w:line="278" w:lineRule="auto"/>
        <w:rPr>
          <w:sz w:val="20"/>
          <w:szCs w:val="20"/>
          <w:color w:val="auto"/>
        </w:rPr>
      </w:pPr>
      <w:r>
        <w:rPr>
          <w:rFonts w:ascii="Times New Roman" w:cs="Times New Roman" w:eastAsia="Times New Roman" w:hAnsi="Times New Roman"/>
          <w:sz w:val="54"/>
          <w:szCs w:val="54"/>
          <w:color w:val="001641"/>
        </w:rPr>
        <w:t>Compensation Discussion &amp; Analysis</w:t>
      </w:r>
    </w:p>
    <w:p>
      <w:pPr>
        <w:spacing w:after="0" w:line="200" w:lineRule="exact"/>
        <w:rPr>
          <w:sz w:val="20"/>
          <w:szCs w:val="20"/>
          <w:color w:val="auto"/>
        </w:rPr>
      </w:pPr>
    </w:p>
    <w:p>
      <w:pPr>
        <w:spacing w:after="0" w:line="24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BFA071"/>
        </w:rPr>
        <w:t>NAMED EXECUTIVE OFFICERS</w:t>
      </w:r>
    </w:p>
    <w:p>
      <w:pPr>
        <w:spacing w:after="0" w:line="153" w:lineRule="exact"/>
        <w:rPr>
          <w:sz w:val="20"/>
          <w:szCs w:val="20"/>
          <w:color w:val="auto"/>
        </w:rPr>
      </w:pPr>
    </w:p>
    <w:p>
      <w:pPr>
        <w:ind w:left="920" w:right="60"/>
        <w:spacing w:after="0" w:line="266" w:lineRule="auto"/>
        <w:rPr>
          <w:sz w:val="20"/>
          <w:szCs w:val="20"/>
          <w:color w:val="auto"/>
        </w:rPr>
      </w:pPr>
      <w:r>
        <w:rPr>
          <w:rFonts w:ascii="Arial" w:cs="Arial" w:eastAsia="Arial" w:hAnsi="Arial"/>
          <w:sz w:val="16"/>
          <w:szCs w:val="16"/>
          <w:color w:val="auto"/>
        </w:rPr>
        <w:t>This Compensation Discussion and Analysis (“CD&amp;A”) explains our executive compensation programs for the following individuals, all of whom were deemed to be named executive officers (“NEOs”) during Fiscal 2026.</w:t>
      </w:r>
    </w:p>
    <w:p>
      <w:pPr>
        <w:spacing w:after="0" w:line="145" w:lineRule="exact"/>
        <w:rPr>
          <w:sz w:val="20"/>
          <w:szCs w:val="20"/>
          <w:color w:val="auto"/>
        </w:rPr>
      </w:pPr>
    </w:p>
    <w:tbl>
      <w:tblPr>
        <w:tblLayout w:type="fixed"/>
        <w:tblInd w:w="920" w:type="dxa"/>
        <w:tblCellMar>
          <w:top w:w="0" w:type="dxa"/>
          <w:left w:w="0" w:type="dxa"/>
          <w:bottom w:w="0" w:type="dxa"/>
          <w:right w:w="0" w:type="dxa"/>
        </w:tblCellMar>
      </w:tblPr>
      <w:tr>
        <w:trPr>
          <w:trHeight w:val="372"/>
        </w:trPr>
        <w:tc>
          <w:tcPr>
            <w:tcW w:w="100" w:type="dxa"/>
            <w:vAlign w:val="bottom"/>
            <w:tcBorders>
              <w:bottom w:val="single" w:sz="8" w:color="001641"/>
            </w:tcBorders>
            <w:shd w:val="clear" w:color="auto" w:fill="001641"/>
          </w:tcPr>
          <w:p>
            <w:pPr>
              <w:spacing w:after="0"/>
              <w:rPr>
                <w:sz w:val="24"/>
                <w:szCs w:val="24"/>
                <w:color w:val="auto"/>
              </w:rPr>
            </w:pPr>
          </w:p>
        </w:tc>
        <w:tc>
          <w:tcPr>
            <w:tcW w:w="1380" w:type="dxa"/>
            <w:vAlign w:val="bottom"/>
            <w:tcBorders>
              <w:bottom w:val="single" w:sz="8" w:color="001641"/>
            </w:tcBorders>
            <w:shd w:val="clear" w:color="auto" w:fill="001641"/>
          </w:tcPr>
          <w:p>
            <w:pPr>
              <w:ind w:left="60"/>
              <w:spacing w:after="0"/>
              <w:rPr>
                <w:sz w:val="20"/>
                <w:szCs w:val="20"/>
                <w:color w:val="auto"/>
              </w:rPr>
            </w:pPr>
            <w:r>
              <w:rPr>
                <w:rFonts w:ascii="Arial" w:cs="Arial" w:eastAsia="Arial" w:hAnsi="Arial"/>
                <w:sz w:val="14"/>
                <w:szCs w:val="14"/>
                <w:b w:val="1"/>
                <w:bCs w:val="1"/>
                <w:color w:val="FFFFFF"/>
              </w:rPr>
              <w:t>Name</w:t>
            </w:r>
          </w:p>
        </w:tc>
        <w:tc>
          <w:tcPr>
            <w:tcW w:w="5420" w:type="dxa"/>
            <w:vAlign w:val="bottom"/>
            <w:tcBorders>
              <w:bottom w:val="single" w:sz="8" w:color="001641"/>
            </w:tcBorders>
            <w:shd w:val="clear" w:color="auto" w:fill="001641"/>
          </w:tcPr>
          <w:p>
            <w:pPr>
              <w:ind w:left="360"/>
              <w:spacing w:after="0"/>
              <w:rPr>
                <w:sz w:val="20"/>
                <w:szCs w:val="20"/>
                <w:color w:val="auto"/>
              </w:rPr>
            </w:pPr>
            <w:r>
              <w:rPr>
                <w:rFonts w:ascii="Arial" w:cs="Arial" w:eastAsia="Arial" w:hAnsi="Arial"/>
                <w:sz w:val="14"/>
                <w:szCs w:val="14"/>
                <w:b w:val="1"/>
                <w:bCs w:val="1"/>
                <w:color w:val="FFFFFF"/>
              </w:rPr>
              <w:t>Title</w:t>
            </w: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1380" w:type="dxa"/>
            <w:vAlign w:val="bottom"/>
          </w:tcPr>
          <w:p>
            <w:pPr>
              <w:ind w:left="60"/>
              <w:spacing w:after="0"/>
              <w:rPr>
                <w:sz w:val="20"/>
                <w:szCs w:val="20"/>
                <w:color w:val="auto"/>
              </w:rPr>
            </w:pPr>
            <w:r>
              <w:rPr>
                <w:rFonts w:ascii="Arial" w:cs="Arial" w:eastAsia="Arial" w:hAnsi="Arial"/>
                <w:sz w:val="14"/>
                <w:szCs w:val="14"/>
                <w:b w:val="1"/>
                <w:bCs w:val="1"/>
                <w:color w:val="001641"/>
              </w:rPr>
              <w:t>Ralph Lauren</w:t>
            </w:r>
          </w:p>
        </w:tc>
        <w:tc>
          <w:tcPr>
            <w:tcW w:w="5420" w:type="dxa"/>
            <w:vAlign w:val="bottom"/>
          </w:tcPr>
          <w:p>
            <w:pPr>
              <w:ind w:left="360"/>
              <w:spacing w:after="0"/>
              <w:rPr>
                <w:sz w:val="20"/>
                <w:szCs w:val="20"/>
                <w:color w:val="auto"/>
              </w:rPr>
            </w:pPr>
            <w:r>
              <w:rPr>
                <w:rFonts w:ascii="Arial" w:cs="Arial" w:eastAsia="Arial" w:hAnsi="Arial"/>
                <w:sz w:val="14"/>
                <w:szCs w:val="14"/>
                <w:color w:val="001641"/>
              </w:rPr>
              <w:t>Executive Chairman and Chief Creative Officer</w:t>
            </w:r>
          </w:p>
        </w:tc>
        <w:tc>
          <w:tcPr>
            <w:tcW w:w="0" w:type="dxa"/>
            <w:vAlign w:val="bottom"/>
          </w:tcPr>
          <w:p>
            <w:pPr>
              <w:spacing w:after="0"/>
              <w:rPr>
                <w:sz w:val="1"/>
                <w:szCs w:val="1"/>
                <w:color w:val="auto"/>
              </w:rPr>
            </w:pPr>
          </w:p>
        </w:tc>
      </w:tr>
      <w:tr>
        <w:trPr>
          <w:trHeight w:val="43"/>
        </w:trPr>
        <w:tc>
          <w:tcPr>
            <w:tcW w:w="100" w:type="dxa"/>
            <w:vAlign w:val="bottom"/>
            <w:tcBorders>
              <w:bottom w:val="single" w:sz="8" w:color="BFA071"/>
            </w:tcBorders>
          </w:tcPr>
          <w:p>
            <w:pPr>
              <w:spacing w:after="0"/>
              <w:rPr>
                <w:sz w:val="3"/>
                <w:szCs w:val="3"/>
                <w:color w:val="auto"/>
              </w:rPr>
            </w:pPr>
          </w:p>
        </w:tc>
        <w:tc>
          <w:tcPr>
            <w:tcW w:w="1380" w:type="dxa"/>
            <w:vAlign w:val="bottom"/>
            <w:tcBorders>
              <w:bottom w:val="single" w:sz="8" w:color="BFA071"/>
            </w:tcBorders>
          </w:tcPr>
          <w:p>
            <w:pPr>
              <w:spacing w:after="0"/>
              <w:rPr>
                <w:sz w:val="3"/>
                <w:szCs w:val="3"/>
                <w:color w:val="auto"/>
              </w:rPr>
            </w:pPr>
          </w:p>
        </w:tc>
        <w:tc>
          <w:tcPr>
            <w:tcW w:w="5420" w:type="dxa"/>
            <w:vAlign w:val="bottom"/>
            <w:tcBorders>
              <w:bottom w:val="single" w:sz="8" w:color="BFA071"/>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1380" w:type="dxa"/>
            <w:vAlign w:val="bottom"/>
          </w:tcPr>
          <w:p>
            <w:pPr>
              <w:ind w:left="60"/>
              <w:spacing w:after="0"/>
              <w:rPr>
                <w:sz w:val="20"/>
                <w:szCs w:val="20"/>
                <w:color w:val="auto"/>
              </w:rPr>
            </w:pPr>
            <w:r>
              <w:rPr>
                <w:rFonts w:ascii="Arial" w:cs="Arial" w:eastAsia="Arial" w:hAnsi="Arial"/>
                <w:sz w:val="14"/>
                <w:szCs w:val="14"/>
                <w:b w:val="1"/>
                <w:bCs w:val="1"/>
                <w:color w:val="001641"/>
              </w:rPr>
              <w:t>Patrice Louvet</w:t>
            </w:r>
          </w:p>
        </w:tc>
        <w:tc>
          <w:tcPr>
            <w:tcW w:w="5420" w:type="dxa"/>
            <w:vAlign w:val="bottom"/>
          </w:tcPr>
          <w:p>
            <w:pPr>
              <w:ind w:left="360"/>
              <w:spacing w:after="0"/>
              <w:rPr>
                <w:sz w:val="20"/>
                <w:szCs w:val="20"/>
                <w:color w:val="auto"/>
              </w:rPr>
            </w:pPr>
            <w:r>
              <w:rPr>
                <w:rFonts w:ascii="Arial" w:cs="Arial" w:eastAsia="Arial" w:hAnsi="Arial"/>
                <w:sz w:val="14"/>
                <w:szCs w:val="14"/>
                <w:color w:val="001641"/>
              </w:rPr>
              <w:t>President and Chief Executive Officer (“CEO”)</w:t>
            </w:r>
          </w:p>
        </w:tc>
        <w:tc>
          <w:tcPr>
            <w:tcW w:w="0" w:type="dxa"/>
            <w:vAlign w:val="bottom"/>
          </w:tcPr>
          <w:p>
            <w:pPr>
              <w:spacing w:after="0"/>
              <w:rPr>
                <w:sz w:val="1"/>
                <w:szCs w:val="1"/>
                <w:color w:val="auto"/>
              </w:rPr>
            </w:pPr>
          </w:p>
        </w:tc>
      </w:tr>
      <w:tr>
        <w:trPr>
          <w:trHeight w:val="43"/>
        </w:trPr>
        <w:tc>
          <w:tcPr>
            <w:tcW w:w="100" w:type="dxa"/>
            <w:vAlign w:val="bottom"/>
            <w:tcBorders>
              <w:bottom w:val="single" w:sz="8" w:color="BFA071"/>
            </w:tcBorders>
          </w:tcPr>
          <w:p>
            <w:pPr>
              <w:spacing w:after="0"/>
              <w:rPr>
                <w:sz w:val="3"/>
                <w:szCs w:val="3"/>
                <w:color w:val="auto"/>
              </w:rPr>
            </w:pPr>
          </w:p>
        </w:tc>
        <w:tc>
          <w:tcPr>
            <w:tcW w:w="1380" w:type="dxa"/>
            <w:vAlign w:val="bottom"/>
            <w:tcBorders>
              <w:bottom w:val="single" w:sz="8" w:color="BFA071"/>
            </w:tcBorders>
          </w:tcPr>
          <w:p>
            <w:pPr>
              <w:spacing w:after="0"/>
              <w:rPr>
                <w:sz w:val="3"/>
                <w:szCs w:val="3"/>
                <w:color w:val="auto"/>
              </w:rPr>
            </w:pPr>
          </w:p>
        </w:tc>
        <w:tc>
          <w:tcPr>
            <w:tcW w:w="5420" w:type="dxa"/>
            <w:vAlign w:val="bottom"/>
            <w:tcBorders>
              <w:bottom w:val="single" w:sz="8" w:color="BFA071"/>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1380" w:type="dxa"/>
            <w:vAlign w:val="bottom"/>
          </w:tcPr>
          <w:p>
            <w:pPr>
              <w:ind w:left="60"/>
              <w:spacing w:after="0"/>
              <w:rPr>
                <w:sz w:val="20"/>
                <w:szCs w:val="20"/>
                <w:color w:val="auto"/>
              </w:rPr>
            </w:pPr>
            <w:r>
              <w:rPr>
                <w:rFonts w:ascii="Arial" w:cs="Arial" w:eastAsia="Arial" w:hAnsi="Arial"/>
                <w:sz w:val="14"/>
                <w:szCs w:val="14"/>
                <w:b w:val="1"/>
                <w:bCs w:val="1"/>
                <w:color w:val="001641"/>
              </w:rPr>
              <w:t>Robert Ranftl</w:t>
            </w:r>
          </w:p>
        </w:tc>
        <w:tc>
          <w:tcPr>
            <w:tcW w:w="5420" w:type="dxa"/>
            <w:vAlign w:val="bottom"/>
          </w:tcPr>
          <w:p>
            <w:pPr>
              <w:ind w:left="360"/>
              <w:spacing w:after="0"/>
              <w:rPr>
                <w:sz w:val="20"/>
                <w:szCs w:val="20"/>
                <w:color w:val="auto"/>
              </w:rPr>
            </w:pPr>
            <w:r>
              <w:rPr>
                <w:rFonts w:ascii="Arial" w:cs="Arial" w:eastAsia="Arial" w:hAnsi="Arial"/>
                <w:sz w:val="14"/>
                <w:szCs w:val="14"/>
                <w:color w:val="001641"/>
              </w:rPr>
              <w:t>Chief Operating Officer (“COO”)</w:t>
            </w:r>
          </w:p>
        </w:tc>
        <w:tc>
          <w:tcPr>
            <w:tcW w:w="0" w:type="dxa"/>
            <w:vAlign w:val="bottom"/>
          </w:tcPr>
          <w:p>
            <w:pPr>
              <w:spacing w:after="0"/>
              <w:rPr>
                <w:sz w:val="1"/>
                <w:szCs w:val="1"/>
                <w:color w:val="auto"/>
              </w:rPr>
            </w:pPr>
          </w:p>
        </w:tc>
      </w:tr>
      <w:tr>
        <w:trPr>
          <w:trHeight w:val="43"/>
        </w:trPr>
        <w:tc>
          <w:tcPr>
            <w:tcW w:w="100" w:type="dxa"/>
            <w:vAlign w:val="bottom"/>
            <w:tcBorders>
              <w:bottom w:val="single" w:sz="8" w:color="BFA071"/>
            </w:tcBorders>
          </w:tcPr>
          <w:p>
            <w:pPr>
              <w:spacing w:after="0"/>
              <w:rPr>
                <w:sz w:val="3"/>
                <w:szCs w:val="3"/>
                <w:color w:val="auto"/>
              </w:rPr>
            </w:pPr>
          </w:p>
        </w:tc>
        <w:tc>
          <w:tcPr>
            <w:tcW w:w="1380" w:type="dxa"/>
            <w:vAlign w:val="bottom"/>
            <w:tcBorders>
              <w:bottom w:val="single" w:sz="8" w:color="BFA071"/>
            </w:tcBorders>
          </w:tcPr>
          <w:p>
            <w:pPr>
              <w:spacing w:after="0"/>
              <w:rPr>
                <w:sz w:val="3"/>
                <w:szCs w:val="3"/>
                <w:color w:val="auto"/>
              </w:rPr>
            </w:pPr>
          </w:p>
        </w:tc>
        <w:tc>
          <w:tcPr>
            <w:tcW w:w="5420" w:type="dxa"/>
            <w:vAlign w:val="bottom"/>
            <w:tcBorders>
              <w:bottom w:val="single" w:sz="8" w:color="BFA071"/>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1380" w:type="dxa"/>
            <w:vAlign w:val="bottom"/>
          </w:tcPr>
          <w:p>
            <w:pPr>
              <w:ind w:left="60"/>
              <w:spacing w:after="0"/>
              <w:rPr>
                <w:sz w:val="20"/>
                <w:szCs w:val="20"/>
                <w:color w:val="auto"/>
              </w:rPr>
            </w:pPr>
            <w:r>
              <w:rPr>
                <w:rFonts w:ascii="Arial" w:cs="Arial" w:eastAsia="Arial" w:hAnsi="Arial"/>
                <w:sz w:val="14"/>
                <w:szCs w:val="14"/>
                <w:b w:val="1"/>
                <w:bCs w:val="1"/>
                <w:color w:val="001641"/>
              </w:rPr>
              <w:t>Justin Picicci</w:t>
            </w:r>
          </w:p>
        </w:tc>
        <w:tc>
          <w:tcPr>
            <w:tcW w:w="5420" w:type="dxa"/>
            <w:vAlign w:val="bottom"/>
          </w:tcPr>
          <w:p>
            <w:pPr>
              <w:ind w:left="360"/>
              <w:spacing w:after="0"/>
              <w:rPr>
                <w:sz w:val="20"/>
                <w:szCs w:val="20"/>
                <w:color w:val="auto"/>
              </w:rPr>
            </w:pPr>
            <w:r>
              <w:rPr>
                <w:rFonts w:ascii="Arial" w:cs="Arial" w:eastAsia="Arial" w:hAnsi="Arial"/>
                <w:sz w:val="14"/>
                <w:szCs w:val="14"/>
                <w:color w:val="001641"/>
              </w:rPr>
              <w:t>Chief Financial Officer (“CFO”)</w:t>
            </w:r>
          </w:p>
        </w:tc>
        <w:tc>
          <w:tcPr>
            <w:tcW w:w="0" w:type="dxa"/>
            <w:vAlign w:val="bottom"/>
          </w:tcPr>
          <w:p>
            <w:pPr>
              <w:spacing w:after="0"/>
              <w:rPr>
                <w:sz w:val="1"/>
                <w:szCs w:val="1"/>
                <w:color w:val="auto"/>
              </w:rPr>
            </w:pPr>
          </w:p>
        </w:tc>
      </w:tr>
      <w:tr>
        <w:trPr>
          <w:trHeight w:val="43"/>
        </w:trPr>
        <w:tc>
          <w:tcPr>
            <w:tcW w:w="100" w:type="dxa"/>
            <w:vAlign w:val="bottom"/>
            <w:tcBorders>
              <w:bottom w:val="single" w:sz="8" w:color="BFA071"/>
            </w:tcBorders>
          </w:tcPr>
          <w:p>
            <w:pPr>
              <w:spacing w:after="0"/>
              <w:rPr>
                <w:sz w:val="3"/>
                <w:szCs w:val="3"/>
                <w:color w:val="auto"/>
              </w:rPr>
            </w:pPr>
          </w:p>
        </w:tc>
        <w:tc>
          <w:tcPr>
            <w:tcW w:w="1380" w:type="dxa"/>
            <w:vAlign w:val="bottom"/>
            <w:tcBorders>
              <w:bottom w:val="single" w:sz="8" w:color="BFA071"/>
            </w:tcBorders>
          </w:tcPr>
          <w:p>
            <w:pPr>
              <w:spacing w:after="0"/>
              <w:rPr>
                <w:sz w:val="3"/>
                <w:szCs w:val="3"/>
                <w:color w:val="auto"/>
              </w:rPr>
            </w:pPr>
          </w:p>
        </w:tc>
        <w:tc>
          <w:tcPr>
            <w:tcW w:w="5420" w:type="dxa"/>
            <w:vAlign w:val="bottom"/>
            <w:tcBorders>
              <w:bottom w:val="single" w:sz="8" w:color="BFA071"/>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1380" w:type="dxa"/>
            <w:vAlign w:val="bottom"/>
          </w:tcPr>
          <w:p>
            <w:pPr>
              <w:ind w:left="60"/>
              <w:spacing w:after="0"/>
              <w:rPr>
                <w:sz w:val="20"/>
                <w:szCs w:val="20"/>
                <w:color w:val="auto"/>
              </w:rPr>
            </w:pPr>
            <w:r>
              <w:rPr>
                <w:rFonts w:ascii="Arial" w:cs="Arial" w:eastAsia="Arial" w:hAnsi="Arial"/>
                <w:sz w:val="14"/>
                <w:szCs w:val="14"/>
                <w:b w:val="1"/>
                <w:bCs w:val="1"/>
                <w:color w:val="001641"/>
              </w:rPr>
              <w:t>Halide Alagoz</w:t>
            </w:r>
          </w:p>
        </w:tc>
        <w:tc>
          <w:tcPr>
            <w:tcW w:w="5420" w:type="dxa"/>
            <w:vAlign w:val="bottom"/>
          </w:tcPr>
          <w:p>
            <w:pPr>
              <w:ind w:left="360"/>
              <w:spacing w:after="0"/>
              <w:rPr>
                <w:sz w:val="20"/>
                <w:szCs w:val="20"/>
                <w:color w:val="auto"/>
              </w:rPr>
            </w:pPr>
            <w:r>
              <w:rPr>
                <w:rFonts w:ascii="Arial" w:cs="Arial" w:eastAsia="Arial" w:hAnsi="Arial"/>
                <w:sz w:val="14"/>
                <w:szCs w:val="14"/>
                <w:color w:val="001641"/>
              </w:rPr>
              <w:t>Chief Product &amp; Merchandising Officer</w:t>
            </w:r>
          </w:p>
        </w:tc>
        <w:tc>
          <w:tcPr>
            <w:tcW w:w="0" w:type="dxa"/>
            <w:vAlign w:val="bottom"/>
          </w:tcPr>
          <w:p>
            <w:pPr>
              <w:spacing w:after="0"/>
              <w:rPr>
                <w:sz w:val="1"/>
                <w:szCs w:val="1"/>
                <w:color w:val="auto"/>
              </w:rPr>
            </w:pPr>
          </w:p>
        </w:tc>
      </w:tr>
      <w:tr>
        <w:trPr>
          <w:trHeight w:val="43"/>
        </w:trPr>
        <w:tc>
          <w:tcPr>
            <w:tcW w:w="100" w:type="dxa"/>
            <w:vAlign w:val="bottom"/>
            <w:tcBorders>
              <w:bottom w:val="single" w:sz="8" w:color="BFA071"/>
            </w:tcBorders>
          </w:tcPr>
          <w:p>
            <w:pPr>
              <w:spacing w:after="0"/>
              <w:rPr>
                <w:sz w:val="3"/>
                <w:szCs w:val="3"/>
                <w:color w:val="auto"/>
              </w:rPr>
            </w:pPr>
          </w:p>
        </w:tc>
        <w:tc>
          <w:tcPr>
            <w:tcW w:w="1380" w:type="dxa"/>
            <w:vAlign w:val="bottom"/>
            <w:tcBorders>
              <w:bottom w:val="single" w:sz="8" w:color="BFA071"/>
            </w:tcBorders>
          </w:tcPr>
          <w:p>
            <w:pPr>
              <w:spacing w:after="0"/>
              <w:rPr>
                <w:sz w:val="3"/>
                <w:szCs w:val="3"/>
                <w:color w:val="auto"/>
              </w:rPr>
            </w:pPr>
          </w:p>
        </w:tc>
        <w:tc>
          <w:tcPr>
            <w:tcW w:w="5420" w:type="dxa"/>
            <w:vAlign w:val="bottom"/>
            <w:tcBorders>
              <w:bottom w:val="single" w:sz="8" w:color="BFA071"/>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380" w:type="dxa"/>
            <w:vAlign w:val="bottom"/>
            <w:vMerge w:val="restart"/>
          </w:tcPr>
          <w:p>
            <w:pPr>
              <w:ind w:left="60"/>
              <w:spacing w:after="0"/>
              <w:rPr>
                <w:sz w:val="20"/>
                <w:szCs w:val="20"/>
                <w:color w:val="auto"/>
              </w:rPr>
            </w:pPr>
            <w:r>
              <w:rPr>
                <w:rFonts w:ascii="Arial" w:cs="Arial" w:eastAsia="Arial" w:hAnsi="Arial"/>
                <w:sz w:val="14"/>
                <w:szCs w:val="14"/>
                <w:b w:val="1"/>
                <w:bCs w:val="1"/>
                <w:color w:val="001641"/>
              </w:rPr>
              <w:t>David Lauren</w:t>
            </w:r>
          </w:p>
        </w:tc>
        <w:tc>
          <w:tcPr>
            <w:tcW w:w="5420" w:type="dxa"/>
            <w:vAlign w:val="bottom"/>
          </w:tcPr>
          <w:p>
            <w:pPr>
              <w:ind w:left="360"/>
              <w:spacing w:after="0"/>
              <w:rPr>
                <w:sz w:val="20"/>
                <w:szCs w:val="20"/>
                <w:color w:val="auto"/>
              </w:rPr>
            </w:pPr>
            <w:r>
              <w:rPr>
                <w:rFonts w:ascii="Arial" w:cs="Arial" w:eastAsia="Arial" w:hAnsi="Arial"/>
                <w:sz w:val="14"/>
                <w:szCs w:val="14"/>
                <w:color w:val="001641"/>
              </w:rPr>
              <w:t>Chief Branding and Innovation Officer, Vice Chairman of the Board (“Chief</w:t>
            </w: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5420" w:type="dxa"/>
            <w:vAlign w:val="bottom"/>
            <w:vMerge w:val="restart"/>
          </w:tcPr>
          <w:p>
            <w:pPr>
              <w:ind w:left="360"/>
              <w:spacing w:after="0"/>
              <w:rPr>
                <w:sz w:val="20"/>
                <w:szCs w:val="20"/>
                <w:color w:val="auto"/>
              </w:rPr>
            </w:pPr>
            <w:r>
              <w:rPr>
                <w:rFonts w:ascii="Arial" w:cs="Arial" w:eastAsia="Arial" w:hAnsi="Arial"/>
                <w:sz w:val="14"/>
                <w:szCs w:val="14"/>
                <w:color w:val="001641"/>
              </w:rPr>
              <w:t>Branding and Innovation Officer”)</w:t>
            </w:r>
          </w:p>
        </w:tc>
        <w:tc>
          <w:tcPr>
            <w:tcW w:w="0" w:type="dxa"/>
            <w:vAlign w:val="bottom"/>
          </w:tcPr>
          <w:p>
            <w:pPr>
              <w:spacing w:after="0"/>
              <w:rPr>
                <w:sz w:val="1"/>
                <w:szCs w:val="1"/>
                <w:color w:val="auto"/>
              </w:rPr>
            </w:pPr>
          </w:p>
        </w:tc>
      </w:tr>
      <w:tr>
        <w:trPr>
          <w:trHeight w:val="79"/>
        </w:trPr>
        <w:tc>
          <w:tcPr>
            <w:tcW w:w="100" w:type="dxa"/>
            <w:vAlign w:val="bottom"/>
            <w:tcBorders>
              <w:bottom w:val="single" w:sz="8" w:color="001641"/>
            </w:tcBorders>
          </w:tcPr>
          <w:p>
            <w:pPr>
              <w:spacing w:after="0"/>
              <w:rPr>
                <w:sz w:val="6"/>
                <w:szCs w:val="6"/>
                <w:color w:val="auto"/>
              </w:rPr>
            </w:pPr>
          </w:p>
        </w:tc>
        <w:tc>
          <w:tcPr>
            <w:tcW w:w="1380" w:type="dxa"/>
            <w:vAlign w:val="bottom"/>
            <w:tcBorders>
              <w:bottom w:val="single" w:sz="8" w:color="001641"/>
            </w:tcBorders>
          </w:tcPr>
          <w:p>
            <w:pPr>
              <w:spacing w:after="0"/>
              <w:rPr>
                <w:sz w:val="6"/>
                <w:szCs w:val="6"/>
                <w:color w:val="auto"/>
              </w:rPr>
            </w:pPr>
          </w:p>
        </w:tc>
        <w:tc>
          <w:tcPr>
            <w:tcW w:w="5420" w:type="dxa"/>
            <w:vAlign w:val="bottom"/>
            <w:tcBorders>
              <w:bottom w:val="single" w:sz="8" w:color="001641"/>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20"/>
        <w:spacing w:after="0"/>
        <w:rPr>
          <w:sz w:val="20"/>
          <w:szCs w:val="20"/>
          <w:color w:val="auto"/>
        </w:rPr>
      </w:pPr>
      <w:r>
        <w:rPr>
          <w:rFonts w:ascii="Arial" w:cs="Arial" w:eastAsia="Arial" w:hAnsi="Arial"/>
          <w:sz w:val="16"/>
          <w:szCs w:val="16"/>
          <w:color w:val="001641"/>
        </w:rPr>
        <w:t>The CD&amp;A includes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BFA071"/>
        </w:rPr>
        <w:t>To inspire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-433070</wp:posOffset>
            </wp:positionV>
            <wp:extent cx="1238250" cy="19240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38250" cy="1924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BFA071"/>
        </w:rPr>
        <w:t>the dream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BFA071"/>
        </w:rPr>
        <w:t>of a better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BFA071"/>
        </w:rPr>
        <w:t>life through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BFA071"/>
        </w:rPr>
        <w:t>authenticity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BFA071"/>
        </w:rPr>
        <w:t>and timeless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BFA071"/>
        </w:rPr>
        <w:t>style.</w:t>
      </w:r>
    </w:p>
    <w:p>
      <w:pPr>
        <w:spacing w:after="0" w:line="1278" w:lineRule="exact"/>
        <w:rPr>
          <w:sz w:val="20"/>
          <w:szCs w:val="20"/>
          <w:color w:val="auto"/>
        </w:rPr>
      </w:pPr>
    </w:p>
    <w:p>
      <w:pPr>
        <w:sectPr>
          <w:pgSz w:w="11900" w:h="16838" w:orient="portrait"/>
          <w:cols w:equalWidth="0" w:num="2">
            <w:col w:w="7820" w:space="600"/>
            <w:col w:w="2600"/>
          </w:cols>
          <w:pgMar w:left="440" w:top="114" w:right="439"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920" w:type="dxa"/>
            <w:vAlign w:val="bottom"/>
          </w:tcPr>
          <w:p>
            <w:pPr>
              <w:spacing w:after="0"/>
              <w:rPr>
                <w:sz w:val="24"/>
                <w:szCs w:val="24"/>
                <w:color w:val="auto"/>
              </w:rPr>
            </w:pPr>
          </w:p>
        </w:tc>
        <w:tc>
          <w:tcPr>
            <w:tcW w:w="1940" w:type="dxa"/>
            <w:vAlign w:val="bottom"/>
            <w:tcBorders>
              <w:bottom w:val="single" w:sz="8" w:color="001641"/>
            </w:tcBorders>
            <w:shd w:val="clear" w:color="auto" w:fill="001641"/>
          </w:tcPr>
          <w:p>
            <w:pPr>
              <w:ind w:left="160"/>
              <w:spacing w:after="0"/>
              <w:rPr>
                <w:sz w:val="20"/>
                <w:szCs w:val="20"/>
                <w:color w:val="auto"/>
              </w:rPr>
            </w:pPr>
            <w:r>
              <w:rPr>
                <w:rFonts w:ascii="Arial" w:cs="Arial" w:eastAsia="Arial" w:hAnsi="Arial"/>
                <w:sz w:val="14"/>
                <w:szCs w:val="14"/>
                <w:b w:val="1"/>
                <w:bCs w:val="1"/>
                <w:color w:val="FFFFFF"/>
              </w:rPr>
              <w:t>CD&amp;A Section</w:t>
            </w:r>
          </w:p>
        </w:tc>
        <w:tc>
          <w:tcPr>
            <w:tcW w:w="7020" w:type="dxa"/>
            <w:vAlign w:val="bottom"/>
            <w:tcBorders>
              <w:bottom w:val="single" w:sz="8" w:color="BFA071"/>
            </w:tcBorders>
            <w:shd w:val="clear" w:color="auto" w:fill="BFA071"/>
          </w:tcPr>
          <w:p>
            <w:pPr>
              <w:ind w:left="100"/>
              <w:spacing w:after="0"/>
              <w:rPr>
                <w:sz w:val="20"/>
                <w:szCs w:val="20"/>
                <w:color w:val="auto"/>
              </w:rPr>
            </w:pPr>
            <w:r>
              <w:rPr>
                <w:rFonts w:ascii="Arial" w:cs="Arial" w:eastAsia="Arial" w:hAnsi="Arial"/>
                <w:sz w:val="14"/>
                <w:szCs w:val="14"/>
                <w:b w:val="1"/>
                <w:bCs w:val="1"/>
                <w:color w:val="FFFFFF"/>
              </w:rPr>
              <w:t>What’s included?</w:t>
            </w:r>
          </w:p>
        </w:tc>
        <w:tc>
          <w:tcPr>
            <w:tcW w:w="220" w:type="dxa"/>
            <w:vAlign w:val="bottom"/>
            <w:tcBorders>
              <w:bottom w:val="single" w:sz="8" w:color="BFA071"/>
            </w:tcBorders>
            <w:shd w:val="clear" w:color="auto" w:fill="BFA071"/>
          </w:tcPr>
          <w:p>
            <w:pPr>
              <w:spacing w:after="0"/>
              <w:rPr>
                <w:sz w:val="24"/>
                <w:szCs w:val="24"/>
                <w:color w:val="auto"/>
              </w:rPr>
            </w:pPr>
          </w:p>
        </w:tc>
        <w:tc>
          <w:tcPr>
            <w:tcW w:w="920" w:type="dxa"/>
            <w:vAlign w:val="bottom"/>
          </w:tcPr>
          <w:p>
            <w:pPr>
              <w:spacing w:after="0"/>
              <w:rPr>
                <w:sz w:val="24"/>
                <w:szCs w:val="24"/>
                <w:color w:val="auto"/>
              </w:rPr>
            </w:pPr>
          </w:p>
        </w:tc>
      </w:tr>
      <w:tr>
        <w:trPr>
          <w:trHeight w:val="207"/>
        </w:trPr>
        <w:tc>
          <w:tcPr>
            <w:tcW w:w="920" w:type="dxa"/>
            <w:vAlign w:val="bottom"/>
          </w:tcPr>
          <w:p>
            <w:pPr>
              <w:spacing w:after="0"/>
              <w:rPr>
                <w:sz w:val="17"/>
                <w:szCs w:val="17"/>
                <w:color w:val="auto"/>
              </w:rPr>
            </w:pPr>
          </w:p>
        </w:tc>
        <w:tc>
          <w:tcPr>
            <w:tcW w:w="1940" w:type="dxa"/>
            <w:vAlign w:val="bottom"/>
          </w:tcPr>
          <w:p>
            <w:pPr>
              <w:ind w:left="160"/>
              <w:spacing w:after="0"/>
              <w:rPr>
                <w:sz w:val="20"/>
                <w:szCs w:val="20"/>
                <w:color w:val="auto"/>
              </w:rPr>
            </w:pPr>
            <w:r>
              <w:rPr>
                <w:rFonts w:ascii="Arial" w:cs="Arial" w:eastAsia="Arial" w:hAnsi="Arial"/>
                <w:sz w:val="14"/>
                <w:szCs w:val="14"/>
                <w:b w:val="1"/>
                <w:bCs w:val="1"/>
                <w:color w:val="001641"/>
              </w:rPr>
              <w:t>Executive Summary</w:t>
            </w:r>
          </w:p>
        </w:tc>
        <w:tc>
          <w:tcPr>
            <w:tcW w:w="7020" w:type="dxa"/>
            <w:vAlign w:val="bottom"/>
            <w:shd w:val="clear" w:color="auto" w:fill="EBE1D2"/>
          </w:tcPr>
          <w:p>
            <w:pPr>
              <w:ind w:left="100"/>
              <w:spacing w:after="0"/>
              <w:rPr>
                <w:sz w:val="20"/>
                <w:szCs w:val="20"/>
                <w:color w:val="auto"/>
              </w:rPr>
            </w:pPr>
            <w:r>
              <w:rPr>
                <w:rFonts w:ascii="Arial" w:cs="Arial" w:eastAsia="Arial" w:hAnsi="Arial"/>
                <w:sz w:val="14"/>
                <w:szCs w:val="14"/>
                <w:color w:val="001641"/>
              </w:rPr>
              <w:t>Highlights of our executive compensation program, including Fiscal 2026 compensation decisions, how we</w:t>
            </w:r>
          </w:p>
        </w:tc>
        <w:tc>
          <w:tcPr>
            <w:tcW w:w="220" w:type="dxa"/>
            <w:vAlign w:val="bottom"/>
            <w:shd w:val="clear" w:color="auto" w:fill="EBE1D2"/>
          </w:tcPr>
          <w:p>
            <w:pPr>
              <w:spacing w:after="0"/>
              <w:rPr>
                <w:sz w:val="17"/>
                <w:szCs w:val="17"/>
                <w:color w:val="auto"/>
              </w:rPr>
            </w:pPr>
          </w:p>
        </w:tc>
        <w:tc>
          <w:tcPr>
            <w:tcW w:w="920" w:type="dxa"/>
            <w:vAlign w:val="bottom"/>
          </w:tcPr>
          <w:p>
            <w:pPr>
              <w:spacing w:after="0"/>
              <w:rPr>
                <w:sz w:val="17"/>
                <w:szCs w:val="17"/>
                <w:color w:val="auto"/>
              </w:rPr>
            </w:pPr>
          </w:p>
        </w:tc>
      </w:tr>
      <w:tr>
        <w:trPr>
          <w:trHeight w:val="162"/>
        </w:trPr>
        <w:tc>
          <w:tcPr>
            <w:tcW w:w="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20" w:type="dxa"/>
            <w:vAlign w:val="bottom"/>
            <w:shd w:val="clear" w:color="auto" w:fill="EBE1D2"/>
          </w:tcPr>
          <w:p>
            <w:pPr>
              <w:ind w:left="100"/>
              <w:spacing w:after="0"/>
              <w:rPr>
                <w:sz w:val="20"/>
                <w:szCs w:val="20"/>
                <w:color w:val="auto"/>
              </w:rPr>
            </w:pPr>
            <w:r>
              <w:rPr>
                <w:rFonts w:ascii="Arial" w:cs="Arial" w:eastAsia="Arial" w:hAnsi="Arial"/>
                <w:sz w:val="14"/>
                <w:szCs w:val="14"/>
                <w:color w:val="001641"/>
              </w:rPr>
              <w:t>connect pay with performance and Company achievements, and an overview of our executive compensation</w:t>
            </w:r>
          </w:p>
        </w:tc>
        <w:tc>
          <w:tcPr>
            <w:tcW w:w="220" w:type="dxa"/>
            <w:vAlign w:val="bottom"/>
            <w:shd w:val="clear" w:color="auto" w:fill="EBE1D2"/>
          </w:tcPr>
          <w:p>
            <w:pPr>
              <w:spacing w:after="0"/>
              <w:rPr>
                <w:sz w:val="14"/>
                <w:szCs w:val="14"/>
                <w:color w:val="auto"/>
              </w:rPr>
            </w:pPr>
          </w:p>
        </w:tc>
        <w:tc>
          <w:tcPr>
            <w:tcW w:w="920" w:type="dxa"/>
            <w:vAlign w:val="bottom"/>
          </w:tcPr>
          <w:p>
            <w:pPr>
              <w:spacing w:after="0"/>
              <w:rPr>
                <w:sz w:val="14"/>
                <w:szCs w:val="14"/>
                <w:color w:val="auto"/>
              </w:rPr>
            </w:pPr>
          </w:p>
        </w:tc>
      </w:tr>
      <w:tr>
        <w:trPr>
          <w:trHeight w:val="225"/>
        </w:trPr>
        <w:tc>
          <w:tcPr>
            <w:tcW w:w="9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020" w:type="dxa"/>
            <w:vAlign w:val="bottom"/>
            <w:tcBorders>
              <w:bottom w:val="single" w:sz="8" w:color="EBE1D2"/>
            </w:tcBorders>
            <w:shd w:val="clear" w:color="auto" w:fill="EBE1D2"/>
          </w:tcPr>
          <w:p>
            <w:pPr>
              <w:ind w:left="100"/>
              <w:spacing w:after="0"/>
              <w:rPr>
                <w:sz w:val="20"/>
                <w:szCs w:val="20"/>
                <w:color w:val="auto"/>
              </w:rPr>
            </w:pPr>
            <w:r>
              <w:rPr>
                <w:rFonts w:ascii="Arial" w:cs="Arial" w:eastAsia="Arial" w:hAnsi="Arial"/>
                <w:sz w:val="14"/>
                <w:szCs w:val="14"/>
                <w:color w:val="001641"/>
              </w:rPr>
              <w:t>governance practices</w:t>
            </w:r>
          </w:p>
        </w:tc>
        <w:tc>
          <w:tcPr>
            <w:tcW w:w="220" w:type="dxa"/>
            <w:vAlign w:val="bottom"/>
            <w:tcBorders>
              <w:bottom w:val="single" w:sz="8" w:color="EBE1D2"/>
            </w:tcBorders>
            <w:shd w:val="clear" w:color="auto" w:fill="EBE1D2"/>
          </w:tcPr>
          <w:p>
            <w:pPr>
              <w:spacing w:after="0"/>
              <w:rPr>
                <w:sz w:val="19"/>
                <w:szCs w:val="19"/>
                <w:color w:val="auto"/>
              </w:rPr>
            </w:pPr>
          </w:p>
        </w:tc>
        <w:tc>
          <w:tcPr>
            <w:tcW w:w="920" w:type="dxa"/>
            <w:vAlign w:val="bottom"/>
          </w:tcPr>
          <w:p>
            <w:pPr>
              <w:spacing w:after="0"/>
              <w:rPr>
                <w:sz w:val="19"/>
                <w:szCs w:val="19"/>
                <w:color w:val="auto"/>
              </w:rPr>
            </w:pPr>
          </w:p>
        </w:tc>
      </w:tr>
      <w:tr>
        <w:trPr>
          <w:trHeight w:val="200"/>
        </w:trPr>
        <w:tc>
          <w:tcPr>
            <w:tcW w:w="920" w:type="dxa"/>
            <w:vAlign w:val="bottom"/>
          </w:tcPr>
          <w:p>
            <w:pPr>
              <w:spacing w:after="0"/>
              <w:rPr>
                <w:sz w:val="17"/>
                <w:szCs w:val="17"/>
                <w:color w:val="auto"/>
              </w:rPr>
            </w:pPr>
          </w:p>
        </w:tc>
        <w:tc>
          <w:tcPr>
            <w:tcW w:w="1940" w:type="dxa"/>
            <w:vAlign w:val="bottom"/>
            <w:tcBorders>
              <w:top w:val="single" w:sz="8" w:color="BFA071"/>
            </w:tcBorders>
          </w:tcPr>
          <w:p>
            <w:pPr>
              <w:ind w:left="160"/>
              <w:spacing w:after="0"/>
              <w:rPr>
                <w:sz w:val="20"/>
                <w:szCs w:val="20"/>
                <w:color w:val="auto"/>
              </w:rPr>
            </w:pPr>
            <w:r>
              <w:rPr>
                <w:rFonts w:ascii="Arial" w:cs="Arial" w:eastAsia="Arial" w:hAnsi="Arial"/>
                <w:sz w:val="14"/>
                <w:szCs w:val="14"/>
                <w:b w:val="1"/>
                <w:bCs w:val="1"/>
                <w:color w:val="001641"/>
              </w:rPr>
              <w:t>Stockholder Feedback</w:t>
            </w:r>
          </w:p>
        </w:tc>
        <w:tc>
          <w:tcPr>
            <w:tcW w:w="7020" w:type="dxa"/>
            <w:vAlign w:val="bottom"/>
            <w:tcBorders>
              <w:top w:val="single" w:sz="8" w:color="BFA071"/>
            </w:tcBorders>
            <w:shd w:val="clear" w:color="auto" w:fill="EBE1D2"/>
          </w:tcPr>
          <w:p>
            <w:pPr>
              <w:ind w:left="100"/>
              <w:spacing w:after="0"/>
              <w:rPr>
                <w:sz w:val="20"/>
                <w:szCs w:val="20"/>
                <w:color w:val="auto"/>
              </w:rPr>
            </w:pPr>
            <w:r>
              <w:rPr>
                <w:rFonts w:ascii="Arial" w:cs="Arial" w:eastAsia="Arial" w:hAnsi="Arial"/>
                <w:sz w:val="14"/>
                <w:szCs w:val="14"/>
                <w:color w:val="001641"/>
              </w:rPr>
              <w:t>Our stockholder engagement process and Talent Committee consideration of Say on Pay votes, and a</w:t>
            </w:r>
          </w:p>
        </w:tc>
        <w:tc>
          <w:tcPr>
            <w:tcW w:w="220" w:type="dxa"/>
            <w:vAlign w:val="bottom"/>
            <w:tcBorders>
              <w:top w:val="single" w:sz="8" w:color="BFA071"/>
            </w:tcBorders>
            <w:shd w:val="clear" w:color="auto" w:fill="EBE1D2"/>
          </w:tcPr>
          <w:p>
            <w:pPr>
              <w:spacing w:after="0"/>
              <w:rPr>
                <w:sz w:val="17"/>
                <w:szCs w:val="17"/>
                <w:color w:val="auto"/>
              </w:rPr>
            </w:pPr>
          </w:p>
        </w:tc>
        <w:tc>
          <w:tcPr>
            <w:tcW w:w="920" w:type="dxa"/>
            <w:vAlign w:val="bottom"/>
          </w:tcPr>
          <w:p>
            <w:pPr>
              <w:spacing w:after="0"/>
              <w:rPr>
                <w:sz w:val="17"/>
                <w:szCs w:val="17"/>
                <w:color w:val="auto"/>
              </w:rPr>
            </w:pPr>
          </w:p>
        </w:tc>
      </w:tr>
      <w:tr>
        <w:trPr>
          <w:trHeight w:val="162"/>
        </w:trPr>
        <w:tc>
          <w:tcPr>
            <w:tcW w:w="9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b w:val="1"/>
                <w:bCs w:val="1"/>
                <w:color w:val="001641"/>
              </w:rPr>
              <w:t>and Talent Committee</w:t>
            </w:r>
          </w:p>
        </w:tc>
        <w:tc>
          <w:tcPr>
            <w:tcW w:w="7020" w:type="dxa"/>
            <w:vAlign w:val="bottom"/>
            <w:shd w:val="clear" w:color="auto" w:fill="EBE1D2"/>
          </w:tcPr>
          <w:p>
            <w:pPr>
              <w:ind w:left="100"/>
              <w:spacing w:after="0"/>
              <w:rPr>
                <w:sz w:val="20"/>
                <w:szCs w:val="20"/>
                <w:color w:val="auto"/>
              </w:rPr>
            </w:pPr>
            <w:r>
              <w:rPr>
                <w:rFonts w:ascii="Arial" w:cs="Arial" w:eastAsia="Arial" w:hAnsi="Arial"/>
                <w:sz w:val="14"/>
                <w:szCs w:val="14"/>
                <w:color w:val="001641"/>
              </w:rPr>
              <w:t>preview of our Fiscal 2027 executive compensation program</w:t>
            </w:r>
          </w:p>
        </w:tc>
        <w:tc>
          <w:tcPr>
            <w:tcW w:w="220" w:type="dxa"/>
            <w:vAlign w:val="bottom"/>
            <w:shd w:val="clear" w:color="auto" w:fill="EBE1D2"/>
          </w:tcPr>
          <w:p>
            <w:pPr>
              <w:spacing w:after="0"/>
              <w:rPr>
                <w:sz w:val="14"/>
                <w:szCs w:val="14"/>
                <w:color w:val="auto"/>
              </w:rPr>
            </w:pPr>
          </w:p>
        </w:tc>
        <w:tc>
          <w:tcPr>
            <w:tcW w:w="920" w:type="dxa"/>
            <w:vAlign w:val="bottom"/>
          </w:tcPr>
          <w:p>
            <w:pPr>
              <w:spacing w:after="0"/>
              <w:rPr>
                <w:sz w:val="14"/>
                <w:szCs w:val="14"/>
                <w:color w:val="auto"/>
              </w:rPr>
            </w:pPr>
          </w:p>
        </w:tc>
      </w:tr>
      <w:tr>
        <w:trPr>
          <w:trHeight w:val="225"/>
        </w:trPr>
        <w:tc>
          <w:tcPr>
            <w:tcW w:w="920" w:type="dxa"/>
            <w:vAlign w:val="bottom"/>
          </w:tcPr>
          <w:p>
            <w:pPr>
              <w:spacing w:after="0"/>
              <w:rPr>
                <w:sz w:val="19"/>
                <w:szCs w:val="19"/>
                <w:color w:val="auto"/>
              </w:rPr>
            </w:pPr>
          </w:p>
        </w:tc>
        <w:tc>
          <w:tcPr>
            <w:tcW w:w="1940" w:type="dxa"/>
            <w:vAlign w:val="bottom"/>
          </w:tcPr>
          <w:p>
            <w:pPr>
              <w:ind w:left="160"/>
              <w:spacing w:after="0"/>
              <w:rPr>
                <w:sz w:val="20"/>
                <w:szCs w:val="20"/>
                <w:color w:val="auto"/>
              </w:rPr>
            </w:pPr>
            <w:r>
              <w:rPr>
                <w:rFonts w:ascii="Arial" w:cs="Arial" w:eastAsia="Arial" w:hAnsi="Arial"/>
                <w:sz w:val="14"/>
                <w:szCs w:val="14"/>
                <w:b w:val="1"/>
                <w:bCs w:val="1"/>
                <w:color w:val="001641"/>
              </w:rPr>
              <w:t>Response</w:t>
            </w:r>
          </w:p>
        </w:tc>
        <w:tc>
          <w:tcPr>
            <w:tcW w:w="7020" w:type="dxa"/>
            <w:vAlign w:val="bottom"/>
            <w:tcBorders>
              <w:bottom w:val="single" w:sz="8" w:color="EBE1D2"/>
            </w:tcBorders>
            <w:shd w:val="clear" w:color="auto" w:fill="EBE1D2"/>
          </w:tcPr>
          <w:p>
            <w:pPr>
              <w:spacing w:after="0"/>
              <w:rPr>
                <w:sz w:val="19"/>
                <w:szCs w:val="19"/>
                <w:color w:val="auto"/>
              </w:rPr>
            </w:pPr>
          </w:p>
        </w:tc>
        <w:tc>
          <w:tcPr>
            <w:tcW w:w="220" w:type="dxa"/>
            <w:vAlign w:val="bottom"/>
            <w:tcBorders>
              <w:bottom w:val="single" w:sz="8" w:color="EBE1D2"/>
            </w:tcBorders>
            <w:shd w:val="clear" w:color="auto" w:fill="EBE1D2"/>
          </w:tcPr>
          <w:p>
            <w:pPr>
              <w:spacing w:after="0"/>
              <w:rPr>
                <w:sz w:val="19"/>
                <w:szCs w:val="19"/>
                <w:color w:val="auto"/>
              </w:rPr>
            </w:pPr>
          </w:p>
        </w:tc>
        <w:tc>
          <w:tcPr>
            <w:tcW w:w="920" w:type="dxa"/>
            <w:vAlign w:val="bottom"/>
          </w:tcPr>
          <w:p>
            <w:pPr>
              <w:spacing w:after="0"/>
              <w:rPr>
                <w:sz w:val="19"/>
                <w:szCs w:val="19"/>
                <w:color w:val="auto"/>
              </w:rPr>
            </w:pPr>
          </w:p>
        </w:tc>
      </w:tr>
      <w:tr>
        <w:trPr>
          <w:trHeight w:val="200"/>
        </w:trPr>
        <w:tc>
          <w:tcPr>
            <w:tcW w:w="920" w:type="dxa"/>
            <w:vAlign w:val="bottom"/>
          </w:tcPr>
          <w:p>
            <w:pPr>
              <w:spacing w:after="0"/>
              <w:rPr>
                <w:sz w:val="17"/>
                <w:szCs w:val="17"/>
                <w:color w:val="auto"/>
              </w:rPr>
            </w:pPr>
          </w:p>
        </w:tc>
        <w:tc>
          <w:tcPr>
            <w:tcW w:w="1940" w:type="dxa"/>
            <w:vAlign w:val="bottom"/>
            <w:tcBorders>
              <w:top w:val="single" w:sz="8" w:color="BFA071"/>
            </w:tcBorders>
          </w:tcPr>
          <w:p>
            <w:pPr>
              <w:ind w:left="160"/>
              <w:spacing w:after="0"/>
              <w:rPr>
                <w:sz w:val="20"/>
                <w:szCs w:val="20"/>
                <w:color w:val="auto"/>
              </w:rPr>
            </w:pPr>
            <w:r>
              <w:rPr>
                <w:rFonts w:ascii="Arial" w:cs="Arial" w:eastAsia="Arial" w:hAnsi="Arial"/>
                <w:sz w:val="14"/>
                <w:szCs w:val="14"/>
                <w:b w:val="1"/>
                <w:bCs w:val="1"/>
                <w:color w:val="001641"/>
              </w:rPr>
              <w:t>Governance</w:t>
            </w:r>
          </w:p>
        </w:tc>
        <w:tc>
          <w:tcPr>
            <w:tcW w:w="7240" w:type="dxa"/>
            <w:vAlign w:val="bottom"/>
            <w:tcBorders>
              <w:top w:val="single" w:sz="8" w:color="BFA071"/>
            </w:tcBorders>
            <w:gridSpan w:val="2"/>
            <w:shd w:val="clear" w:color="auto" w:fill="EBE1D2"/>
          </w:tcPr>
          <w:p>
            <w:pPr>
              <w:ind w:left="100"/>
              <w:spacing w:after="0"/>
              <w:rPr>
                <w:sz w:val="20"/>
                <w:szCs w:val="20"/>
                <w:color w:val="auto"/>
              </w:rPr>
            </w:pPr>
            <w:r>
              <w:rPr>
                <w:rFonts w:ascii="Arial" w:cs="Arial" w:eastAsia="Arial" w:hAnsi="Arial"/>
                <w:sz w:val="14"/>
                <w:szCs w:val="14"/>
                <w:color w:val="001641"/>
              </w:rPr>
              <w:t>Summary of the factors considered by the Talent Committee in compensation goal setting, the key participants</w:t>
            </w:r>
          </w:p>
        </w:tc>
        <w:tc>
          <w:tcPr>
            <w:tcW w:w="920" w:type="dxa"/>
            <w:vAlign w:val="bottom"/>
          </w:tcPr>
          <w:p>
            <w:pPr>
              <w:spacing w:after="0"/>
              <w:rPr>
                <w:sz w:val="17"/>
                <w:szCs w:val="17"/>
                <w:color w:val="auto"/>
              </w:rPr>
            </w:pPr>
          </w:p>
        </w:tc>
      </w:tr>
      <w:tr>
        <w:trPr>
          <w:trHeight w:val="225"/>
        </w:trPr>
        <w:tc>
          <w:tcPr>
            <w:tcW w:w="9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020" w:type="dxa"/>
            <w:vAlign w:val="bottom"/>
            <w:tcBorders>
              <w:bottom w:val="single" w:sz="8" w:color="EBE1D2"/>
            </w:tcBorders>
            <w:shd w:val="clear" w:color="auto" w:fill="EBE1D2"/>
          </w:tcPr>
          <w:p>
            <w:pPr>
              <w:ind w:left="100"/>
              <w:spacing w:after="0"/>
              <w:rPr>
                <w:sz w:val="20"/>
                <w:szCs w:val="20"/>
                <w:color w:val="auto"/>
              </w:rPr>
            </w:pPr>
            <w:r>
              <w:rPr>
                <w:rFonts w:ascii="Arial" w:cs="Arial" w:eastAsia="Arial" w:hAnsi="Arial"/>
                <w:sz w:val="14"/>
                <w:szCs w:val="14"/>
                <w:color w:val="001641"/>
              </w:rPr>
              <w:t>in our executive compensation process and the role each plays in decision-making</w:t>
            </w:r>
          </w:p>
        </w:tc>
        <w:tc>
          <w:tcPr>
            <w:tcW w:w="220" w:type="dxa"/>
            <w:vAlign w:val="bottom"/>
            <w:tcBorders>
              <w:bottom w:val="single" w:sz="8" w:color="EBE1D2"/>
            </w:tcBorders>
            <w:shd w:val="clear" w:color="auto" w:fill="EBE1D2"/>
          </w:tcPr>
          <w:p>
            <w:pPr>
              <w:spacing w:after="0"/>
              <w:rPr>
                <w:sz w:val="19"/>
                <w:szCs w:val="19"/>
                <w:color w:val="auto"/>
              </w:rPr>
            </w:pPr>
          </w:p>
        </w:tc>
        <w:tc>
          <w:tcPr>
            <w:tcW w:w="920" w:type="dxa"/>
            <w:vAlign w:val="bottom"/>
          </w:tcPr>
          <w:p>
            <w:pPr>
              <w:spacing w:after="0"/>
              <w:rPr>
                <w:sz w:val="19"/>
                <w:szCs w:val="19"/>
                <w:color w:val="auto"/>
              </w:rPr>
            </w:pPr>
          </w:p>
        </w:tc>
      </w:tr>
      <w:tr>
        <w:trPr>
          <w:trHeight w:val="200"/>
        </w:trPr>
        <w:tc>
          <w:tcPr>
            <w:tcW w:w="920" w:type="dxa"/>
            <w:vAlign w:val="bottom"/>
          </w:tcPr>
          <w:p>
            <w:pPr>
              <w:spacing w:after="0"/>
              <w:rPr>
                <w:sz w:val="17"/>
                <w:szCs w:val="17"/>
                <w:color w:val="auto"/>
              </w:rPr>
            </w:pPr>
          </w:p>
        </w:tc>
        <w:tc>
          <w:tcPr>
            <w:tcW w:w="1940" w:type="dxa"/>
            <w:vAlign w:val="bottom"/>
            <w:tcBorders>
              <w:top w:val="single" w:sz="8" w:color="BFA071"/>
            </w:tcBorders>
          </w:tcPr>
          <w:p>
            <w:pPr>
              <w:ind w:left="160"/>
              <w:spacing w:after="0"/>
              <w:rPr>
                <w:sz w:val="20"/>
                <w:szCs w:val="20"/>
                <w:color w:val="auto"/>
              </w:rPr>
            </w:pPr>
            <w:r>
              <w:rPr>
                <w:rFonts w:ascii="Arial" w:cs="Arial" w:eastAsia="Arial" w:hAnsi="Arial"/>
                <w:sz w:val="14"/>
                <w:szCs w:val="14"/>
                <w:b w:val="1"/>
                <w:bCs w:val="1"/>
                <w:color w:val="001641"/>
              </w:rPr>
              <w:t>Key Components of</w:t>
            </w:r>
          </w:p>
        </w:tc>
        <w:tc>
          <w:tcPr>
            <w:tcW w:w="7020" w:type="dxa"/>
            <w:vAlign w:val="bottom"/>
            <w:tcBorders>
              <w:top w:val="single" w:sz="8" w:color="BFA071"/>
            </w:tcBorders>
            <w:shd w:val="clear" w:color="auto" w:fill="EBE1D2"/>
          </w:tcPr>
          <w:p>
            <w:pPr>
              <w:ind w:left="100"/>
              <w:spacing w:after="0"/>
              <w:rPr>
                <w:sz w:val="20"/>
                <w:szCs w:val="20"/>
                <w:color w:val="auto"/>
              </w:rPr>
            </w:pPr>
            <w:r>
              <w:rPr>
                <w:rFonts w:ascii="Arial" w:cs="Arial" w:eastAsia="Arial" w:hAnsi="Arial"/>
                <w:sz w:val="14"/>
                <w:szCs w:val="14"/>
                <w:color w:val="001641"/>
              </w:rPr>
              <w:t>A description of the principal components of our executive compensation program, including pay mix and</w:t>
            </w:r>
          </w:p>
        </w:tc>
        <w:tc>
          <w:tcPr>
            <w:tcW w:w="220" w:type="dxa"/>
            <w:vAlign w:val="bottom"/>
            <w:tcBorders>
              <w:top w:val="single" w:sz="8" w:color="BFA071"/>
            </w:tcBorders>
            <w:shd w:val="clear" w:color="auto" w:fill="EBE1D2"/>
          </w:tcPr>
          <w:p>
            <w:pPr>
              <w:spacing w:after="0"/>
              <w:rPr>
                <w:sz w:val="17"/>
                <w:szCs w:val="17"/>
                <w:color w:val="auto"/>
              </w:rPr>
            </w:pPr>
          </w:p>
        </w:tc>
        <w:tc>
          <w:tcPr>
            <w:tcW w:w="920" w:type="dxa"/>
            <w:vAlign w:val="bottom"/>
          </w:tcPr>
          <w:p>
            <w:pPr>
              <w:spacing w:after="0"/>
              <w:rPr>
                <w:sz w:val="17"/>
                <w:szCs w:val="17"/>
                <w:color w:val="auto"/>
              </w:rPr>
            </w:pPr>
          </w:p>
        </w:tc>
      </w:tr>
      <w:tr>
        <w:trPr>
          <w:trHeight w:val="162"/>
        </w:trPr>
        <w:tc>
          <w:tcPr>
            <w:tcW w:w="9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b w:val="1"/>
                <w:bCs w:val="1"/>
                <w:color w:val="001641"/>
              </w:rPr>
              <w:t>Executive</w:t>
            </w:r>
          </w:p>
        </w:tc>
        <w:tc>
          <w:tcPr>
            <w:tcW w:w="7020" w:type="dxa"/>
            <w:vAlign w:val="bottom"/>
            <w:shd w:val="clear" w:color="auto" w:fill="EBE1D2"/>
          </w:tcPr>
          <w:p>
            <w:pPr>
              <w:ind w:left="100"/>
              <w:spacing w:after="0"/>
              <w:rPr>
                <w:sz w:val="20"/>
                <w:szCs w:val="20"/>
                <w:color w:val="auto"/>
              </w:rPr>
            </w:pPr>
            <w:r>
              <w:rPr>
                <w:rFonts w:ascii="Arial" w:cs="Arial" w:eastAsia="Arial" w:hAnsi="Arial"/>
                <w:sz w:val="14"/>
                <w:szCs w:val="14"/>
                <w:color w:val="001641"/>
              </w:rPr>
              <w:t>specific details regarding decisions made within each element</w:t>
            </w:r>
          </w:p>
        </w:tc>
        <w:tc>
          <w:tcPr>
            <w:tcW w:w="220" w:type="dxa"/>
            <w:vAlign w:val="bottom"/>
            <w:shd w:val="clear" w:color="auto" w:fill="EBE1D2"/>
          </w:tcPr>
          <w:p>
            <w:pPr>
              <w:spacing w:after="0"/>
              <w:rPr>
                <w:sz w:val="14"/>
                <w:szCs w:val="14"/>
                <w:color w:val="auto"/>
              </w:rPr>
            </w:pPr>
          </w:p>
        </w:tc>
        <w:tc>
          <w:tcPr>
            <w:tcW w:w="920" w:type="dxa"/>
            <w:vAlign w:val="bottom"/>
          </w:tcPr>
          <w:p>
            <w:pPr>
              <w:spacing w:after="0"/>
              <w:rPr>
                <w:sz w:val="14"/>
                <w:szCs w:val="14"/>
                <w:color w:val="auto"/>
              </w:rPr>
            </w:pPr>
          </w:p>
        </w:tc>
      </w:tr>
      <w:tr>
        <w:trPr>
          <w:trHeight w:val="225"/>
        </w:trPr>
        <w:tc>
          <w:tcPr>
            <w:tcW w:w="920" w:type="dxa"/>
            <w:vAlign w:val="bottom"/>
          </w:tcPr>
          <w:p>
            <w:pPr>
              <w:spacing w:after="0"/>
              <w:rPr>
                <w:sz w:val="19"/>
                <w:szCs w:val="19"/>
                <w:color w:val="auto"/>
              </w:rPr>
            </w:pPr>
          </w:p>
        </w:tc>
        <w:tc>
          <w:tcPr>
            <w:tcW w:w="1940" w:type="dxa"/>
            <w:vAlign w:val="bottom"/>
          </w:tcPr>
          <w:p>
            <w:pPr>
              <w:ind w:left="160"/>
              <w:spacing w:after="0"/>
              <w:rPr>
                <w:sz w:val="20"/>
                <w:szCs w:val="20"/>
                <w:color w:val="auto"/>
              </w:rPr>
            </w:pPr>
            <w:r>
              <w:rPr>
                <w:rFonts w:ascii="Arial" w:cs="Arial" w:eastAsia="Arial" w:hAnsi="Arial"/>
                <w:sz w:val="14"/>
                <w:szCs w:val="14"/>
                <w:b w:val="1"/>
                <w:bCs w:val="1"/>
                <w:color w:val="001641"/>
              </w:rPr>
              <w:t>Compensation</w:t>
            </w:r>
          </w:p>
        </w:tc>
        <w:tc>
          <w:tcPr>
            <w:tcW w:w="7020" w:type="dxa"/>
            <w:vAlign w:val="bottom"/>
            <w:tcBorders>
              <w:bottom w:val="single" w:sz="8" w:color="EBE1D2"/>
            </w:tcBorders>
            <w:shd w:val="clear" w:color="auto" w:fill="EBE1D2"/>
          </w:tcPr>
          <w:p>
            <w:pPr>
              <w:spacing w:after="0"/>
              <w:rPr>
                <w:sz w:val="19"/>
                <w:szCs w:val="19"/>
                <w:color w:val="auto"/>
              </w:rPr>
            </w:pPr>
          </w:p>
        </w:tc>
        <w:tc>
          <w:tcPr>
            <w:tcW w:w="220" w:type="dxa"/>
            <w:vAlign w:val="bottom"/>
            <w:tcBorders>
              <w:bottom w:val="single" w:sz="8" w:color="EBE1D2"/>
            </w:tcBorders>
            <w:shd w:val="clear" w:color="auto" w:fill="EBE1D2"/>
          </w:tcPr>
          <w:p>
            <w:pPr>
              <w:spacing w:after="0"/>
              <w:rPr>
                <w:sz w:val="19"/>
                <w:szCs w:val="19"/>
                <w:color w:val="auto"/>
              </w:rPr>
            </w:pPr>
          </w:p>
        </w:tc>
        <w:tc>
          <w:tcPr>
            <w:tcW w:w="920" w:type="dxa"/>
            <w:vAlign w:val="bottom"/>
          </w:tcPr>
          <w:p>
            <w:pPr>
              <w:spacing w:after="0"/>
              <w:rPr>
                <w:sz w:val="19"/>
                <w:szCs w:val="19"/>
                <w:color w:val="auto"/>
              </w:rPr>
            </w:pPr>
          </w:p>
        </w:tc>
      </w:tr>
      <w:tr>
        <w:trPr>
          <w:trHeight w:val="200"/>
        </w:trPr>
        <w:tc>
          <w:tcPr>
            <w:tcW w:w="920" w:type="dxa"/>
            <w:vAlign w:val="bottom"/>
          </w:tcPr>
          <w:p>
            <w:pPr>
              <w:spacing w:after="0"/>
              <w:rPr>
                <w:sz w:val="17"/>
                <w:szCs w:val="17"/>
                <w:color w:val="auto"/>
              </w:rPr>
            </w:pPr>
          </w:p>
        </w:tc>
        <w:tc>
          <w:tcPr>
            <w:tcW w:w="1940" w:type="dxa"/>
            <w:vAlign w:val="bottom"/>
            <w:tcBorders>
              <w:top w:val="single" w:sz="8" w:color="BFA071"/>
            </w:tcBorders>
          </w:tcPr>
          <w:p>
            <w:pPr>
              <w:ind w:left="160"/>
              <w:spacing w:after="0"/>
              <w:rPr>
                <w:sz w:val="20"/>
                <w:szCs w:val="20"/>
                <w:color w:val="auto"/>
              </w:rPr>
            </w:pPr>
            <w:r>
              <w:rPr>
                <w:rFonts w:ascii="Arial" w:cs="Arial" w:eastAsia="Arial" w:hAnsi="Arial"/>
                <w:sz w:val="14"/>
                <w:szCs w:val="14"/>
                <w:b w:val="1"/>
                <w:bCs w:val="1"/>
                <w:color w:val="001641"/>
              </w:rPr>
              <w:t>Other Compensation,</w:t>
            </w:r>
          </w:p>
        </w:tc>
        <w:tc>
          <w:tcPr>
            <w:tcW w:w="7020" w:type="dxa"/>
            <w:vAlign w:val="bottom"/>
            <w:tcBorders>
              <w:top w:val="single" w:sz="8" w:color="BFA071"/>
            </w:tcBorders>
            <w:shd w:val="clear" w:color="auto" w:fill="EBE1D2"/>
          </w:tcPr>
          <w:p>
            <w:pPr>
              <w:ind w:left="100"/>
              <w:spacing w:after="0"/>
              <w:rPr>
                <w:sz w:val="20"/>
                <w:szCs w:val="20"/>
                <w:color w:val="auto"/>
              </w:rPr>
            </w:pPr>
            <w:r>
              <w:rPr>
                <w:rFonts w:ascii="Arial" w:cs="Arial" w:eastAsia="Arial" w:hAnsi="Arial"/>
                <w:sz w:val="14"/>
                <w:szCs w:val="14"/>
                <w:color w:val="001641"/>
              </w:rPr>
              <w:t>A summary of employee benefits and perquisites, Fiscal 2026 stock ownership guidelines, and other related</w:t>
            </w:r>
          </w:p>
        </w:tc>
        <w:tc>
          <w:tcPr>
            <w:tcW w:w="220" w:type="dxa"/>
            <w:vAlign w:val="bottom"/>
            <w:tcBorders>
              <w:top w:val="single" w:sz="8" w:color="BFA071"/>
            </w:tcBorders>
            <w:shd w:val="clear" w:color="auto" w:fill="EBE1D2"/>
          </w:tcPr>
          <w:p>
            <w:pPr>
              <w:spacing w:after="0"/>
              <w:rPr>
                <w:sz w:val="17"/>
                <w:szCs w:val="17"/>
                <w:color w:val="auto"/>
              </w:rPr>
            </w:pPr>
          </w:p>
        </w:tc>
        <w:tc>
          <w:tcPr>
            <w:tcW w:w="920" w:type="dxa"/>
            <w:vAlign w:val="bottom"/>
          </w:tcPr>
          <w:p>
            <w:pPr>
              <w:spacing w:after="0"/>
              <w:rPr>
                <w:sz w:val="17"/>
                <w:szCs w:val="17"/>
                <w:color w:val="auto"/>
              </w:rPr>
            </w:pPr>
          </w:p>
        </w:tc>
      </w:tr>
      <w:tr>
        <w:trPr>
          <w:trHeight w:val="162"/>
        </w:trPr>
        <w:tc>
          <w:tcPr>
            <w:tcW w:w="9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b w:val="1"/>
                <w:bCs w:val="1"/>
                <w:color w:val="001641"/>
              </w:rPr>
              <w:t>Executive Stock</w:t>
            </w:r>
          </w:p>
        </w:tc>
        <w:tc>
          <w:tcPr>
            <w:tcW w:w="7020" w:type="dxa"/>
            <w:vAlign w:val="bottom"/>
            <w:shd w:val="clear" w:color="auto" w:fill="EBE1D2"/>
          </w:tcPr>
          <w:p>
            <w:pPr>
              <w:ind w:left="100"/>
              <w:spacing w:after="0"/>
              <w:rPr>
                <w:sz w:val="20"/>
                <w:szCs w:val="20"/>
                <w:color w:val="auto"/>
              </w:rPr>
            </w:pPr>
            <w:r>
              <w:rPr>
                <w:rFonts w:ascii="Arial" w:cs="Arial" w:eastAsia="Arial" w:hAnsi="Arial"/>
                <w:sz w:val="14"/>
                <w:szCs w:val="14"/>
                <w:color w:val="001641"/>
              </w:rPr>
              <w:t>compensation considerations</w:t>
            </w:r>
          </w:p>
        </w:tc>
        <w:tc>
          <w:tcPr>
            <w:tcW w:w="220" w:type="dxa"/>
            <w:vAlign w:val="bottom"/>
            <w:shd w:val="clear" w:color="auto" w:fill="EBE1D2"/>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b w:val="1"/>
                <w:bCs w:val="1"/>
                <w:color w:val="001641"/>
              </w:rPr>
              <w:t>Ownership Guidelines,</w:t>
            </w:r>
          </w:p>
        </w:tc>
        <w:tc>
          <w:tcPr>
            <w:tcW w:w="7020" w:type="dxa"/>
            <w:vAlign w:val="bottom"/>
            <w:shd w:val="clear" w:color="auto" w:fill="EBE1D2"/>
          </w:tcPr>
          <w:p>
            <w:pPr>
              <w:spacing w:after="0"/>
              <w:rPr>
                <w:sz w:val="14"/>
                <w:szCs w:val="14"/>
                <w:color w:val="auto"/>
              </w:rPr>
            </w:pPr>
          </w:p>
        </w:tc>
        <w:tc>
          <w:tcPr>
            <w:tcW w:w="220" w:type="dxa"/>
            <w:vAlign w:val="bottom"/>
            <w:shd w:val="clear" w:color="auto" w:fill="EBE1D2"/>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b w:val="1"/>
                <w:bCs w:val="1"/>
                <w:color w:val="001641"/>
              </w:rPr>
              <w:t>and Related</w:t>
            </w:r>
          </w:p>
        </w:tc>
        <w:tc>
          <w:tcPr>
            <w:tcW w:w="7020" w:type="dxa"/>
            <w:vAlign w:val="bottom"/>
            <w:shd w:val="clear" w:color="auto" w:fill="EBE1D2"/>
          </w:tcPr>
          <w:p>
            <w:pPr>
              <w:spacing w:after="0"/>
              <w:rPr>
                <w:sz w:val="14"/>
                <w:szCs w:val="14"/>
                <w:color w:val="auto"/>
              </w:rPr>
            </w:pPr>
          </w:p>
        </w:tc>
        <w:tc>
          <w:tcPr>
            <w:tcW w:w="220" w:type="dxa"/>
            <w:vAlign w:val="bottom"/>
            <w:shd w:val="clear" w:color="auto" w:fill="EBE1D2"/>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b w:val="1"/>
                <w:bCs w:val="1"/>
                <w:color w:val="001641"/>
              </w:rPr>
              <w:t>Considerations</w:t>
            </w:r>
          </w:p>
        </w:tc>
        <w:tc>
          <w:tcPr>
            <w:tcW w:w="7020" w:type="dxa"/>
            <w:vAlign w:val="bottom"/>
            <w:shd w:val="clear" w:color="auto" w:fill="EBE1D2"/>
          </w:tcPr>
          <w:p>
            <w:pPr>
              <w:spacing w:after="0"/>
              <w:rPr>
                <w:sz w:val="14"/>
                <w:szCs w:val="14"/>
                <w:color w:val="auto"/>
              </w:rPr>
            </w:pPr>
          </w:p>
        </w:tc>
        <w:tc>
          <w:tcPr>
            <w:tcW w:w="220" w:type="dxa"/>
            <w:vAlign w:val="bottom"/>
            <w:shd w:val="clear" w:color="auto" w:fill="EBE1D2"/>
          </w:tcPr>
          <w:p>
            <w:pPr>
              <w:spacing w:after="0"/>
              <w:rPr>
                <w:sz w:val="14"/>
                <w:szCs w:val="14"/>
                <w:color w:val="auto"/>
              </w:rPr>
            </w:pPr>
          </w:p>
        </w:tc>
        <w:tc>
          <w:tcPr>
            <w:tcW w:w="920" w:type="dxa"/>
            <w:vAlign w:val="bottom"/>
          </w:tcPr>
          <w:p>
            <w:pPr>
              <w:spacing w:after="0"/>
              <w:rPr>
                <w:sz w:val="14"/>
                <w:szCs w:val="14"/>
                <w:color w:val="auto"/>
              </w:rPr>
            </w:pPr>
          </w:p>
        </w:tc>
      </w:tr>
      <w:tr>
        <w:trPr>
          <w:trHeight w:val="94"/>
        </w:trPr>
        <w:tc>
          <w:tcPr>
            <w:tcW w:w="920" w:type="dxa"/>
            <w:vAlign w:val="bottom"/>
          </w:tcPr>
          <w:p>
            <w:pPr>
              <w:spacing w:after="0"/>
              <w:rPr>
                <w:sz w:val="8"/>
                <w:szCs w:val="8"/>
                <w:color w:val="auto"/>
              </w:rPr>
            </w:pPr>
          </w:p>
        </w:tc>
        <w:tc>
          <w:tcPr>
            <w:tcW w:w="1940" w:type="dxa"/>
            <w:vAlign w:val="bottom"/>
            <w:tcBorders>
              <w:bottom w:val="single" w:sz="8" w:color="001641"/>
            </w:tcBorders>
          </w:tcPr>
          <w:p>
            <w:pPr>
              <w:spacing w:after="0"/>
              <w:rPr>
                <w:sz w:val="8"/>
                <w:szCs w:val="8"/>
                <w:color w:val="auto"/>
              </w:rPr>
            </w:pPr>
          </w:p>
        </w:tc>
        <w:tc>
          <w:tcPr>
            <w:tcW w:w="7020" w:type="dxa"/>
            <w:vAlign w:val="bottom"/>
            <w:tcBorders>
              <w:bottom w:val="single" w:sz="8" w:color="001641"/>
            </w:tcBorders>
            <w:shd w:val="clear" w:color="auto" w:fill="EBE1D2"/>
          </w:tcPr>
          <w:p>
            <w:pPr>
              <w:spacing w:after="0"/>
              <w:rPr>
                <w:sz w:val="8"/>
                <w:szCs w:val="8"/>
                <w:color w:val="auto"/>
              </w:rPr>
            </w:pPr>
          </w:p>
        </w:tc>
        <w:tc>
          <w:tcPr>
            <w:tcW w:w="220" w:type="dxa"/>
            <w:vAlign w:val="bottom"/>
            <w:tcBorders>
              <w:bottom w:val="single" w:sz="8" w:color="001641"/>
            </w:tcBorders>
            <w:shd w:val="clear" w:color="auto" w:fill="EBE1D2"/>
          </w:tcPr>
          <w:p>
            <w:pPr>
              <w:spacing w:after="0"/>
              <w:rPr>
                <w:sz w:val="8"/>
                <w:szCs w:val="8"/>
                <w:color w:val="auto"/>
              </w:rPr>
            </w:pPr>
          </w:p>
        </w:tc>
        <w:tc>
          <w:tcPr>
            <w:tcW w:w="920" w:type="dxa"/>
            <w:vAlign w:val="bottom"/>
          </w:tcPr>
          <w:p>
            <w:pPr>
              <w:spacing w:after="0"/>
              <w:rPr>
                <w:sz w:val="8"/>
                <w:szCs w:val="8"/>
                <w:color w:val="auto"/>
              </w:rPr>
            </w:pPr>
          </w:p>
        </w:tc>
      </w:tr>
      <w:tr>
        <w:trPr>
          <w:trHeight w:val="210"/>
        </w:trPr>
        <w:tc>
          <w:tcPr>
            <w:tcW w:w="920" w:type="dxa"/>
            <w:vAlign w:val="bottom"/>
          </w:tcPr>
          <w:p>
            <w:pPr>
              <w:spacing w:after="0"/>
              <w:rPr>
                <w:sz w:val="18"/>
                <w:szCs w:val="18"/>
                <w:color w:val="auto"/>
              </w:rPr>
            </w:pPr>
          </w:p>
        </w:tc>
        <w:tc>
          <w:tcPr>
            <w:tcW w:w="8960" w:type="dxa"/>
            <w:vAlign w:val="bottom"/>
            <w:tcBorders>
              <w:bottom w:val="single" w:sz="8" w:color="808080"/>
            </w:tcBorders>
            <w:gridSpan w:val="2"/>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920" w:type="dxa"/>
            <w:vAlign w:val="bottom"/>
          </w:tcPr>
          <w:p>
            <w:pPr>
              <w:spacing w:after="0"/>
              <w:rPr>
                <w:sz w:val="18"/>
                <w:szCs w:val="18"/>
                <w:color w:val="auto"/>
              </w:rPr>
            </w:pPr>
          </w:p>
        </w:tc>
      </w:tr>
      <w:tr>
        <w:trPr>
          <w:trHeight w:val="424"/>
        </w:trPr>
        <w:tc>
          <w:tcPr>
            <w:tcW w:w="92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Arial" w:cs="Arial" w:eastAsia="Arial" w:hAnsi="Arial"/>
                <w:sz w:val="14"/>
                <w:szCs w:val="14"/>
                <w:b w:val="1"/>
                <w:bCs w:val="1"/>
                <w:color w:val="001641"/>
              </w:rPr>
              <w:t xml:space="preserve">60  </w:t>
            </w:r>
            <w:r>
              <w:rPr>
                <w:rFonts w:ascii="Arial" w:cs="Arial" w:eastAsia="Arial" w:hAnsi="Arial"/>
                <w:sz w:val="14"/>
                <w:szCs w:val="14"/>
                <w:color w:val="808080"/>
              </w:rPr>
              <w:t>Ralph Lauren 2026 Proxy Statement</w:t>
            </w:r>
          </w:p>
        </w:tc>
        <w:tc>
          <w:tcPr>
            <w:tcW w:w="220" w:type="dxa"/>
            <w:vAlign w:val="bottom"/>
          </w:tcPr>
          <w:p>
            <w:pPr>
              <w:spacing w:after="0"/>
              <w:rPr>
                <w:sz w:val="20"/>
                <w:szCs w:val="20"/>
                <w:color w:val="auto"/>
              </w:rPr>
            </w:pPr>
            <w:r>
              <w:rPr>
                <w:rFonts w:ascii="Arial" w:cs="Arial" w:eastAsia="Arial" w:hAnsi="Arial"/>
                <w:sz w:val="14"/>
                <w:szCs w:val="14"/>
                <w:color w:val="808080"/>
              </w:rPr>
              <w:t xml:space="preserve">    </w:t>
            </w:r>
          </w:p>
        </w:tc>
        <w:tc>
          <w:tcPr>
            <w:tcW w:w="920" w:type="dxa"/>
            <w:vAlign w:val="bottom"/>
          </w:tcPr>
          <w:p>
            <w:pPr>
              <w:spacing w:after="0"/>
              <w:rPr>
                <w:sz w:val="24"/>
                <w:szCs w:val="24"/>
                <w:color w:val="auto"/>
              </w:rPr>
            </w:pPr>
          </w:p>
        </w:tc>
      </w:tr>
      <w:tr>
        <w:trPr>
          <w:trHeight w:val="158"/>
        </w:trPr>
        <w:tc>
          <w:tcPr>
            <w:tcW w:w="9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spacing w:after="0"/>
              <w:rPr>
                <w:sz w:val="13"/>
                <w:szCs w:val="13"/>
                <w:color w:val="auto"/>
              </w:rPr>
            </w:pPr>
          </w:p>
        </w:tc>
        <w:tc>
          <w:tcPr>
            <w:tcW w:w="7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-256540</wp:posOffset>
            </wp:positionV>
            <wp:extent cx="128905" cy="11112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71" w:name="page72"/>
    <w:bookmarkEnd w:id="71"/>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EXECUTIVE SUMMARY</w:t>
      </w:r>
    </w:p>
    <w:p>
      <w:pPr>
        <w:spacing w:after="0" w:line="21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FISCAL 2026 PERFORMANCE HIGHLIGHTS  </w:t>
      </w:r>
    </w:p>
    <w:p>
      <w:pPr>
        <w:spacing w:after="0" w:line="162" w:lineRule="exact"/>
        <w:rPr>
          <w:sz w:val="20"/>
          <w:szCs w:val="20"/>
          <w:color w:val="auto"/>
        </w:rPr>
      </w:pPr>
    </w:p>
    <w:p>
      <w:pPr>
        <w:ind w:left="6" w:right="20"/>
        <w:spacing w:after="0" w:line="250" w:lineRule="auto"/>
        <w:rPr>
          <w:sz w:val="20"/>
          <w:szCs w:val="20"/>
          <w:color w:val="auto"/>
        </w:rPr>
      </w:pPr>
      <w:r>
        <w:rPr>
          <w:rFonts w:ascii="Arial" w:cs="Arial" w:eastAsia="Arial" w:hAnsi="Arial"/>
          <w:sz w:val="16"/>
          <w:szCs w:val="16"/>
          <w:color w:val="auto"/>
        </w:rPr>
        <w:t>At Ralph Lauren Corporation, we are consistently working to bring to life our Purpose of “Inspiring the dream of a better life, through authenticity and timeless style” and creating long-term sustainable value for all our stakeholders (including our employees, consumers, stockholders, partners/suppliers and communities we live and operate in). We delivered progress on our multi-year, Next Great Chapter: Drive Strategic Plan in its first year, which focuses on three key pillars: Elevate and Energize our Lifestyle Brand, Drive the Core and Expand for More, and Win in Key Cities with our Consumer Ecosystem. We did this while continuing to manage through a highly dynamic global operating environment by harnessing the power of our iconic brand as we elevated our positioning, expanded across geographies and demographics and cut through culture across fashion, celebrity, sports, gaming and music moments. At the same time, our teams continue to operate with discipline, agility and strength through multiple headwinds in the broader environment, including tariffs, inflationary pressures, and other consumer spending-related headwinds, global supply chain disruptions, and foreign currency volatility, among other factors.</w:t>
      </w:r>
    </w:p>
    <w:p>
      <w:pPr>
        <w:spacing w:after="0" w:line="135" w:lineRule="exact"/>
        <w:rPr>
          <w:sz w:val="20"/>
          <w:szCs w:val="20"/>
          <w:color w:val="auto"/>
        </w:rPr>
      </w:pPr>
    </w:p>
    <w:p>
      <w:pPr>
        <w:ind w:left="6" w:right="100"/>
        <w:spacing w:after="0" w:line="259" w:lineRule="auto"/>
        <w:rPr>
          <w:sz w:val="20"/>
          <w:szCs w:val="20"/>
          <w:color w:val="auto"/>
        </w:rPr>
      </w:pPr>
      <w:r>
        <w:rPr>
          <w:rFonts w:ascii="Arial" w:cs="Arial" w:eastAsia="Arial" w:hAnsi="Arial"/>
          <w:sz w:val="16"/>
          <w:szCs w:val="16"/>
          <w:color w:val="auto"/>
        </w:rPr>
        <w:t>These efforts led to strong financial performance in Fiscal 2026, exceeding our expectations. We reported growth across our key financial results, including Total Company Revenue and Adjusted Operating Income growth compared to the prior year. We also delivered strong total shareholder return results and meaningfully outperformed both our PSU Comparator Group and the S&amp;P 500 Index in each of the one-year, three-year, and five-year periods ended Fiscal 2026.</w:t>
      </w:r>
    </w:p>
    <w:p>
      <w:pPr>
        <w:spacing w:after="0" w:line="124" w:lineRule="exact"/>
        <w:rPr>
          <w:sz w:val="20"/>
          <w:szCs w:val="20"/>
          <w:color w:val="auto"/>
        </w:rPr>
      </w:pPr>
    </w:p>
    <w:p>
      <w:pPr>
        <w:ind w:left="6" w:right="120"/>
        <w:spacing w:after="0" w:line="286" w:lineRule="auto"/>
        <w:rPr>
          <w:sz w:val="20"/>
          <w:szCs w:val="20"/>
          <w:color w:val="auto"/>
        </w:rPr>
      </w:pPr>
      <w:r>
        <w:rPr>
          <w:rFonts w:ascii="Arial" w:cs="Arial" w:eastAsia="Arial" w:hAnsi="Arial"/>
          <w:sz w:val="16"/>
          <w:szCs w:val="16"/>
          <w:color w:val="auto"/>
        </w:rPr>
        <w:t>This was a result of our team’s exceptional execution and our sustainable and resilient strategy, with multiple diversified drivers for long-term growth and value creation.</w:t>
      </w:r>
    </w:p>
    <w:p>
      <w:pPr>
        <w:spacing w:after="0" w:line="183" w:lineRule="exact"/>
        <w:rPr>
          <w:sz w:val="20"/>
          <w:szCs w:val="20"/>
          <w:color w:val="auto"/>
        </w:rPr>
      </w:pPr>
    </w:p>
    <w:p>
      <w:pPr>
        <w:ind w:left="6"/>
        <w:spacing w:after="0"/>
        <w:rPr>
          <w:sz w:val="20"/>
          <w:szCs w:val="20"/>
          <w:color w:val="auto"/>
        </w:rPr>
      </w:pPr>
      <w:r>
        <w:rPr>
          <w:rFonts w:ascii="Arial" w:cs="Arial" w:eastAsia="Arial" w:hAnsi="Arial"/>
          <w:sz w:val="16"/>
          <w:szCs w:val="16"/>
          <w:color w:val="auto"/>
        </w:rPr>
        <w:t>Results of our Strategic Plan included:</w:t>
      </w:r>
    </w:p>
    <w:p>
      <w:pPr>
        <w:spacing w:after="0" w:line="167" w:lineRule="exact"/>
        <w:rPr>
          <w:sz w:val="20"/>
          <w:szCs w:val="20"/>
          <w:color w:val="auto"/>
        </w:rPr>
      </w:pPr>
    </w:p>
    <w:p>
      <w:pPr>
        <w:ind w:left="166" w:hanging="166"/>
        <w:spacing w:after="0"/>
        <w:tabs>
          <w:tab w:leader="none" w:pos="166"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001641"/>
        </w:rPr>
        <w:t>Elevate and Energize Our Lifestyle Brand</w:t>
      </w:r>
    </w:p>
    <w:p>
      <w:pPr>
        <w:spacing w:after="0" w:line="167" w:lineRule="exact"/>
        <w:rPr>
          <w:rFonts w:ascii="Arial" w:cs="Arial" w:eastAsia="Arial" w:hAnsi="Arial"/>
          <w:sz w:val="16"/>
          <w:szCs w:val="16"/>
          <w:color w:val="auto"/>
        </w:rPr>
      </w:pPr>
    </w:p>
    <w:p>
      <w:pPr>
        <w:ind w:left="346" w:right="140" w:hanging="184"/>
        <w:spacing w:after="0" w:line="266" w:lineRule="auto"/>
        <w:tabs>
          <w:tab w:leader="none" w:pos="346"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Delivered sustainable growth in new customer acquisition and loyalty with 6.5 million new consumers in our direct-to-consumer channels and strengthened net promoter scores and brand consideration led by younger, higher value and less price-sensitive cohorts</w:t>
      </w:r>
    </w:p>
    <w:p>
      <w:pPr>
        <w:spacing w:after="0" w:line="117" w:lineRule="exact"/>
        <w:rPr>
          <w:rFonts w:ascii="Arial" w:cs="Arial" w:eastAsia="Arial" w:hAnsi="Arial"/>
          <w:sz w:val="16"/>
          <w:szCs w:val="16"/>
          <w:color w:val="auto"/>
        </w:rPr>
      </w:pPr>
    </w:p>
    <w:p>
      <w:pPr>
        <w:ind w:left="346" w:right="180" w:hanging="184"/>
        <w:spacing w:after="0" w:line="259" w:lineRule="auto"/>
        <w:tabs>
          <w:tab w:leader="none" w:pos="346"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Invested in powerful key brand moments to drive authentic connections with consumers around the world, notably: our Milano Cortina 2026 Winter Olympics campaign as official outfitter of Team USA; our dynamic annual sponsorships of the U.S. Open, Australian Open and Wimbledon Tennis Championships; our Spring 2026 and Fall 2026 Women’s Collection fashion shows in New York; and our </w:t>
      </w:r>
      <w:r>
        <w:rPr>
          <w:rFonts w:ascii="Arial" w:cs="Arial" w:eastAsia="Arial" w:hAnsi="Arial"/>
          <w:sz w:val="16"/>
          <w:szCs w:val="16"/>
          <w:i w:val="1"/>
          <w:iCs w:val="1"/>
          <w:color w:val="auto"/>
        </w:rPr>
        <w:t>Very Ralph</w:t>
      </w:r>
      <w:r>
        <w:rPr>
          <w:rFonts w:ascii="Arial" w:cs="Arial" w:eastAsia="Arial" w:hAnsi="Arial"/>
          <w:sz w:val="16"/>
          <w:szCs w:val="16"/>
          <w:color w:val="auto"/>
        </w:rPr>
        <w:t xml:space="preserve"> documentary events in Hong Kong, Japan, Korea, and Singapore</w:t>
      </w:r>
    </w:p>
    <w:p>
      <w:pPr>
        <w:spacing w:after="0" w:line="123" w:lineRule="exact"/>
        <w:rPr>
          <w:rFonts w:ascii="Arial" w:cs="Arial" w:eastAsia="Arial" w:hAnsi="Arial"/>
          <w:sz w:val="16"/>
          <w:szCs w:val="16"/>
          <w:color w:val="auto"/>
        </w:rPr>
      </w:pPr>
    </w:p>
    <w:p>
      <w:pPr>
        <w:ind w:left="166" w:hanging="166"/>
        <w:spacing w:after="0"/>
        <w:tabs>
          <w:tab w:leader="none" w:pos="166"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001641"/>
        </w:rPr>
        <w:t>Drive the Core and Expand for More</w:t>
      </w:r>
    </w:p>
    <w:p>
      <w:pPr>
        <w:spacing w:after="0" w:line="167" w:lineRule="exact"/>
        <w:rPr>
          <w:rFonts w:ascii="Arial" w:cs="Arial" w:eastAsia="Arial" w:hAnsi="Arial"/>
          <w:sz w:val="16"/>
          <w:szCs w:val="16"/>
          <w:color w:val="auto"/>
        </w:rPr>
      </w:pPr>
    </w:p>
    <w:p>
      <w:pPr>
        <w:ind w:left="346" w:right="200" w:hanging="184"/>
        <w:spacing w:after="0" w:line="286" w:lineRule="auto"/>
        <w:tabs>
          <w:tab w:leader="none" w:pos="346"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Increased average unit retail by 15% across our direct-to-consumer network in Fiscal 2026, reflecting the durability of our multi-pronged elevation approach, our growing brand desirability, strong full-price selling trends, and lower promotions</w:t>
      </w:r>
    </w:p>
    <w:p>
      <w:pPr>
        <w:spacing w:after="0" w:line="101" w:lineRule="exact"/>
        <w:rPr>
          <w:rFonts w:ascii="Arial" w:cs="Arial" w:eastAsia="Arial" w:hAnsi="Arial"/>
          <w:sz w:val="16"/>
          <w:szCs w:val="16"/>
          <w:color w:val="auto"/>
        </w:rPr>
      </w:pPr>
    </w:p>
    <w:p>
      <w:pPr>
        <w:jc w:val="both"/>
        <w:ind w:left="346" w:right="660" w:hanging="184"/>
        <w:spacing w:after="0" w:line="266" w:lineRule="auto"/>
        <w:tabs>
          <w:tab w:leader="none" w:pos="346" w:val="left"/>
        </w:tabs>
        <w:numPr>
          <w:ilvl w:val="1"/>
          <w:numId w:val="44"/>
        </w:numPr>
        <w:rPr>
          <w:rFonts w:ascii="Arial" w:cs="Arial" w:eastAsia="Arial" w:hAnsi="Arial"/>
          <w:sz w:val="16"/>
          <w:szCs w:val="16"/>
          <w:color w:val="auto"/>
        </w:rPr>
      </w:pPr>
      <w:r>
        <w:rPr>
          <w:rFonts w:ascii="Arial" w:cs="Arial" w:eastAsia="Arial" w:hAnsi="Arial"/>
          <w:sz w:val="16"/>
          <w:szCs w:val="16"/>
          <w:color w:val="auto"/>
        </w:rPr>
        <w:t>Drove continued momentum in our Core business, which grew mid-teens to last year, along with our high-potential categories (Women’s Apparel, Outerwear and Handbags), which increased more than 20% to last year in constant currency. Growth in both Core and our high-potential categories outpaced total Company growth</w:t>
      </w:r>
    </w:p>
    <w:p>
      <w:pPr>
        <w:spacing w:after="0" w:line="117" w:lineRule="exact"/>
        <w:rPr>
          <w:rFonts w:ascii="Arial" w:cs="Arial" w:eastAsia="Arial" w:hAnsi="Arial"/>
          <w:sz w:val="16"/>
          <w:szCs w:val="16"/>
          <w:color w:val="auto"/>
        </w:rPr>
      </w:pPr>
    </w:p>
    <w:p>
      <w:pPr>
        <w:ind w:left="346" w:right="100" w:hanging="184"/>
        <w:spacing w:after="0" w:line="256" w:lineRule="auto"/>
        <w:tabs>
          <w:tab w:leader="none" w:pos="346"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Product highlights included: our </w:t>
      </w:r>
      <w:r>
        <w:rPr>
          <w:rFonts w:ascii="Arial" w:cs="Arial" w:eastAsia="Arial" w:hAnsi="Arial"/>
          <w:sz w:val="16"/>
          <w:szCs w:val="16"/>
          <w:i w:val="1"/>
          <w:iCs w:val="1"/>
          <w:color w:val="auto"/>
        </w:rPr>
        <w:t>Artist in Residence x TOPA</w:t>
      </w:r>
      <w:r>
        <w:rPr>
          <w:rFonts w:ascii="Arial" w:cs="Arial" w:eastAsia="Arial" w:hAnsi="Arial"/>
          <w:sz w:val="16"/>
          <w:szCs w:val="16"/>
          <w:color w:val="auto"/>
        </w:rPr>
        <w:t xml:space="preserve"> collection; our </w:t>
      </w:r>
      <w:r>
        <w:rPr>
          <w:rFonts w:ascii="Arial" w:cs="Arial" w:eastAsia="Arial" w:hAnsi="Arial"/>
          <w:sz w:val="16"/>
          <w:szCs w:val="16"/>
          <w:i w:val="1"/>
          <w:iCs w:val="1"/>
          <w:color w:val="auto"/>
        </w:rPr>
        <w:t>Polo Ralph Lauren for Oak Bluffs</w:t>
      </w:r>
      <w:r>
        <w:rPr>
          <w:rFonts w:ascii="Arial" w:cs="Arial" w:eastAsia="Arial" w:hAnsi="Arial"/>
          <w:sz w:val="16"/>
          <w:szCs w:val="16"/>
          <w:color w:val="auto"/>
        </w:rPr>
        <w:t xml:space="preserve"> limited-edition collection in partnership with Morehouse and Spelman Colleges; our new Ralph’s Club New York fragrance and campaign featuring Usher; the launch of our innovative new AI-powered styling tool, </w:t>
      </w:r>
      <w:r>
        <w:rPr>
          <w:rFonts w:ascii="Arial" w:cs="Arial" w:eastAsia="Arial" w:hAnsi="Arial"/>
          <w:sz w:val="16"/>
          <w:szCs w:val="16"/>
          <w:i w:val="1"/>
          <w:iCs w:val="1"/>
          <w:color w:val="auto"/>
        </w:rPr>
        <w:t>Ask Ralph</w:t>
      </w:r>
      <w:r>
        <w:rPr>
          <w:rFonts w:ascii="Arial" w:cs="Arial" w:eastAsia="Arial" w:hAnsi="Arial"/>
          <w:sz w:val="16"/>
          <w:szCs w:val="16"/>
          <w:color w:val="auto"/>
        </w:rPr>
        <w:t>; the launch of Polo Play, our newest foundational handbag collection; and our Ralph Lauren Pink Pony collection, supporting our longstanding commitment to cancer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582930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260350</wp:posOffset>
            </wp:positionV>
            <wp:extent cx="128905" cy="11176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39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72" w:name="page73"/>
    <w:bookmarkEnd w:id="7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left="166" w:hanging="166"/>
        <w:spacing w:after="0"/>
        <w:tabs>
          <w:tab w:leader="none" w:pos="166"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001641"/>
        </w:rPr>
        <w:t>Win in Key Cities with Our Consumer Ecosystem</w:t>
      </w:r>
    </w:p>
    <w:p>
      <w:pPr>
        <w:spacing w:after="0" w:line="126" w:lineRule="exact"/>
        <w:rPr>
          <w:rFonts w:ascii="Arial" w:cs="Arial" w:eastAsia="Arial" w:hAnsi="Arial"/>
          <w:sz w:val="16"/>
          <w:szCs w:val="16"/>
          <w:color w:val="auto"/>
        </w:rPr>
      </w:pPr>
    </w:p>
    <w:p>
      <w:pPr>
        <w:ind w:left="346" w:right="240" w:hanging="184"/>
        <w:spacing w:after="0" w:line="259" w:lineRule="auto"/>
        <w:tabs>
          <w:tab w:leader="none" w:pos="346" w:val="left"/>
        </w:tabs>
        <w:numPr>
          <w:ilvl w:val="1"/>
          <w:numId w:val="45"/>
        </w:numPr>
        <w:rPr>
          <w:rFonts w:ascii="Arial" w:cs="Arial" w:eastAsia="Arial" w:hAnsi="Arial"/>
          <w:sz w:val="16"/>
          <w:szCs w:val="16"/>
          <w:color w:val="auto"/>
        </w:rPr>
      </w:pPr>
      <w:r>
        <w:rPr>
          <w:rFonts w:ascii="Arial" w:cs="Arial" w:eastAsia="Arial" w:hAnsi="Arial"/>
          <w:sz w:val="16"/>
          <w:szCs w:val="16"/>
          <w:color w:val="auto"/>
        </w:rPr>
        <w:t>By region, revenue growth was led by Asia, up 23% on a reported basis and 22% in constant currency to last year, with China delivering approximately 40% growth in both reported and constant dollars. Europe grew 17% on a reported basis and 9% in constant currency to last year. North America momentum continued, up 9% on both a reported basis and in constant currency, with strength in our direct-to-consumer channels and wholesale business</w:t>
      </w:r>
    </w:p>
    <w:p>
      <w:pPr>
        <w:spacing w:after="0" w:line="83" w:lineRule="exact"/>
        <w:rPr>
          <w:rFonts w:ascii="Arial" w:cs="Arial" w:eastAsia="Arial" w:hAnsi="Arial"/>
          <w:sz w:val="16"/>
          <w:szCs w:val="16"/>
          <w:color w:val="auto"/>
        </w:rPr>
      </w:pPr>
    </w:p>
    <w:p>
      <w:pPr>
        <w:ind w:left="346" w:right="20" w:hanging="184"/>
        <w:spacing w:after="0" w:line="266" w:lineRule="auto"/>
        <w:tabs>
          <w:tab w:leader="none" w:pos="346" w:val="left"/>
        </w:tabs>
        <w:numPr>
          <w:ilvl w:val="1"/>
          <w:numId w:val="45"/>
        </w:numPr>
        <w:rPr>
          <w:rFonts w:ascii="Arial" w:cs="Arial" w:eastAsia="Arial" w:hAnsi="Arial"/>
          <w:sz w:val="16"/>
          <w:szCs w:val="16"/>
          <w:color w:val="auto"/>
        </w:rPr>
      </w:pPr>
      <w:r>
        <w:rPr>
          <w:rFonts w:ascii="Arial" w:cs="Arial" w:eastAsia="Arial" w:hAnsi="Arial"/>
          <w:sz w:val="16"/>
          <w:szCs w:val="16"/>
          <w:color w:val="auto"/>
        </w:rPr>
        <w:t>Continued to expand and scale our key city ecosystems, including new stores at: Alberni Street in Vancouver, our second location in Canada; Shinsegae Centum City, marking the debut of our luxury brands in Korea; Broadgate Liverpool Street in London; Chatswood Chase in Sydney; and Chengdu IFS Mall in China</w:t>
      </w:r>
    </w:p>
    <w:p>
      <w:pPr>
        <w:spacing w:after="0" w:line="117" w:lineRule="exact"/>
        <w:rPr>
          <w:sz w:val="20"/>
          <w:szCs w:val="20"/>
          <w:color w:val="auto"/>
        </w:rPr>
      </w:pPr>
    </w:p>
    <w:p>
      <w:pPr>
        <w:ind w:left="6" w:right="200"/>
        <w:spacing w:after="0" w:line="266" w:lineRule="auto"/>
        <w:rPr>
          <w:sz w:val="20"/>
          <w:szCs w:val="20"/>
          <w:color w:val="auto"/>
        </w:rPr>
      </w:pPr>
      <w:r>
        <w:rPr>
          <w:rFonts w:ascii="Arial" w:cs="Arial" w:eastAsia="Arial" w:hAnsi="Arial"/>
          <w:sz w:val="16"/>
          <w:szCs w:val="16"/>
          <w:color w:val="auto"/>
        </w:rPr>
        <w:t>In addition, our business is supported by our fortress foundation, which we define through our five key enablers, including: our engaged and empowered teams, industry-leading operations, superior technology, resilient partners, and powerful balance sheet.</w:t>
      </w:r>
    </w:p>
    <w:p>
      <w:pPr>
        <w:spacing w:after="0" w:line="117" w:lineRule="exact"/>
        <w:rPr>
          <w:sz w:val="20"/>
          <w:szCs w:val="20"/>
          <w:color w:val="auto"/>
        </w:rPr>
      </w:pPr>
    </w:p>
    <w:p>
      <w:pPr>
        <w:ind w:left="6" w:right="20"/>
        <w:spacing w:after="0" w:line="259" w:lineRule="auto"/>
        <w:rPr>
          <w:sz w:val="20"/>
          <w:szCs w:val="20"/>
          <w:color w:val="auto"/>
        </w:rPr>
      </w:pPr>
      <w:r>
        <w:rPr>
          <w:rFonts w:ascii="Arial" w:cs="Arial" w:eastAsia="Arial" w:hAnsi="Arial"/>
          <w:sz w:val="16"/>
          <w:szCs w:val="16"/>
          <w:color w:val="auto"/>
        </w:rPr>
        <w:t>Following a 9% increase in Fiscal 2024 and a 9% increase in Fiscal 2025, we again increased our quarterly dividend by approximately 10% in Fiscal 2026 and in Fiscal 2027. We also returned more than $700 million to stockholders in Fiscal 2026 through dividends and share repurchase programs, with our share buybacks more than offsetting the dilutive effect of our share-based employee compensation plans.</w:t>
      </w:r>
    </w:p>
    <w:p>
      <w:pPr>
        <w:spacing w:after="0" w:line="97" w:lineRule="exact"/>
        <w:rPr>
          <w:sz w:val="20"/>
          <w:szCs w:val="20"/>
          <w:color w:val="auto"/>
        </w:rPr>
      </w:pPr>
    </w:p>
    <w:p>
      <w:pPr>
        <w:ind w:left="346" w:hanging="184"/>
        <w:spacing w:after="0"/>
        <w:tabs>
          <w:tab w:leader="none" w:pos="346"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Fortune</w:t>
      </w:r>
    </w:p>
    <w:p>
      <w:pPr>
        <w:spacing w:after="0" w:line="126" w:lineRule="exact"/>
        <w:rPr>
          <w:rFonts w:ascii="Arial" w:cs="Arial" w:eastAsia="Arial" w:hAnsi="Arial"/>
          <w:sz w:val="16"/>
          <w:szCs w:val="16"/>
          <w:color w:val="auto"/>
        </w:rPr>
      </w:pPr>
    </w:p>
    <w:p>
      <w:pPr>
        <w:ind w:left="526" w:hanging="166"/>
        <w:spacing w:after="0"/>
        <w:tabs>
          <w:tab w:leader="none" w:pos="526" w:val="left"/>
        </w:tabs>
        <w:numPr>
          <w:ilvl w:val="1"/>
          <w:numId w:val="46"/>
        </w:numPr>
        <w:rPr>
          <w:rFonts w:ascii="Arial" w:cs="Arial" w:eastAsia="Arial" w:hAnsi="Arial"/>
          <w:sz w:val="16"/>
          <w:szCs w:val="16"/>
          <w:color w:val="auto"/>
        </w:rPr>
      </w:pPr>
      <w:r>
        <w:rPr>
          <w:rFonts w:ascii="Arial" w:cs="Arial" w:eastAsia="Arial" w:hAnsi="Arial"/>
          <w:sz w:val="16"/>
          <w:szCs w:val="16"/>
          <w:color w:val="auto"/>
        </w:rPr>
        <w:t>World’s Most Admired Companies 2026</w:t>
      </w:r>
    </w:p>
    <w:p>
      <w:pPr>
        <w:spacing w:after="0" w:line="126" w:lineRule="exact"/>
        <w:rPr>
          <w:rFonts w:ascii="Arial" w:cs="Arial" w:eastAsia="Arial" w:hAnsi="Arial"/>
          <w:sz w:val="16"/>
          <w:szCs w:val="16"/>
          <w:color w:val="auto"/>
        </w:rPr>
      </w:pPr>
    </w:p>
    <w:p>
      <w:pPr>
        <w:ind w:left="346" w:hanging="184"/>
        <w:spacing w:after="0"/>
        <w:tabs>
          <w:tab w:leader="none" w:pos="346"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Forbes</w:t>
      </w:r>
    </w:p>
    <w:p>
      <w:pPr>
        <w:spacing w:after="0" w:line="140" w:lineRule="exact"/>
        <w:rPr>
          <w:rFonts w:ascii="Arial" w:cs="Arial" w:eastAsia="Arial" w:hAnsi="Arial"/>
          <w:sz w:val="16"/>
          <w:szCs w:val="16"/>
          <w:color w:val="auto"/>
        </w:rPr>
      </w:pPr>
    </w:p>
    <w:p>
      <w:pPr>
        <w:ind w:left="526" w:hanging="166"/>
        <w:spacing w:after="0"/>
        <w:tabs>
          <w:tab w:leader="none" w:pos="526" w:val="left"/>
        </w:tabs>
        <w:numPr>
          <w:ilvl w:val="1"/>
          <w:numId w:val="46"/>
        </w:numPr>
        <w:rPr>
          <w:rFonts w:ascii="Arial" w:cs="Arial" w:eastAsia="Arial" w:hAnsi="Arial"/>
          <w:sz w:val="16"/>
          <w:szCs w:val="16"/>
          <w:color w:val="auto"/>
        </w:rPr>
      </w:pPr>
      <w:r>
        <w:rPr>
          <w:rFonts w:ascii="Arial" w:cs="Arial" w:eastAsia="Arial" w:hAnsi="Arial"/>
          <w:sz w:val="16"/>
          <w:szCs w:val="16"/>
          <w:color w:val="auto"/>
        </w:rPr>
        <w:t>America’s Best Companies 2026</w:t>
      </w:r>
    </w:p>
    <w:p>
      <w:pPr>
        <w:spacing w:after="0" w:line="126" w:lineRule="exact"/>
        <w:rPr>
          <w:rFonts w:ascii="Arial" w:cs="Arial" w:eastAsia="Arial" w:hAnsi="Arial"/>
          <w:sz w:val="16"/>
          <w:szCs w:val="16"/>
          <w:color w:val="auto"/>
        </w:rPr>
      </w:pPr>
    </w:p>
    <w:p>
      <w:pPr>
        <w:ind w:left="346" w:hanging="184"/>
        <w:spacing w:after="0"/>
        <w:tabs>
          <w:tab w:leader="none" w:pos="346" w:val="left"/>
        </w:tabs>
        <w:numPr>
          <w:ilvl w:val="0"/>
          <w:numId w:val="46"/>
        </w:numPr>
        <w:rPr>
          <w:rFonts w:ascii="Arial" w:cs="Arial" w:eastAsia="Arial" w:hAnsi="Arial"/>
          <w:sz w:val="16"/>
          <w:szCs w:val="16"/>
          <w:color w:val="auto"/>
        </w:rPr>
      </w:pPr>
      <w:r>
        <w:rPr>
          <w:rFonts w:ascii="Arial" w:cs="Arial" w:eastAsia="Arial" w:hAnsi="Arial"/>
          <w:sz w:val="16"/>
          <w:szCs w:val="16"/>
          <w:color w:val="auto"/>
        </w:rPr>
        <w:t>Fast Company</w:t>
      </w:r>
    </w:p>
    <w:p>
      <w:pPr>
        <w:spacing w:after="0" w:line="126" w:lineRule="exact"/>
        <w:rPr>
          <w:rFonts w:ascii="Arial" w:cs="Arial" w:eastAsia="Arial" w:hAnsi="Arial"/>
          <w:sz w:val="16"/>
          <w:szCs w:val="16"/>
          <w:color w:val="auto"/>
        </w:rPr>
      </w:pPr>
    </w:p>
    <w:p>
      <w:pPr>
        <w:ind w:left="526" w:hanging="166"/>
        <w:spacing w:after="0"/>
        <w:tabs>
          <w:tab w:leader="none" w:pos="526" w:val="left"/>
        </w:tabs>
        <w:numPr>
          <w:ilvl w:val="1"/>
          <w:numId w:val="46"/>
        </w:numPr>
        <w:rPr>
          <w:rFonts w:ascii="Arial" w:cs="Arial" w:eastAsia="Arial" w:hAnsi="Arial"/>
          <w:sz w:val="16"/>
          <w:szCs w:val="16"/>
          <w:color w:val="auto"/>
        </w:rPr>
      </w:pPr>
      <w:r>
        <w:rPr>
          <w:rFonts w:ascii="Arial" w:cs="Arial" w:eastAsia="Arial" w:hAnsi="Arial"/>
          <w:sz w:val="16"/>
          <w:szCs w:val="16"/>
          <w:color w:val="auto"/>
        </w:rPr>
        <w:t>Most Innovative Companies 2026</w:t>
      </w:r>
    </w:p>
    <w:p>
      <w:pPr>
        <w:spacing w:after="0" w:line="29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FISCAL 2026 EXECUTIVE COMPENSATION HIGHLIGHTS</w:t>
      </w:r>
    </w:p>
    <w:p>
      <w:pPr>
        <w:spacing w:after="0" w:line="162" w:lineRule="exact"/>
        <w:rPr>
          <w:sz w:val="20"/>
          <w:szCs w:val="20"/>
          <w:color w:val="auto"/>
        </w:rPr>
      </w:pPr>
    </w:p>
    <w:p>
      <w:pPr>
        <w:jc w:val="both"/>
        <w:ind w:left="6" w:right="140"/>
        <w:spacing w:after="0" w:line="266" w:lineRule="auto"/>
        <w:rPr>
          <w:sz w:val="20"/>
          <w:szCs w:val="20"/>
          <w:color w:val="auto"/>
        </w:rPr>
      </w:pPr>
      <w:r>
        <w:rPr>
          <w:rFonts w:ascii="Arial" w:cs="Arial" w:eastAsia="Arial" w:hAnsi="Arial"/>
          <w:sz w:val="16"/>
          <w:szCs w:val="16"/>
          <w:color w:val="auto"/>
        </w:rPr>
        <w:t>Aligned with our Strategic Plan and based on the feedback received from our stockholders in Fiscal 2025 and following review and discussion with management, the Talent Committee and our independent consultants, we included key financial measures in both our short- and long-term incentive compensation plans in Fiscal 2026.</w:t>
      </w:r>
    </w:p>
    <w:p>
      <w:pPr>
        <w:spacing w:after="0" w:line="117" w:lineRule="exact"/>
        <w:rPr>
          <w:sz w:val="20"/>
          <w:szCs w:val="20"/>
          <w:color w:val="auto"/>
        </w:rPr>
      </w:pPr>
    </w:p>
    <w:p>
      <w:pPr>
        <w:ind w:left="166" w:right="220" w:hanging="166"/>
        <w:spacing w:after="0" w:line="266" w:lineRule="auto"/>
        <w:tabs>
          <w:tab w:leader="none" w:pos="166" w:val="left"/>
        </w:tabs>
        <w:numPr>
          <w:ilvl w:val="0"/>
          <w:numId w:val="47"/>
        </w:numPr>
        <w:rPr>
          <w:rFonts w:ascii="Arial" w:cs="Arial" w:eastAsia="Arial" w:hAnsi="Arial"/>
          <w:sz w:val="16"/>
          <w:szCs w:val="16"/>
          <w:color w:val="auto"/>
        </w:rPr>
      </w:pPr>
      <w:r>
        <w:rPr>
          <w:rFonts w:ascii="Arial" w:cs="Arial" w:eastAsia="Arial" w:hAnsi="Arial"/>
          <w:sz w:val="16"/>
          <w:szCs w:val="16"/>
          <w:color w:val="auto"/>
        </w:rPr>
        <w:t>Overall, our key financial results for Fiscal 2026 were strong with Total Company Revenue and Adjusted Operating Profit Margin, each significantly exceeding the target set. Each of these measures were weighted 40% in the short-term incentive plan.</w:t>
      </w:r>
    </w:p>
    <w:p>
      <w:pPr>
        <w:spacing w:after="0" w:line="243" w:lineRule="exact"/>
        <w:rPr>
          <w:sz w:val="20"/>
          <w:szCs w:val="20"/>
          <w:color w:val="auto"/>
        </w:rPr>
      </w:pPr>
    </w:p>
    <w:tbl>
      <w:tblPr>
        <w:tblLayout w:type="fixed"/>
        <w:tblInd w:w="16" w:type="dxa"/>
        <w:tblCellMar>
          <w:top w:w="0" w:type="dxa"/>
          <w:left w:w="0" w:type="dxa"/>
          <w:bottom w:w="0" w:type="dxa"/>
          <w:right w:w="0" w:type="dxa"/>
        </w:tblCellMar>
      </w:tblPr>
      <w:tr>
        <w:trPr>
          <w:trHeight w:val="354"/>
        </w:trPr>
        <w:tc>
          <w:tcPr>
            <w:tcW w:w="4580" w:type="dxa"/>
            <w:vAlign w:val="bottom"/>
            <w:tcBorders>
              <w:top w:val="single" w:sz="8" w:color="BFA071"/>
              <w:left w:val="single" w:sz="8" w:color="BFA071"/>
            </w:tcBorders>
            <w:vMerge w:val="restart"/>
          </w:tcPr>
          <w:p>
            <w:pPr>
              <w:ind w:left="1260"/>
              <w:spacing w:after="0"/>
              <w:rPr>
                <w:sz w:val="20"/>
                <w:szCs w:val="20"/>
                <w:color w:val="auto"/>
              </w:rPr>
            </w:pPr>
            <w:r>
              <w:rPr>
                <w:rFonts w:ascii="Times New Roman" w:cs="Times New Roman" w:eastAsia="Times New Roman" w:hAnsi="Times New Roman"/>
                <w:sz w:val="49"/>
                <w:szCs w:val="49"/>
                <w:color w:val="BFA071"/>
              </w:rPr>
              <w:t>$7,912.6M</w:t>
            </w:r>
          </w:p>
        </w:tc>
        <w:tc>
          <w:tcPr>
            <w:tcW w:w="20" w:type="dxa"/>
            <w:vAlign w:val="bottom"/>
            <w:tcBorders>
              <w:top w:val="single" w:sz="8" w:color="BFA071"/>
            </w:tcBorders>
          </w:tcPr>
          <w:p>
            <w:pPr>
              <w:spacing w:after="0"/>
              <w:rPr>
                <w:sz w:val="24"/>
                <w:szCs w:val="24"/>
                <w:color w:val="auto"/>
              </w:rPr>
            </w:pPr>
          </w:p>
        </w:tc>
        <w:tc>
          <w:tcPr>
            <w:tcW w:w="4580" w:type="dxa"/>
            <w:vAlign w:val="bottom"/>
            <w:tcBorders>
              <w:top w:val="single" w:sz="8" w:color="BFA071"/>
              <w:right w:val="single" w:sz="8" w:color="BFA071"/>
            </w:tcBorders>
            <w:vMerge w:val="restart"/>
          </w:tcPr>
          <w:p>
            <w:pPr>
              <w:jc w:val="right"/>
              <w:ind w:right="1614"/>
              <w:spacing w:after="0"/>
              <w:rPr>
                <w:sz w:val="20"/>
                <w:szCs w:val="20"/>
                <w:color w:val="auto"/>
              </w:rPr>
            </w:pPr>
            <w:r>
              <w:rPr>
                <w:rFonts w:ascii="Times New Roman" w:cs="Times New Roman" w:eastAsia="Times New Roman" w:hAnsi="Times New Roman"/>
                <w:sz w:val="49"/>
                <w:szCs w:val="49"/>
                <w:color w:val="BFA071"/>
              </w:rPr>
              <w:t>15.5%</w:t>
            </w:r>
          </w:p>
        </w:tc>
        <w:tc>
          <w:tcPr>
            <w:tcW w:w="0" w:type="dxa"/>
            <w:vAlign w:val="bottom"/>
          </w:tcPr>
          <w:p>
            <w:pPr>
              <w:spacing w:after="0"/>
              <w:rPr>
                <w:sz w:val="1"/>
                <w:szCs w:val="1"/>
                <w:color w:val="auto"/>
              </w:rPr>
            </w:pPr>
          </w:p>
        </w:tc>
      </w:tr>
      <w:tr>
        <w:trPr>
          <w:trHeight w:val="575"/>
        </w:trPr>
        <w:tc>
          <w:tcPr>
            <w:tcW w:w="4580" w:type="dxa"/>
            <w:vAlign w:val="bottom"/>
            <w:tcBorders>
              <w:left w:val="single" w:sz="8" w:color="BFA071"/>
            </w:tcBorders>
            <w:vMerge w:val="continue"/>
          </w:tcPr>
          <w:p>
            <w:pPr>
              <w:spacing w:after="0"/>
              <w:rPr>
                <w:sz w:val="24"/>
                <w:szCs w:val="24"/>
                <w:color w:val="auto"/>
              </w:rPr>
            </w:pPr>
          </w:p>
        </w:tc>
        <w:tc>
          <w:tcPr>
            <w:tcW w:w="20" w:type="dxa"/>
            <w:vAlign w:val="bottom"/>
            <w:shd w:val="clear" w:color="auto" w:fill="BFA071"/>
          </w:tcPr>
          <w:p>
            <w:pPr>
              <w:spacing w:after="0"/>
              <w:rPr>
                <w:sz w:val="24"/>
                <w:szCs w:val="24"/>
                <w:color w:val="auto"/>
              </w:rPr>
            </w:pPr>
          </w:p>
        </w:tc>
        <w:tc>
          <w:tcPr>
            <w:tcW w:w="4580" w:type="dxa"/>
            <w:vAlign w:val="bottom"/>
            <w:tcBorders>
              <w:right w:val="single" w:sz="8" w:color="BFA071"/>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580" w:type="dxa"/>
            <w:vAlign w:val="bottom"/>
            <w:tcBorders>
              <w:left w:val="single" w:sz="8" w:color="BFA071"/>
            </w:tcBorders>
          </w:tcPr>
          <w:p>
            <w:pPr>
              <w:ind w:left="1280"/>
              <w:spacing w:after="0"/>
              <w:rPr>
                <w:sz w:val="20"/>
                <w:szCs w:val="20"/>
                <w:color w:val="auto"/>
              </w:rPr>
            </w:pPr>
            <w:r>
              <w:rPr>
                <w:rFonts w:ascii="Arial" w:cs="Arial" w:eastAsia="Arial" w:hAnsi="Arial"/>
                <w:sz w:val="18"/>
                <w:szCs w:val="18"/>
                <w:b w:val="1"/>
                <w:bCs w:val="1"/>
                <w:color w:val="001641"/>
              </w:rPr>
              <w:t>Total Company Revenue</w:t>
            </w:r>
          </w:p>
        </w:tc>
        <w:tc>
          <w:tcPr>
            <w:tcW w:w="20" w:type="dxa"/>
            <w:vAlign w:val="bottom"/>
            <w:shd w:val="clear" w:color="auto" w:fill="BFA071"/>
          </w:tcPr>
          <w:p>
            <w:pPr>
              <w:spacing w:after="0"/>
              <w:rPr>
                <w:sz w:val="22"/>
                <w:szCs w:val="22"/>
                <w:color w:val="auto"/>
              </w:rPr>
            </w:pPr>
          </w:p>
        </w:tc>
        <w:tc>
          <w:tcPr>
            <w:tcW w:w="4580" w:type="dxa"/>
            <w:vAlign w:val="bottom"/>
            <w:tcBorders>
              <w:right w:val="single" w:sz="8" w:color="BFA071"/>
            </w:tcBorders>
          </w:tcPr>
          <w:p>
            <w:pPr>
              <w:jc w:val="right"/>
              <w:ind w:right="774"/>
              <w:spacing w:after="0"/>
              <w:rPr>
                <w:sz w:val="20"/>
                <w:szCs w:val="20"/>
                <w:color w:val="auto"/>
              </w:rPr>
            </w:pPr>
            <w:r>
              <w:rPr>
                <w:rFonts w:ascii="Arial" w:cs="Arial" w:eastAsia="Arial" w:hAnsi="Arial"/>
                <w:sz w:val="18"/>
                <w:szCs w:val="18"/>
                <w:b w:val="1"/>
                <w:bCs w:val="1"/>
                <w:color w:val="001641"/>
              </w:rPr>
              <w:t>Adjusted Operating Profit Margin</w:t>
            </w:r>
          </w:p>
        </w:tc>
        <w:tc>
          <w:tcPr>
            <w:tcW w:w="0" w:type="dxa"/>
            <w:vAlign w:val="bottom"/>
          </w:tcPr>
          <w:p>
            <w:pPr>
              <w:spacing w:after="0"/>
              <w:rPr>
                <w:sz w:val="1"/>
                <w:szCs w:val="1"/>
                <w:color w:val="auto"/>
              </w:rPr>
            </w:pPr>
          </w:p>
        </w:tc>
      </w:tr>
      <w:tr>
        <w:trPr>
          <w:trHeight w:val="321"/>
        </w:trPr>
        <w:tc>
          <w:tcPr>
            <w:tcW w:w="4580" w:type="dxa"/>
            <w:vAlign w:val="bottom"/>
            <w:tcBorders>
              <w:left w:val="single" w:sz="8" w:color="BFA071"/>
              <w:bottom w:val="single" w:sz="8" w:color="BFA071"/>
            </w:tcBorders>
          </w:tcPr>
          <w:p>
            <w:pPr>
              <w:spacing w:after="0"/>
              <w:rPr>
                <w:sz w:val="24"/>
                <w:szCs w:val="24"/>
                <w:color w:val="auto"/>
              </w:rPr>
            </w:pPr>
          </w:p>
        </w:tc>
        <w:tc>
          <w:tcPr>
            <w:tcW w:w="20" w:type="dxa"/>
            <w:vAlign w:val="bottom"/>
            <w:tcBorders>
              <w:bottom w:val="single" w:sz="8" w:color="BFA071"/>
            </w:tcBorders>
          </w:tcPr>
          <w:p>
            <w:pPr>
              <w:spacing w:after="0"/>
              <w:rPr>
                <w:sz w:val="24"/>
                <w:szCs w:val="24"/>
                <w:color w:val="auto"/>
              </w:rPr>
            </w:pPr>
          </w:p>
        </w:tc>
        <w:tc>
          <w:tcPr>
            <w:tcW w:w="4580" w:type="dxa"/>
            <w:vAlign w:val="bottom"/>
            <w:tcBorders>
              <w:bottom w:val="single" w:sz="8" w:color="BFA071"/>
              <w:right w:val="single" w:sz="8" w:color="BFA07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346" w:right="120" w:hanging="184"/>
        <w:spacing w:after="0" w:line="286" w:lineRule="auto"/>
        <w:tabs>
          <w:tab w:leader="none" w:pos="34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Total Company Revenue was $7,912.6 million on a constant currency basis, or 109% of target, $833.6 million greater than Fiscal 2025 results of $7,079.0 million on a reported dollar basis.</w:t>
      </w:r>
    </w:p>
    <w:p>
      <w:pPr>
        <w:spacing w:after="0" w:line="277" w:lineRule="exact"/>
        <w:rPr>
          <w:rFonts w:ascii="Arial" w:cs="Arial" w:eastAsia="Arial" w:hAnsi="Arial"/>
          <w:sz w:val="16"/>
          <w:szCs w:val="16"/>
          <w:color w:val="auto"/>
        </w:rPr>
      </w:pPr>
    </w:p>
    <w:p>
      <w:pPr>
        <w:ind w:left="346" w:right="400" w:hanging="184"/>
        <w:spacing w:after="0" w:line="286" w:lineRule="auto"/>
        <w:tabs>
          <w:tab w:leader="none" w:pos="346" w:val="left"/>
        </w:tabs>
        <w:numPr>
          <w:ilvl w:val="0"/>
          <w:numId w:val="48"/>
        </w:numPr>
        <w:rPr>
          <w:rFonts w:ascii="Arial" w:cs="Arial" w:eastAsia="Arial" w:hAnsi="Arial"/>
          <w:sz w:val="16"/>
          <w:szCs w:val="16"/>
          <w:color w:val="auto"/>
        </w:rPr>
      </w:pPr>
      <w:r>
        <w:rPr>
          <w:rFonts w:ascii="Arial" w:cs="Arial" w:eastAsia="Arial" w:hAnsi="Arial"/>
          <w:sz w:val="16"/>
          <w:szCs w:val="16"/>
          <w:color w:val="auto"/>
        </w:rPr>
        <w:t>Adjusted Operating Profit Margin before strategic modifier was 15.5% on a constant currency basis, or 106% of target, greater than Fiscal 2025 results of 14.0% on a reported dollar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66"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62</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760"/>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73" w:name="page74"/>
    <w:bookmarkEnd w:id="73"/>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left="166" w:right="260" w:hanging="166"/>
        <w:spacing w:after="0" w:line="253" w:lineRule="auto"/>
        <w:tabs>
          <w:tab w:leader="none" w:pos="166"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For Fiscal 2026 short-term incentives, we included a Strategic Growth Accelerators Revenue metric, which consisted of revenue from our Women’s Apparel, Outerwear, and Handbags &amp; Small Leather Goods products based on the percentage growth over the prior year period. This metric was weighted 10%, to spotlight our high-potential growth areas.</w:t>
      </w:r>
    </w:p>
    <w:p>
      <w:pPr>
        <w:spacing w:after="0" w:line="1" w:lineRule="exact"/>
        <w:rPr>
          <w:rFonts w:ascii="Arial" w:cs="Arial" w:eastAsia="Arial" w:hAnsi="Arial"/>
          <w:sz w:val="16"/>
          <w:szCs w:val="16"/>
          <w:color w:val="auto"/>
        </w:rPr>
      </w:pPr>
    </w:p>
    <w:p>
      <w:pPr>
        <w:ind w:left="166"/>
        <w:spacing w:after="0"/>
        <w:rPr>
          <w:rFonts w:ascii="Arial" w:cs="Arial" w:eastAsia="Arial" w:hAnsi="Arial"/>
          <w:sz w:val="16"/>
          <w:szCs w:val="16"/>
          <w:color w:val="auto"/>
        </w:rPr>
      </w:pPr>
      <w:r>
        <w:rPr>
          <w:rFonts w:ascii="Arial" w:cs="Arial" w:eastAsia="Arial" w:hAnsi="Arial"/>
          <w:sz w:val="16"/>
          <w:szCs w:val="16"/>
          <w:color w:val="auto"/>
        </w:rPr>
        <w:t> </w:t>
      </w:r>
    </w:p>
    <w:p>
      <w:pPr>
        <w:spacing w:after="0" w:line="5" w:lineRule="exact"/>
        <w:rPr>
          <w:rFonts w:ascii="Arial" w:cs="Arial" w:eastAsia="Arial" w:hAnsi="Arial"/>
          <w:sz w:val="16"/>
          <w:szCs w:val="16"/>
          <w:color w:val="auto"/>
        </w:rPr>
      </w:pPr>
    </w:p>
    <w:p>
      <w:pPr>
        <w:ind w:left="166" w:right="100"/>
        <w:spacing w:after="0" w:line="252" w:lineRule="auto"/>
        <w:rPr>
          <w:rFonts w:ascii="Arial" w:cs="Arial" w:eastAsia="Arial" w:hAnsi="Arial"/>
          <w:sz w:val="16"/>
          <w:szCs w:val="16"/>
          <w:color w:val="auto"/>
        </w:rPr>
      </w:pPr>
      <w:r>
        <w:rPr>
          <w:rFonts w:ascii="Arial" w:cs="Arial" w:eastAsia="Arial" w:hAnsi="Arial"/>
          <w:sz w:val="16"/>
          <w:szCs w:val="16"/>
          <w:color w:val="auto"/>
        </w:rPr>
        <w:t>We also included an Adjusted SG&amp;A Expense metric, which consisted of total Company selling, general and administrative expense excluding marketing &amp; advertising expense as a percent of total revenue. This metric was weighted 10% and reinforced our focus on operational excellence. Strategic Growth Accelerators Revenue results were 19% greater than Fiscal 2025 results and above target and the results of the Adjusted SG&amp;A Expense metric were above target.</w:t>
      </w:r>
    </w:p>
    <w:p>
      <w:pPr>
        <w:spacing w:after="0" w:line="88" w:lineRule="exact"/>
        <w:rPr>
          <w:rFonts w:ascii="Arial" w:cs="Arial" w:eastAsia="Arial" w:hAnsi="Arial"/>
          <w:sz w:val="16"/>
          <w:szCs w:val="16"/>
          <w:color w:val="auto"/>
        </w:rPr>
      </w:pPr>
    </w:p>
    <w:p>
      <w:pPr>
        <w:ind w:left="166" w:right="140" w:hanging="166"/>
        <w:spacing w:after="0" w:line="259" w:lineRule="auto"/>
        <w:tabs>
          <w:tab w:leader="none" w:pos="166"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replaced citizenship and sustainability metrics with Artificial Intelligence (AI) metrics for purposes of our strategic goal modifier in our Fiscal 2026 short-term incentive plan. The AI metrics are in the form of a scorecard with KPIs tied to critical business priorities that focus our executives on AI literacy and enablement. We exceeded the strategic goal modifier targets, and as a result the Talent Committee approved a 10% increase to the bonus payout under the short-term incentive plan.</w:t>
      </w:r>
    </w:p>
    <w:p>
      <w:pPr>
        <w:spacing w:after="0" w:line="83" w:lineRule="exact"/>
        <w:rPr>
          <w:rFonts w:ascii="Arial" w:cs="Arial" w:eastAsia="Arial" w:hAnsi="Arial"/>
          <w:sz w:val="16"/>
          <w:szCs w:val="16"/>
          <w:color w:val="auto"/>
        </w:rPr>
      </w:pPr>
    </w:p>
    <w:p>
      <w:pPr>
        <w:ind w:left="166" w:right="300" w:hanging="166"/>
        <w:spacing w:after="0" w:line="259" w:lineRule="auto"/>
        <w:tabs>
          <w:tab w:leader="none" w:pos="166"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Fiscal 2026, our financial results were significantly above target. Formulaic results produced a payout of 197% (216.7% including modifier), which was capped at 200% for applicable NEOs. These financial results combined with above target results of the Strategic Growth Accelerators Revenue, the above target results of Adjusted SG&amp;A Expense and strong performance of our AI metrics led to maximum payouts of 200% of target for our NEOs in our short-term incentive plan.</w:t>
      </w:r>
    </w:p>
    <w:p>
      <w:pPr>
        <w:spacing w:after="0" w:line="96" w:lineRule="exact"/>
        <w:rPr>
          <w:rFonts w:ascii="Arial" w:cs="Arial" w:eastAsia="Arial" w:hAnsi="Arial"/>
          <w:sz w:val="16"/>
          <w:szCs w:val="16"/>
          <w:color w:val="auto"/>
        </w:rPr>
      </w:pPr>
    </w:p>
    <w:p>
      <w:pPr>
        <w:ind w:left="166" w:right="200" w:hanging="166"/>
        <w:spacing w:after="0" w:line="286" w:lineRule="auto"/>
        <w:tabs>
          <w:tab w:leader="none" w:pos="166"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three-year relative Total Shareholder Return (“TSR”) for Fiscal 2024 - 2026 significantly outperformed the companies in the PSU Comparator Group resulting in above target payouts for our Performance Share Units (“PSUs”).</w:t>
      </w:r>
    </w:p>
    <w:p>
      <w:pPr>
        <w:spacing w:after="0" w:line="61" w:lineRule="exact"/>
        <w:rPr>
          <w:rFonts w:ascii="Arial" w:cs="Arial" w:eastAsia="Arial" w:hAnsi="Arial"/>
          <w:sz w:val="16"/>
          <w:szCs w:val="16"/>
          <w:color w:val="auto"/>
        </w:rPr>
      </w:pPr>
    </w:p>
    <w:p>
      <w:pPr>
        <w:ind w:left="166" w:right="80" w:hanging="166"/>
        <w:spacing w:after="0" w:line="286" w:lineRule="auto"/>
        <w:tabs>
          <w:tab w:leader="none" w:pos="166"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results for PSUs based on cumulative three-year Adjusted Return on Invested Capital (“Adjusted ROIC”) for Fiscal 2024-2026 were significantly above target, resulting in payouts of 200% of target for these PSUs.</w:t>
      </w:r>
    </w:p>
    <w:p>
      <w:pPr>
        <w:spacing w:after="0" w:line="21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TOTAL SHAREHOLDER RETURN (“TSR”) PERFORMANCE</w:t>
      </w:r>
    </w:p>
    <w:p>
      <w:pPr>
        <w:spacing w:after="0" w:line="162" w:lineRule="exact"/>
        <w:rPr>
          <w:sz w:val="20"/>
          <w:szCs w:val="20"/>
          <w:color w:val="auto"/>
        </w:rPr>
      </w:pPr>
    </w:p>
    <w:p>
      <w:pPr>
        <w:ind w:left="6" w:right="20"/>
        <w:spacing w:after="0" w:line="256" w:lineRule="auto"/>
        <w:rPr>
          <w:sz w:val="20"/>
          <w:szCs w:val="20"/>
          <w:color w:val="auto"/>
        </w:rPr>
      </w:pPr>
      <w:r>
        <w:rPr>
          <w:rFonts w:ascii="Arial" w:cs="Arial" w:eastAsia="Arial" w:hAnsi="Arial"/>
          <w:sz w:val="16"/>
          <w:szCs w:val="16"/>
          <w:color w:val="auto"/>
        </w:rPr>
        <w:t xml:space="preserve">Our TSR for recent periods, relative to our Fiscal 2026 PSU Comparator Group detailed on page </w:t>
      </w:r>
      <w:r>
        <w:rPr>
          <w:rFonts w:ascii="Arial" w:cs="Arial" w:eastAsia="Arial" w:hAnsi="Arial"/>
          <w:sz w:val="16"/>
          <w:szCs w:val="16"/>
          <w:u w:val="single" w:color="auto"/>
          <w:color w:val="0000EE"/>
        </w:rPr>
        <w:t>80</w:t>
      </w:r>
      <w:r>
        <w:rPr>
          <w:rFonts w:ascii="Arial" w:cs="Arial" w:eastAsia="Arial" w:hAnsi="Arial"/>
          <w:sz w:val="16"/>
          <w:szCs w:val="16"/>
          <w:color w:val="auto"/>
        </w:rPr>
        <w:t xml:space="preserve"> and the S&amp;P 500, is set forth below. TSR is based on stock price appreciation, plus dividends reinvested, with starting and ending share prices based on average closing stock prices for the 20 trading days ending immediately prior to the beginning and end of the performance period. We had very strong TSR results in all three periods with 1-year Fiscal 2026, 3-year Fiscal 2024-2026, and 5-year Fiscal 2022-2026, substantially outperforming the PSU Comparator Group and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208915</wp:posOffset>
            </wp:positionV>
            <wp:extent cx="4380230" cy="228917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380230" cy="228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582930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286385</wp:posOffset>
            </wp:positionV>
            <wp:extent cx="128905" cy="11112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COMPENSATION PROGRAM PHILOSOPHY &amp; OBJECTIVES</w:t>
      </w:r>
    </w:p>
    <w:p>
      <w:pPr>
        <w:spacing w:after="0" w:line="16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goal of our competitive executive compensation program is to attract, inspire and reward passionate, talented and creative employees who are dedicated to our Purpose of “Inspiring the dream of a better life, through authenticity and timeless style.” Our compensation programs are designed to reward sustained business growth and results and are intended to drive stockholder value through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5833110" cy="206121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833110" cy="2061210"/>
                    </a:xfrm>
                    <a:prstGeom prst="rect">
                      <a:avLst/>
                    </a:prstGeom>
                    <a:noFill/>
                  </pic:spPr>
                </pic:pic>
              </a:graphicData>
            </a:graphic>
          </wp:anchor>
        </w:drawing>
      </w:r>
    </w:p>
    <w:p>
      <w:pPr>
        <w:spacing w:after="0" w:line="293" w:lineRule="exact"/>
        <w:rPr>
          <w:sz w:val="20"/>
          <w:szCs w:val="20"/>
          <w:color w:val="auto"/>
        </w:rPr>
      </w:pPr>
    </w:p>
    <w:p>
      <w:pPr>
        <w:ind w:left="420" w:right="640" w:hanging="162"/>
        <w:spacing w:after="0" w:line="266" w:lineRule="auto"/>
        <w:rPr>
          <w:sz w:val="20"/>
          <w:szCs w:val="20"/>
          <w:color w:val="auto"/>
        </w:rPr>
      </w:pPr>
      <w:r>
        <w:rPr>
          <w:rFonts w:ascii="Arial" w:cs="Arial" w:eastAsia="Arial" w:hAnsi="Arial"/>
          <w:sz w:val="16"/>
          <w:szCs w:val="16"/>
          <w:color w:val="auto"/>
        </w:rPr>
        <w:t>•   Strong pay-for-performance alignment by rewarding progress on our highest priority strategic and financial goals, balancing the interests of our five stakeholder groups: Our Employees, Our Customers, Our Stockholders, Our Partners/Suppliers, and Our Communities.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Achieve competitive compensation practices and levels on total compensation.</w:t>
      </w:r>
    </w:p>
    <w:p>
      <w:pPr>
        <w:spacing w:after="0" w:line="181" w:lineRule="exact"/>
        <w:rPr>
          <w:sz w:val="20"/>
          <w:szCs w:val="20"/>
          <w:color w:val="auto"/>
        </w:rPr>
      </w:pPr>
    </w:p>
    <w:p>
      <w:pPr>
        <w:ind w:left="420" w:right="340" w:hanging="162"/>
        <w:spacing w:after="0" w:line="286" w:lineRule="auto"/>
        <w:rPr>
          <w:sz w:val="20"/>
          <w:szCs w:val="20"/>
          <w:color w:val="auto"/>
        </w:rPr>
      </w:pPr>
      <w:r>
        <w:rPr>
          <w:rFonts w:ascii="Arial" w:cs="Arial" w:eastAsia="Arial" w:hAnsi="Arial"/>
          <w:sz w:val="16"/>
          <w:szCs w:val="16"/>
          <w:color w:val="auto"/>
        </w:rPr>
        <w:t>•   Strike the right balance of variable and fixed pay by awarding a meaningful portion of compensation in variable rather than fixed pay, with a significant portion in the form of long-term equity awards.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Maintain globally consistent bonus and stock targets to support movement of talent and internal pay equity.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Reward and motivate top talent, including high performers and those with high potential.</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Inspire creativity and collaboration (“one team,” “one strategy”).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Design a simple, consistent, and transparent plan.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HOW WE CONNECTED PAY TO PERFORMANCE FOR FISCAL 2026</w:t>
      </w:r>
    </w:p>
    <w:p>
      <w:pPr>
        <w:spacing w:after="0" w:line="16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utilized financial performance measures in our Fiscal 2026 short- and long-term incentive compensation plans to align with our strategic priorities and stockholder value creation. To support this alignment, specific performance measures are reviewed annually and discussed among the management team, outside compensation consultants, and the Talent Committee, considering feedback received from our top institutional stockholders during our annual stockholder outreach calls.</w:t>
      </w:r>
    </w:p>
    <w:p>
      <w:pPr>
        <w:spacing w:after="0" w:line="12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Within our short-term incentive plan, Adjusted Operating Profit Margin (40%) and Total Company Revenue (40%) were given equal weighting to emphasize profitable growth. Metrics in our short-term incentive plan also included Strategic Growth Accelerators Revenue (10% weighting) and Adjusted SG&amp;A Expense (10% weighting) designed to highlight our high potential growth areas and reinforce our commitment to operational excellence. We replaced citizenship and sustainability metrics with Artificial Intelligence (AI) in our short-term incentive plan as the strategic goal modifier. This modifier permits a 5% or 10% increase or decrease in payout depending on related key performance indicators (“KPIs”). Details of the strategic goal modifier can be found under “Key Components of Executive Compensation: Annual Cash Incentive Awards – Fiscal 2026.”</w:t>
      </w:r>
    </w:p>
    <w:p>
      <w:pPr>
        <w:spacing w:after="0" w:line="12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With respect to our long-term incentive plan, 50% of the annual equity award to our NEOs is granted in PSUs except for awards to our executive chairman, Mr. R. Lauren who has 100% of his annual equity award granted in PSUs. Consistent with the Fiscal 2025 design, our Fiscal 2026 long-term equity-based incentive awards are based on three-year Adjusted ROIC and Relative TSR. We selected Adjusted ROIC as a metric to provide a clear link to value creation for our stockholders over time, reward management for successful decisions on capital allocation and investments and differentiate measures in bonus and equity plans to prevent overlap. We also selected Relative TSR as a metric to further enhance the link between executive compensation outcomes and the experience of our stockholders.</w:t>
      </w:r>
    </w:p>
    <w:p>
      <w:pPr>
        <w:spacing w:after="0" w:line="258" w:lineRule="exact"/>
        <w:rPr>
          <w:sz w:val="20"/>
          <w:szCs w:val="20"/>
          <w:color w:val="auto"/>
        </w:rPr>
      </w:pPr>
    </w:p>
    <w:p>
      <w:pPr>
        <w:ind w:right="120"/>
        <w:spacing w:after="0" w:line="281" w:lineRule="auto"/>
        <w:rPr>
          <w:sz w:val="20"/>
          <w:szCs w:val="20"/>
          <w:color w:val="auto"/>
        </w:rPr>
      </w:pPr>
      <w:r>
        <w:rPr>
          <w:rFonts w:ascii="Arial" w:cs="Arial" w:eastAsia="Arial" w:hAnsi="Arial"/>
          <w:sz w:val="18"/>
          <w:szCs w:val="18"/>
          <w:b w:val="1"/>
          <w:bCs w:val="1"/>
          <w:color w:val="001641"/>
        </w:rPr>
        <w:t>FISCAL 2026 PAYOUT OF SHORT-TERM ANNUAL INCENTIVE: EXECUTIVE OFFICER ANNUAL INCENTIVE PLAN (“EOAIP”)</w:t>
      </w:r>
    </w:p>
    <w:p>
      <w:pPr>
        <w:spacing w:after="0" w:line="60"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In Fiscal 2026, our financial and operational results were strong and exceeded targets. Financial results for Total Company Revenue, Adjusted Operating Profit Margin, Strategic Growth Accelerators Revenue were significantly above target. Adjusted SG&amp;A Expense results were also above target, resulting in near maximum payouts of 197% for our NEOs in our short-term incentive plan. We met or exceeded the strategic goal modifier targets and as a result the Talent Committee determined that a 10% upward adjustment would be made to the bonus payout under the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58293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8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64</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75" w:name="page76"/>
    <w:bookmarkEnd w:id="7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6" w:lineRule="exact"/>
        <w:rPr>
          <w:sz w:val="20"/>
          <w:szCs w:val="20"/>
          <w:color w:val="auto"/>
        </w:rPr>
      </w:pPr>
    </w:p>
    <w:tbl>
      <w:tblPr>
        <w:tblLayout w:type="fixed"/>
        <w:tblInd w:w="6" w:type="dxa"/>
        <w:tblCellMar>
          <w:top w:w="0" w:type="dxa"/>
          <w:left w:w="0" w:type="dxa"/>
          <w:bottom w:w="0" w:type="dxa"/>
          <w:right w:w="0" w:type="dxa"/>
        </w:tblCellMar>
      </w:tblPr>
      <w:tr>
        <w:trPr>
          <w:trHeight w:val="217"/>
        </w:trPr>
        <w:tc>
          <w:tcPr>
            <w:tcW w:w="1100" w:type="dxa"/>
            <w:vAlign w:val="bottom"/>
            <w:shd w:val="clear" w:color="auto" w:fill="BFA071"/>
          </w:tcPr>
          <w:p>
            <w:pPr>
              <w:ind w:left="160"/>
              <w:spacing w:after="0"/>
              <w:rPr>
                <w:sz w:val="20"/>
                <w:szCs w:val="20"/>
                <w:color w:val="auto"/>
              </w:rPr>
            </w:pPr>
            <w:r>
              <w:rPr>
                <w:rFonts w:ascii="Arial" w:cs="Arial" w:eastAsia="Arial" w:hAnsi="Arial"/>
                <w:sz w:val="14"/>
                <w:szCs w:val="14"/>
                <w:b w:val="1"/>
                <w:bCs w:val="1"/>
                <w:color w:val="FFFFFF"/>
              </w:rPr>
              <w:t>Performance</w:t>
            </w:r>
          </w:p>
        </w:tc>
        <w:tc>
          <w:tcPr>
            <w:tcW w:w="640" w:type="dxa"/>
            <w:vAlign w:val="bottom"/>
            <w:shd w:val="clear" w:color="auto" w:fill="BFA071"/>
          </w:tcPr>
          <w:p>
            <w:pPr>
              <w:ind w:left="60"/>
              <w:spacing w:after="0"/>
              <w:rPr>
                <w:sz w:val="20"/>
                <w:szCs w:val="20"/>
                <w:color w:val="auto"/>
              </w:rPr>
            </w:pPr>
            <w:r>
              <w:rPr>
                <w:rFonts w:ascii="Arial" w:cs="Arial" w:eastAsia="Arial" w:hAnsi="Arial"/>
                <w:sz w:val="14"/>
                <w:szCs w:val="14"/>
                <w:b w:val="1"/>
                <w:bCs w:val="1"/>
                <w:color w:val="FFFFFF"/>
              </w:rPr>
              <w:t>Period</w:t>
            </w:r>
          </w:p>
        </w:tc>
        <w:tc>
          <w:tcPr>
            <w:tcW w:w="120" w:type="dxa"/>
            <w:vAlign w:val="bottom"/>
            <w:shd w:val="clear" w:color="auto" w:fill="001641"/>
          </w:tcPr>
          <w:p>
            <w:pPr>
              <w:spacing w:after="0"/>
              <w:rPr>
                <w:sz w:val="18"/>
                <w:szCs w:val="18"/>
                <w:color w:val="auto"/>
              </w:rPr>
            </w:pPr>
          </w:p>
        </w:tc>
        <w:tc>
          <w:tcPr>
            <w:tcW w:w="3100" w:type="dxa"/>
            <w:vAlign w:val="bottom"/>
            <w:vMerge w:val="restart"/>
            <w:shd w:val="clear" w:color="auto" w:fill="001641"/>
          </w:tcPr>
          <w:p>
            <w:pPr>
              <w:spacing w:after="0"/>
              <w:rPr>
                <w:sz w:val="20"/>
                <w:szCs w:val="20"/>
                <w:color w:val="auto"/>
              </w:rPr>
            </w:pPr>
            <w:r>
              <w:rPr>
                <w:rFonts w:ascii="Arial" w:cs="Arial" w:eastAsia="Arial" w:hAnsi="Arial"/>
                <w:sz w:val="14"/>
                <w:szCs w:val="14"/>
                <w:b w:val="1"/>
                <w:bCs w:val="1"/>
                <w:color w:val="FFFFFF"/>
              </w:rPr>
              <w:t>Metrics and Weight</w:t>
            </w:r>
          </w:p>
        </w:tc>
        <w:tc>
          <w:tcPr>
            <w:tcW w:w="880" w:type="dxa"/>
            <w:vAlign w:val="bottom"/>
            <w:shd w:val="clear" w:color="auto" w:fill="001641"/>
          </w:tcPr>
          <w:p>
            <w:pPr>
              <w:ind w:left="160"/>
              <w:spacing w:after="0"/>
              <w:rPr>
                <w:sz w:val="20"/>
                <w:szCs w:val="20"/>
                <w:color w:val="auto"/>
              </w:rPr>
            </w:pPr>
            <w:r>
              <w:rPr>
                <w:rFonts w:ascii="Arial" w:cs="Arial" w:eastAsia="Arial" w:hAnsi="Arial"/>
                <w:sz w:val="14"/>
                <w:szCs w:val="14"/>
                <w:b w:val="1"/>
                <w:bCs w:val="1"/>
                <w:color w:val="FFFFFF"/>
              </w:rPr>
              <w:t>Payout</w:t>
            </w:r>
          </w:p>
        </w:tc>
        <w:tc>
          <w:tcPr>
            <w:tcW w:w="1820" w:type="dxa"/>
            <w:vAlign w:val="bottom"/>
            <w:tcBorders>
              <w:right w:val="single" w:sz="8" w:color="auto"/>
            </w:tcBorders>
            <w:vMerge w:val="restart"/>
            <w:shd w:val="clear" w:color="auto" w:fill="001641"/>
          </w:tcPr>
          <w:p>
            <w:pPr>
              <w:jc w:val="right"/>
              <w:ind w:right="148"/>
              <w:spacing w:after="0"/>
              <w:rPr>
                <w:sz w:val="20"/>
                <w:szCs w:val="20"/>
                <w:color w:val="auto"/>
              </w:rPr>
            </w:pPr>
            <w:r>
              <w:rPr>
                <w:rFonts w:ascii="Arial" w:cs="Arial" w:eastAsia="Arial" w:hAnsi="Arial"/>
                <w:sz w:val="14"/>
                <w:szCs w:val="14"/>
                <w:b w:val="1"/>
                <w:bCs w:val="1"/>
                <w:color w:val="FFFFFF"/>
              </w:rPr>
              <w:t>Performance Result</w:t>
            </w:r>
            <w:r>
              <w:rPr>
                <w:rFonts w:ascii="Arial" w:cs="Arial" w:eastAsia="Arial" w:hAnsi="Arial"/>
                <w:sz w:val="23"/>
                <w:szCs w:val="23"/>
                <w:b w:val="1"/>
                <w:bCs w:val="1"/>
                <w:color w:val="FFFFFF"/>
                <w:vertAlign w:val="superscript"/>
              </w:rPr>
              <w:t>1</w:t>
            </w:r>
          </w:p>
        </w:tc>
        <w:tc>
          <w:tcPr>
            <w:tcW w:w="100" w:type="dxa"/>
            <w:vAlign w:val="bottom"/>
            <w:shd w:val="clear" w:color="auto" w:fill="001641"/>
          </w:tcPr>
          <w:p>
            <w:pPr>
              <w:spacing w:after="0"/>
              <w:rPr>
                <w:sz w:val="18"/>
                <w:szCs w:val="18"/>
                <w:color w:val="auto"/>
              </w:rPr>
            </w:pPr>
          </w:p>
        </w:tc>
        <w:tc>
          <w:tcPr>
            <w:tcW w:w="1420" w:type="dxa"/>
            <w:vAlign w:val="bottom"/>
            <w:shd w:val="clear" w:color="auto" w:fill="001641"/>
          </w:tcPr>
          <w:p>
            <w:pPr>
              <w:jc w:val="center"/>
              <w:ind w:right="68"/>
              <w:spacing w:after="0"/>
              <w:rPr>
                <w:sz w:val="20"/>
                <w:szCs w:val="20"/>
                <w:color w:val="auto"/>
              </w:rPr>
            </w:pPr>
            <w:r>
              <w:rPr>
                <w:rFonts w:ascii="Arial" w:cs="Arial" w:eastAsia="Arial" w:hAnsi="Arial"/>
                <w:sz w:val="14"/>
                <w:szCs w:val="14"/>
                <w:b w:val="1"/>
                <w:bCs w:val="1"/>
                <w:color w:val="FFFFFF"/>
              </w:rPr>
              <w:t>Amount Paid as a</w:t>
            </w:r>
          </w:p>
        </w:tc>
        <w:tc>
          <w:tcPr>
            <w:tcW w:w="0" w:type="dxa"/>
            <w:vAlign w:val="bottom"/>
          </w:tcPr>
          <w:p>
            <w:pPr>
              <w:spacing w:after="0"/>
              <w:rPr>
                <w:sz w:val="1"/>
                <w:szCs w:val="1"/>
                <w:color w:val="auto"/>
              </w:rPr>
            </w:pPr>
          </w:p>
        </w:tc>
      </w:tr>
      <w:tr>
        <w:trPr>
          <w:trHeight w:val="242"/>
        </w:trPr>
        <w:tc>
          <w:tcPr>
            <w:tcW w:w="1100" w:type="dxa"/>
            <w:vAlign w:val="bottom"/>
            <w:shd w:val="clear" w:color="auto" w:fill="BFA071"/>
          </w:tcPr>
          <w:p>
            <w:pPr>
              <w:ind w:left="160"/>
              <w:spacing w:after="0"/>
              <w:rPr>
                <w:sz w:val="20"/>
                <w:szCs w:val="20"/>
                <w:color w:val="auto"/>
              </w:rPr>
            </w:pPr>
            <w:r>
              <w:rPr>
                <w:rFonts w:ascii="Arial" w:cs="Arial" w:eastAsia="Arial" w:hAnsi="Arial"/>
                <w:sz w:val="14"/>
                <w:szCs w:val="14"/>
                <w:b w:val="1"/>
                <w:bCs w:val="1"/>
                <w:color w:val="FFFFFF"/>
              </w:rPr>
              <w:t>(Fiscal Year)</w:t>
            </w:r>
          </w:p>
        </w:tc>
        <w:tc>
          <w:tcPr>
            <w:tcW w:w="640" w:type="dxa"/>
            <w:vAlign w:val="bottom"/>
            <w:shd w:val="clear" w:color="auto" w:fill="BFA071"/>
          </w:tcPr>
          <w:p>
            <w:pPr>
              <w:spacing w:after="0"/>
              <w:rPr>
                <w:sz w:val="21"/>
                <w:szCs w:val="21"/>
                <w:color w:val="auto"/>
              </w:rPr>
            </w:pPr>
          </w:p>
        </w:tc>
        <w:tc>
          <w:tcPr>
            <w:tcW w:w="120" w:type="dxa"/>
            <w:vAlign w:val="bottom"/>
            <w:shd w:val="clear" w:color="auto" w:fill="001641"/>
          </w:tcPr>
          <w:p>
            <w:pPr>
              <w:spacing w:after="0"/>
              <w:rPr>
                <w:sz w:val="21"/>
                <w:szCs w:val="21"/>
                <w:color w:val="auto"/>
              </w:rPr>
            </w:pPr>
          </w:p>
        </w:tc>
        <w:tc>
          <w:tcPr>
            <w:tcW w:w="3100" w:type="dxa"/>
            <w:vAlign w:val="bottom"/>
            <w:vMerge w:val="continue"/>
            <w:shd w:val="clear" w:color="auto" w:fill="001641"/>
          </w:tcPr>
          <w:p>
            <w:pPr>
              <w:spacing w:after="0"/>
              <w:rPr>
                <w:sz w:val="21"/>
                <w:szCs w:val="21"/>
                <w:color w:val="auto"/>
              </w:rPr>
            </w:pPr>
          </w:p>
        </w:tc>
        <w:tc>
          <w:tcPr>
            <w:tcW w:w="880" w:type="dxa"/>
            <w:vAlign w:val="bottom"/>
            <w:shd w:val="clear" w:color="auto" w:fill="001641"/>
          </w:tcPr>
          <w:p>
            <w:pPr>
              <w:ind w:left="160"/>
              <w:spacing w:after="0"/>
              <w:rPr>
                <w:sz w:val="20"/>
                <w:szCs w:val="20"/>
                <w:color w:val="auto"/>
              </w:rPr>
            </w:pPr>
            <w:r>
              <w:rPr>
                <w:rFonts w:ascii="Arial" w:cs="Arial" w:eastAsia="Arial" w:hAnsi="Arial"/>
                <w:sz w:val="14"/>
                <w:szCs w:val="14"/>
                <w:b w:val="1"/>
                <w:bCs w:val="1"/>
                <w:color w:val="FFFFFF"/>
              </w:rPr>
              <w:t>Scale</w:t>
            </w:r>
          </w:p>
        </w:tc>
        <w:tc>
          <w:tcPr>
            <w:tcW w:w="1820" w:type="dxa"/>
            <w:vAlign w:val="bottom"/>
            <w:tcBorders>
              <w:right w:val="single" w:sz="8" w:color="auto"/>
            </w:tcBorders>
            <w:vMerge w:val="continue"/>
            <w:shd w:val="clear" w:color="auto" w:fill="001641"/>
          </w:tcPr>
          <w:p>
            <w:pPr>
              <w:spacing w:after="0"/>
              <w:rPr>
                <w:sz w:val="21"/>
                <w:szCs w:val="21"/>
                <w:color w:val="auto"/>
              </w:rPr>
            </w:pPr>
          </w:p>
        </w:tc>
        <w:tc>
          <w:tcPr>
            <w:tcW w:w="100" w:type="dxa"/>
            <w:vAlign w:val="bottom"/>
            <w:shd w:val="clear" w:color="auto" w:fill="001641"/>
          </w:tcPr>
          <w:p>
            <w:pPr>
              <w:spacing w:after="0"/>
              <w:rPr>
                <w:sz w:val="21"/>
                <w:szCs w:val="21"/>
                <w:color w:val="auto"/>
              </w:rPr>
            </w:pPr>
          </w:p>
        </w:tc>
        <w:tc>
          <w:tcPr>
            <w:tcW w:w="1420" w:type="dxa"/>
            <w:vAlign w:val="bottom"/>
            <w:shd w:val="clear" w:color="auto" w:fill="001641"/>
          </w:tcPr>
          <w:p>
            <w:pPr>
              <w:spacing w:after="0" w:line="242" w:lineRule="exact"/>
              <w:rPr>
                <w:sz w:val="20"/>
                <w:szCs w:val="20"/>
                <w:color w:val="auto"/>
              </w:rPr>
            </w:pPr>
            <w:r>
              <w:rPr>
                <w:rFonts w:ascii="Arial" w:cs="Arial" w:eastAsia="Arial" w:hAnsi="Arial"/>
                <w:sz w:val="14"/>
                <w:szCs w:val="14"/>
                <w:b w:val="1"/>
                <w:bCs w:val="1"/>
                <w:color w:val="FFFFFF"/>
              </w:rPr>
              <w:t>% of Target</w:t>
            </w:r>
            <w:r>
              <w:rPr>
                <w:rFonts w:ascii="Arial" w:cs="Arial" w:eastAsia="Arial" w:hAnsi="Arial"/>
                <w:sz w:val="23"/>
                <w:szCs w:val="23"/>
                <w:b w:val="1"/>
                <w:bCs w:val="1"/>
                <w:color w:val="FFFFFF"/>
                <w:vertAlign w:val="superscript"/>
              </w:rPr>
              <w:t>2</w:t>
            </w:r>
          </w:p>
        </w:tc>
        <w:tc>
          <w:tcPr>
            <w:tcW w:w="0" w:type="dxa"/>
            <w:vAlign w:val="bottom"/>
          </w:tcPr>
          <w:p>
            <w:pPr>
              <w:spacing w:after="0"/>
              <w:rPr>
                <w:sz w:val="1"/>
                <w:szCs w:val="1"/>
                <w:color w:val="auto"/>
              </w:rPr>
            </w:pPr>
          </w:p>
        </w:tc>
      </w:tr>
      <w:tr>
        <w:trPr>
          <w:trHeight w:val="222"/>
        </w:trPr>
        <w:tc>
          <w:tcPr>
            <w:tcW w:w="1100" w:type="dxa"/>
            <w:vAlign w:val="bottom"/>
            <w:shd w:val="clear" w:color="auto" w:fill="EBE1D2"/>
          </w:tcPr>
          <w:p>
            <w:pPr>
              <w:spacing w:after="0"/>
              <w:rPr>
                <w:sz w:val="19"/>
                <w:szCs w:val="19"/>
                <w:color w:val="auto"/>
              </w:rPr>
            </w:pPr>
          </w:p>
        </w:tc>
        <w:tc>
          <w:tcPr>
            <w:tcW w:w="640" w:type="dxa"/>
            <w:vAlign w:val="bottom"/>
            <w:shd w:val="clear" w:color="auto" w:fill="EBE1D2"/>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4"/>
                <w:szCs w:val="14"/>
                <w:color w:val="001641"/>
              </w:rPr>
              <w:t>Total Company Revenue (40%)</w:t>
            </w:r>
          </w:p>
        </w:tc>
        <w:tc>
          <w:tcPr>
            <w:tcW w:w="8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00" w:type="dxa"/>
            <w:vAlign w:val="bottom"/>
            <w:shd w:val="clear" w:color="auto" w:fill="EBE1D2"/>
          </w:tcPr>
          <w:p>
            <w:pPr>
              <w:spacing w:after="0"/>
              <w:rPr>
                <w:sz w:val="21"/>
                <w:szCs w:val="21"/>
                <w:color w:val="auto"/>
              </w:rPr>
            </w:pPr>
          </w:p>
        </w:tc>
        <w:tc>
          <w:tcPr>
            <w:tcW w:w="640" w:type="dxa"/>
            <w:vAlign w:val="bottom"/>
            <w:shd w:val="clear" w:color="auto" w:fill="EBE1D2"/>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tcPr>
          <w:p>
            <w:pPr>
              <w:spacing w:after="0"/>
              <w:rPr>
                <w:sz w:val="20"/>
                <w:szCs w:val="20"/>
                <w:color w:val="auto"/>
              </w:rPr>
            </w:pPr>
            <w:r>
              <w:rPr>
                <w:rFonts w:ascii="Arial" w:cs="Arial" w:eastAsia="Arial" w:hAnsi="Arial"/>
                <w:sz w:val="14"/>
                <w:szCs w:val="14"/>
                <w:color w:val="001641"/>
              </w:rPr>
              <w:t>Adjusted Operating Profit Margin (40%)</w:t>
            </w:r>
          </w:p>
        </w:tc>
        <w:tc>
          <w:tcPr>
            <w:tcW w:w="880" w:type="dxa"/>
            <w:vAlign w:val="bottom"/>
            <w:vMerge w:val="restart"/>
          </w:tcPr>
          <w:p>
            <w:pPr>
              <w:jc w:val="center"/>
              <w:ind w:left="28"/>
              <w:spacing w:after="0"/>
              <w:rPr>
                <w:sz w:val="20"/>
                <w:szCs w:val="20"/>
                <w:color w:val="auto"/>
              </w:rPr>
            </w:pPr>
            <w:r>
              <w:rPr>
                <w:rFonts w:ascii="Arial" w:cs="Arial" w:eastAsia="Arial" w:hAnsi="Arial"/>
                <w:sz w:val="14"/>
                <w:szCs w:val="14"/>
                <w:color w:val="001641"/>
              </w:rPr>
              <w:t>0% -</w:t>
            </w:r>
          </w:p>
        </w:tc>
        <w:tc>
          <w:tcPr>
            <w:tcW w:w="1820" w:type="dxa"/>
            <w:vAlign w:val="bottom"/>
            <w:vMerge w:val="restart"/>
          </w:tcPr>
          <w:p>
            <w:pPr>
              <w:jc w:val="right"/>
              <w:ind w:right="628"/>
              <w:spacing w:after="0"/>
              <w:rPr>
                <w:sz w:val="20"/>
                <w:szCs w:val="20"/>
                <w:color w:val="auto"/>
              </w:rPr>
            </w:pPr>
            <w:r>
              <w:rPr>
                <w:rFonts w:ascii="Arial" w:cs="Arial" w:eastAsia="Arial" w:hAnsi="Arial"/>
                <w:sz w:val="14"/>
                <w:szCs w:val="14"/>
                <w:color w:val="001641"/>
              </w:rPr>
              <w:t>197%</w:t>
            </w:r>
          </w:p>
        </w:tc>
        <w:tc>
          <w:tcPr>
            <w:tcW w:w="100" w:type="dxa"/>
            <w:vAlign w:val="bottom"/>
          </w:tcPr>
          <w:p>
            <w:pPr>
              <w:spacing w:after="0"/>
              <w:rPr>
                <w:sz w:val="21"/>
                <w:szCs w:val="21"/>
                <w:color w:val="auto"/>
              </w:rPr>
            </w:pPr>
          </w:p>
        </w:tc>
        <w:tc>
          <w:tcPr>
            <w:tcW w:w="1420" w:type="dxa"/>
            <w:vAlign w:val="bottom"/>
            <w:vMerge w:val="restart"/>
          </w:tcPr>
          <w:p>
            <w:pPr>
              <w:jc w:val="center"/>
              <w:ind w:right="68"/>
              <w:spacing w:after="0"/>
              <w:rPr>
                <w:sz w:val="20"/>
                <w:szCs w:val="20"/>
                <w:color w:val="auto"/>
              </w:rPr>
            </w:pPr>
            <w:r>
              <w:rPr>
                <w:rFonts w:ascii="Arial" w:cs="Arial" w:eastAsia="Arial" w:hAnsi="Arial"/>
                <w:sz w:val="14"/>
                <w:szCs w:val="14"/>
                <w:color w:val="001641"/>
              </w:rPr>
              <w:t>197% for Mr. R.</w:t>
            </w:r>
          </w:p>
        </w:tc>
        <w:tc>
          <w:tcPr>
            <w:tcW w:w="0" w:type="dxa"/>
            <w:vAlign w:val="bottom"/>
          </w:tcPr>
          <w:p>
            <w:pPr>
              <w:spacing w:after="0"/>
              <w:rPr>
                <w:sz w:val="1"/>
                <w:szCs w:val="1"/>
                <w:color w:val="auto"/>
              </w:rPr>
            </w:pPr>
          </w:p>
        </w:tc>
      </w:tr>
      <w:tr>
        <w:trPr>
          <w:trHeight w:val="75"/>
        </w:trPr>
        <w:tc>
          <w:tcPr>
            <w:tcW w:w="1100" w:type="dxa"/>
            <w:vAlign w:val="bottom"/>
            <w:shd w:val="clear" w:color="auto" w:fill="EBE1D2"/>
          </w:tcPr>
          <w:p>
            <w:pPr>
              <w:spacing w:after="0"/>
              <w:rPr>
                <w:sz w:val="6"/>
                <w:szCs w:val="6"/>
                <w:color w:val="auto"/>
              </w:rPr>
            </w:pPr>
          </w:p>
        </w:tc>
        <w:tc>
          <w:tcPr>
            <w:tcW w:w="640" w:type="dxa"/>
            <w:vAlign w:val="bottom"/>
            <w:shd w:val="clear" w:color="auto" w:fill="EBE1D2"/>
          </w:tcPr>
          <w:p>
            <w:pPr>
              <w:spacing w:after="0"/>
              <w:rPr>
                <w:sz w:val="6"/>
                <w:szCs w:val="6"/>
                <w:color w:val="auto"/>
              </w:rPr>
            </w:pPr>
          </w:p>
        </w:tc>
        <w:tc>
          <w:tcPr>
            <w:tcW w:w="120" w:type="dxa"/>
            <w:vAlign w:val="bottom"/>
          </w:tcPr>
          <w:p>
            <w:pPr>
              <w:spacing w:after="0"/>
              <w:rPr>
                <w:sz w:val="6"/>
                <w:szCs w:val="6"/>
                <w:color w:val="auto"/>
              </w:rPr>
            </w:pPr>
          </w:p>
        </w:tc>
        <w:tc>
          <w:tcPr>
            <w:tcW w:w="3100" w:type="dxa"/>
            <w:vAlign w:val="bottom"/>
            <w:vMerge w:val="restart"/>
          </w:tcPr>
          <w:p>
            <w:pPr>
              <w:spacing w:after="0"/>
              <w:rPr>
                <w:sz w:val="20"/>
                <w:szCs w:val="20"/>
                <w:color w:val="auto"/>
              </w:rPr>
            </w:pPr>
            <w:r>
              <w:rPr>
                <w:rFonts w:ascii="Arial" w:cs="Arial" w:eastAsia="Arial" w:hAnsi="Arial"/>
                <w:sz w:val="14"/>
                <w:szCs w:val="14"/>
                <w:color w:val="001641"/>
              </w:rPr>
              <w:t>Strategic Growth Accelerators Revenue (10%)</w:t>
            </w:r>
          </w:p>
        </w:tc>
        <w:tc>
          <w:tcPr>
            <w:tcW w:w="880" w:type="dxa"/>
            <w:vAlign w:val="bottom"/>
            <w:vMerge w:val="continue"/>
          </w:tcPr>
          <w:p>
            <w:pPr>
              <w:spacing w:after="0"/>
              <w:rPr>
                <w:sz w:val="6"/>
                <w:szCs w:val="6"/>
                <w:color w:val="auto"/>
              </w:rPr>
            </w:pPr>
          </w:p>
        </w:tc>
        <w:tc>
          <w:tcPr>
            <w:tcW w:w="1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100" w:type="dxa"/>
            <w:vAlign w:val="bottom"/>
            <w:vMerge w:val="restart"/>
            <w:shd w:val="clear" w:color="auto" w:fill="EBE1D2"/>
          </w:tcPr>
          <w:p>
            <w:pPr>
              <w:jc w:val="right"/>
              <w:ind w:right="8"/>
              <w:spacing w:after="0"/>
              <w:rPr>
                <w:sz w:val="20"/>
                <w:szCs w:val="20"/>
                <w:color w:val="auto"/>
              </w:rPr>
            </w:pPr>
            <w:r>
              <w:rPr>
                <w:rFonts w:ascii="Arial" w:cs="Arial" w:eastAsia="Arial" w:hAnsi="Arial"/>
                <w:sz w:val="14"/>
                <w:szCs w:val="14"/>
                <w:b w:val="1"/>
                <w:bCs w:val="1"/>
                <w:color w:val="001641"/>
              </w:rPr>
              <w:t>2026</w:t>
            </w:r>
          </w:p>
        </w:tc>
        <w:tc>
          <w:tcPr>
            <w:tcW w:w="640" w:type="dxa"/>
            <w:vAlign w:val="bottom"/>
            <w:shd w:val="clear" w:color="auto" w:fill="EBE1D2"/>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880" w:type="dxa"/>
            <w:vAlign w:val="bottom"/>
          </w:tcPr>
          <w:p>
            <w:pPr>
              <w:jc w:val="center"/>
              <w:ind w:left="28"/>
              <w:spacing w:after="0" w:line="139" w:lineRule="exact"/>
              <w:rPr>
                <w:sz w:val="20"/>
                <w:szCs w:val="20"/>
                <w:color w:val="auto"/>
              </w:rPr>
            </w:pPr>
            <w:r>
              <w:rPr>
                <w:rFonts w:ascii="Arial" w:cs="Arial" w:eastAsia="Arial" w:hAnsi="Arial"/>
                <w:sz w:val="14"/>
                <w:szCs w:val="14"/>
                <w:color w:val="001641"/>
              </w:rPr>
              <w:t>200%</w:t>
            </w: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48"/>
              <w:spacing w:after="0" w:line="139" w:lineRule="exact"/>
              <w:rPr>
                <w:sz w:val="20"/>
                <w:szCs w:val="20"/>
                <w:color w:val="auto"/>
              </w:rPr>
            </w:pPr>
            <w:r>
              <w:rPr>
                <w:rFonts w:ascii="Arial" w:cs="Arial" w:eastAsia="Arial" w:hAnsi="Arial"/>
                <w:sz w:val="14"/>
                <w:szCs w:val="14"/>
                <w:color w:val="001641"/>
              </w:rPr>
              <w:t>Lauren; 200% for</w:t>
            </w:r>
          </w:p>
        </w:tc>
        <w:tc>
          <w:tcPr>
            <w:tcW w:w="0" w:type="dxa"/>
            <w:vAlign w:val="bottom"/>
          </w:tcPr>
          <w:p>
            <w:pPr>
              <w:spacing w:after="0"/>
              <w:rPr>
                <w:sz w:val="1"/>
                <w:szCs w:val="1"/>
                <w:color w:val="auto"/>
              </w:rPr>
            </w:pPr>
          </w:p>
        </w:tc>
      </w:tr>
      <w:tr>
        <w:trPr>
          <w:trHeight w:val="102"/>
        </w:trPr>
        <w:tc>
          <w:tcPr>
            <w:tcW w:w="1100" w:type="dxa"/>
            <w:vAlign w:val="bottom"/>
            <w:vMerge w:val="continue"/>
            <w:shd w:val="clear" w:color="auto" w:fill="EBE1D2"/>
          </w:tcPr>
          <w:p>
            <w:pPr>
              <w:spacing w:after="0"/>
              <w:rPr>
                <w:sz w:val="8"/>
                <w:szCs w:val="8"/>
                <w:color w:val="auto"/>
              </w:rPr>
            </w:pPr>
          </w:p>
        </w:tc>
        <w:tc>
          <w:tcPr>
            <w:tcW w:w="640" w:type="dxa"/>
            <w:vAlign w:val="bottom"/>
            <w:shd w:val="clear" w:color="auto" w:fill="EBE1D2"/>
          </w:tcPr>
          <w:p>
            <w:pPr>
              <w:spacing w:after="0"/>
              <w:rPr>
                <w:sz w:val="8"/>
                <w:szCs w:val="8"/>
                <w:color w:val="auto"/>
              </w:rPr>
            </w:pPr>
          </w:p>
        </w:tc>
        <w:tc>
          <w:tcPr>
            <w:tcW w:w="120" w:type="dxa"/>
            <w:vAlign w:val="bottom"/>
          </w:tcPr>
          <w:p>
            <w:pPr>
              <w:spacing w:after="0"/>
              <w:rPr>
                <w:sz w:val="8"/>
                <w:szCs w:val="8"/>
                <w:color w:val="auto"/>
              </w:rPr>
            </w:pPr>
          </w:p>
        </w:tc>
        <w:tc>
          <w:tcPr>
            <w:tcW w:w="3100" w:type="dxa"/>
            <w:vAlign w:val="bottom"/>
            <w:vMerge w:val="restart"/>
          </w:tcPr>
          <w:p>
            <w:pPr>
              <w:spacing w:after="0"/>
              <w:rPr>
                <w:sz w:val="20"/>
                <w:szCs w:val="20"/>
                <w:color w:val="auto"/>
              </w:rPr>
            </w:pPr>
            <w:r>
              <w:rPr>
                <w:rFonts w:ascii="Arial" w:cs="Arial" w:eastAsia="Arial" w:hAnsi="Arial"/>
                <w:sz w:val="14"/>
                <w:szCs w:val="14"/>
                <w:color w:val="001641"/>
              </w:rPr>
              <w:t>Adjusted SG&amp;A Expense (10%)</w:t>
            </w:r>
          </w:p>
        </w:tc>
        <w:tc>
          <w:tcPr>
            <w:tcW w:w="8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vMerge w:val="restart"/>
          </w:tcPr>
          <w:p>
            <w:pPr>
              <w:jc w:val="center"/>
              <w:ind w:right="68"/>
              <w:spacing w:after="0"/>
              <w:rPr>
                <w:sz w:val="20"/>
                <w:szCs w:val="20"/>
                <w:color w:val="auto"/>
              </w:rPr>
            </w:pPr>
            <w:r>
              <w:rPr>
                <w:rFonts w:ascii="Arial" w:cs="Arial" w:eastAsia="Arial" w:hAnsi="Arial"/>
                <w:sz w:val="14"/>
                <w:szCs w:val="14"/>
                <w:color w:val="001641"/>
              </w:rPr>
              <w:t>our CEO and other</w:t>
            </w:r>
          </w:p>
        </w:tc>
        <w:tc>
          <w:tcPr>
            <w:tcW w:w="0" w:type="dxa"/>
            <w:vAlign w:val="bottom"/>
          </w:tcPr>
          <w:p>
            <w:pPr>
              <w:spacing w:after="0"/>
              <w:rPr>
                <w:sz w:val="1"/>
                <w:szCs w:val="1"/>
                <w:color w:val="auto"/>
              </w:rPr>
            </w:pPr>
          </w:p>
        </w:tc>
      </w:tr>
      <w:tr>
        <w:trPr>
          <w:trHeight w:val="60"/>
        </w:trPr>
        <w:tc>
          <w:tcPr>
            <w:tcW w:w="1100" w:type="dxa"/>
            <w:vAlign w:val="bottom"/>
            <w:shd w:val="clear" w:color="auto" w:fill="EBE1D2"/>
          </w:tcPr>
          <w:p>
            <w:pPr>
              <w:spacing w:after="0"/>
              <w:rPr>
                <w:sz w:val="5"/>
                <w:szCs w:val="5"/>
                <w:color w:val="auto"/>
              </w:rPr>
            </w:pPr>
          </w:p>
        </w:tc>
        <w:tc>
          <w:tcPr>
            <w:tcW w:w="640" w:type="dxa"/>
            <w:vAlign w:val="bottom"/>
            <w:shd w:val="clear" w:color="auto" w:fill="EBE1D2"/>
          </w:tcPr>
          <w:p>
            <w:pPr>
              <w:spacing w:after="0"/>
              <w:rPr>
                <w:sz w:val="5"/>
                <w:szCs w:val="5"/>
                <w:color w:val="auto"/>
              </w:rPr>
            </w:pPr>
          </w:p>
        </w:tc>
        <w:tc>
          <w:tcPr>
            <w:tcW w:w="12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1100" w:type="dxa"/>
            <w:vAlign w:val="bottom"/>
            <w:shd w:val="clear" w:color="auto" w:fill="EBE1D2"/>
          </w:tcPr>
          <w:p>
            <w:pPr>
              <w:spacing w:after="0"/>
              <w:rPr>
                <w:sz w:val="9"/>
                <w:szCs w:val="9"/>
                <w:color w:val="auto"/>
              </w:rPr>
            </w:pPr>
          </w:p>
        </w:tc>
        <w:tc>
          <w:tcPr>
            <w:tcW w:w="640" w:type="dxa"/>
            <w:vAlign w:val="bottom"/>
            <w:shd w:val="clear" w:color="auto" w:fill="EBE1D2"/>
          </w:tcPr>
          <w:p>
            <w:pPr>
              <w:spacing w:after="0"/>
              <w:rPr>
                <w:sz w:val="9"/>
                <w:szCs w:val="9"/>
                <w:color w:val="auto"/>
              </w:rPr>
            </w:pPr>
          </w:p>
        </w:tc>
        <w:tc>
          <w:tcPr>
            <w:tcW w:w="120" w:type="dxa"/>
            <w:vAlign w:val="bottom"/>
          </w:tcPr>
          <w:p>
            <w:pPr>
              <w:spacing w:after="0"/>
              <w:rPr>
                <w:sz w:val="9"/>
                <w:szCs w:val="9"/>
                <w:color w:val="auto"/>
              </w:rPr>
            </w:pPr>
          </w:p>
        </w:tc>
        <w:tc>
          <w:tcPr>
            <w:tcW w:w="31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vMerge w:val="restart"/>
          </w:tcPr>
          <w:p>
            <w:pPr>
              <w:jc w:val="center"/>
              <w:ind w:right="48"/>
              <w:spacing w:after="0" w:line="125" w:lineRule="exact"/>
              <w:rPr>
                <w:sz w:val="20"/>
                <w:szCs w:val="20"/>
                <w:color w:val="auto"/>
              </w:rPr>
            </w:pPr>
            <w:r>
              <w:rPr>
                <w:rFonts w:ascii="Arial" w:cs="Arial" w:eastAsia="Arial" w:hAnsi="Arial"/>
                <w:sz w:val="14"/>
                <w:szCs w:val="14"/>
                <w:color w:val="001641"/>
              </w:rPr>
              <w:t>NEOs</w:t>
            </w:r>
          </w:p>
        </w:tc>
        <w:tc>
          <w:tcPr>
            <w:tcW w:w="0" w:type="dxa"/>
            <w:vAlign w:val="bottom"/>
          </w:tcPr>
          <w:p>
            <w:pPr>
              <w:spacing w:after="0"/>
              <w:rPr>
                <w:sz w:val="1"/>
                <w:szCs w:val="1"/>
                <w:color w:val="auto"/>
              </w:rPr>
            </w:pPr>
          </w:p>
        </w:tc>
      </w:tr>
      <w:tr>
        <w:trPr>
          <w:trHeight w:val="22"/>
        </w:trPr>
        <w:tc>
          <w:tcPr>
            <w:tcW w:w="1100" w:type="dxa"/>
            <w:vAlign w:val="bottom"/>
            <w:tcBorders>
              <w:bottom w:val="single" w:sz="8" w:color="EBE1D2"/>
            </w:tcBorders>
            <w:shd w:val="clear" w:color="auto" w:fill="EBE1D2"/>
          </w:tcPr>
          <w:p>
            <w:pPr>
              <w:spacing w:after="0" w:line="20" w:lineRule="exact"/>
              <w:rPr>
                <w:sz w:val="1"/>
                <w:szCs w:val="1"/>
                <w:color w:val="auto"/>
              </w:rPr>
            </w:pPr>
          </w:p>
        </w:tc>
        <w:tc>
          <w:tcPr>
            <w:tcW w:w="640" w:type="dxa"/>
            <w:vAlign w:val="bottom"/>
            <w:tcBorders>
              <w:bottom w:val="single" w:sz="8" w:color="EBE1D2"/>
            </w:tcBorders>
            <w:shd w:val="clear" w:color="auto" w:fill="EBE1D2"/>
          </w:tcPr>
          <w:p>
            <w:pPr>
              <w:spacing w:after="0" w:line="20" w:lineRule="exact"/>
              <w:rPr>
                <w:sz w:val="1"/>
                <w:szCs w:val="1"/>
                <w:color w:val="auto"/>
              </w:rPr>
            </w:pPr>
          </w:p>
        </w:tc>
        <w:tc>
          <w:tcPr>
            <w:tcW w:w="120" w:type="dxa"/>
            <w:vAlign w:val="bottom"/>
            <w:tcBorders>
              <w:bottom w:val="single" w:sz="8" w:color="BFA071"/>
            </w:tcBorders>
          </w:tcPr>
          <w:p>
            <w:pPr>
              <w:spacing w:after="0" w:line="20" w:lineRule="exact"/>
              <w:rPr>
                <w:sz w:val="1"/>
                <w:szCs w:val="1"/>
                <w:color w:val="auto"/>
              </w:rPr>
            </w:pPr>
          </w:p>
        </w:tc>
        <w:tc>
          <w:tcPr>
            <w:tcW w:w="310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1820" w:type="dxa"/>
            <w:vAlign w:val="bottom"/>
            <w:tcBorders>
              <w:bottom w:val="single" w:sz="8" w:color="BFA07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100" w:type="dxa"/>
            <w:vAlign w:val="bottom"/>
            <w:shd w:val="clear" w:color="auto" w:fill="EBE1D2"/>
          </w:tcPr>
          <w:p>
            <w:pPr>
              <w:spacing w:after="0"/>
              <w:rPr>
                <w:sz w:val="15"/>
                <w:szCs w:val="15"/>
                <w:color w:val="auto"/>
              </w:rPr>
            </w:pPr>
          </w:p>
        </w:tc>
        <w:tc>
          <w:tcPr>
            <w:tcW w:w="640" w:type="dxa"/>
            <w:vAlign w:val="bottom"/>
            <w:shd w:val="clear" w:color="auto" w:fill="EBE1D2"/>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Arial" w:cs="Arial" w:eastAsia="Arial" w:hAnsi="Arial"/>
                <w:sz w:val="14"/>
                <w:szCs w:val="14"/>
                <w:color w:val="001641"/>
              </w:rPr>
              <w:t>Artificial Intelligence (AI) Scorecard (Strategic</w:t>
            </w:r>
          </w:p>
        </w:tc>
        <w:tc>
          <w:tcPr>
            <w:tcW w:w="880" w:type="dxa"/>
            <w:vAlign w:val="bottom"/>
          </w:tcPr>
          <w:p>
            <w:pPr>
              <w:jc w:val="center"/>
              <w:ind w:left="28"/>
              <w:spacing w:after="0"/>
              <w:rPr>
                <w:sz w:val="20"/>
                <w:szCs w:val="20"/>
                <w:color w:val="auto"/>
              </w:rPr>
            </w:pPr>
            <w:r>
              <w:rPr>
                <w:rFonts w:ascii="Arial" w:cs="Arial" w:eastAsia="Arial" w:hAnsi="Arial"/>
                <w:sz w:val="14"/>
                <w:szCs w:val="14"/>
                <w:color w:val="001641"/>
              </w:rPr>
              <w:t>+/-10%</w:t>
            </w:r>
          </w:p>
        </w:tc>
        <w:tc>
          <w:tcPr>
            <w:tcW w:w="1820" w:type="dxa"/>
            <w:vAlign w:val="bottom"/>
            <w:tcBorders>
              <w:right w:val="single" w:sz="8" w:color="auto"/>
            </w:tcBorders>
          </w:tcPr>
          <w:p>
            <w:pPr>
              <w:jc w:val="right"/>
              <w:ind w:right="628"/>
              <w:spacing w:after="0"/>
              <w:rPr>
                <w:sz w:val="20"/>
                <w:szCs w:val="20"/>
                <w:color w:val="auto"/>
              </w:rPr>
            </w:pPr>
            <w:r>
              <w:rPr>
                <w:rFonts w:ascii="Arial" w:cs="Arial" w:eastAsia="Arial" w:hAnsi="Arial"/>
                <w:sz w:val="14"/>
                <w:szCs w:val="14"/>
                <w:color w:val="001641"/>
              </w:rPr>
              <w:t>+10%</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Borders>
              <w:bottom w:val="single" w:sz="8" w:color="BFA071"/>
            </w:tcBorders>
            <w:shd w:val="clear" w:color="auto" w:fill="EBE1D2"/>
          </w:tcPr>
          <w:p>
            <w:pPr>
              <w:spacing w:after="0"/>
              <w:rPr>
                <w:sz w:val="15"/>
                <w:szCs w:val="15"/>
                <w:color w:val="auto"/>
              </w:rPr>
            </w:pPr>
          </w:p>
        </w:tc>
        <w:tc>
          <w:tcPr>
            <w:tcW w:w="640" w:type="dxa"/>
            <w:vAlign w:val="bottom"/>
            <w:tcBorders>
              <w:bottom w:val="single" w:sz="8" w:color="BFA071"/>
            </w:tcBorders>
            <w:shd w:val="clear" w:color="auto" w:fill="EBE1D2"/>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line="158" w:lineRule="exact"/>
              <w:rPr>
                <w:sz w:val="20"/>
                <w:szCs w:val="20"/>
                <w:color w:val="auto"/>
              </w:rPr>
            </w:pPr>
            <w:r>
              <w:rPr>
                <w:rFonts w:ascii="Arial" w:cs="Arial" w:eastAsia="Arial" w:hAnsi="Arial"/>
                <w:sz w:val="14"/>
                <w:szCs w:val="14"/>
                <w:color w:val="001641"/>
              </w:rPr>
              <w:t>Modifier)</w:t>
            </w:r>
          </w:p>
        </w:tc>
        <w:tc>
          <w:tcPr>
            <w:tcW w:w="880" w:type="dxa"/>
            <w:vAlign w:val="bottom"/>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EBE1D2"/>
            </w:tcBorders>
            <w:shd w:val="clear" w:color="auto" w:fill="001641"/>
          </w:tcPr>
          <w:p>
            <w:pPr>
              <w:spacing w:after="0" w:line="20" w:lineRule="exact"/>
              <w:rPr>
                <w:sz w:val="1"/>
                <w:szCs w:val="1"/>
                <w:color w:val="auto"/>
              </w:rPr>
            </w:pPr>
          </w:p>
        </w:tc>
        <w:tc>
          <w:tcPr>
            <w:tcW w:w="640" w:type="dxa"/>
            <w:vAlign w:val="bottom"/>
            <w:tcBorders>
              <w:top w:val="single" w:sz="8" w:color="EBE1D2"/>
            </w:tcBorders>
            <w:shd w:val="clear" w:color="auto" w:fill="001641"/>
          </w:tcPr>
          <w:p>
            <w:pPr>
              <w:spacing w:after="0" w:line="20" w:lineRule="exact"/>
              <w:rPr>
                <w:sz w:val="1"/>
                <w:szCs w:val="1"/>
                <w:color w:val="auto"/>
              </w:rPr>
            </w:pPr>
          </w:p>
        </w:tc>
        <w:tc>
          <w:tcPr>
            <w:tcW w:w="120" w:type="dxa"/>
            <w:vAlign w:val="bottom"/>
            <w:shd w:val="clear" w:color="auto" w:fill="001641"/>
          </w:tcPr>
          <w:p>
            <w:pPr>
              <w:spacing w:after="0" w:line="20" w:lineRule="exact"/>
              <w:rPr>
                <w:sz w:val="1"/>
                <w:szCs w:val="1"/>
                <w:color w:val="auto"/>
              </w:rPr>
            </w:pPr>
          </w:p>
        </w:tc>
        <w:tc>
          <w:tcPr>
            <w:tcW w:w="3100" w:type="dxa"/>
            <w:vAlign w:val="bottom"/>
            <w:shd w:val="clear" w:color="auto" w:fill="001641"/>
          </w:tcPr>
          <w:p>
            <w:pPr>
              <w:spacing w:after="0" w:line="20" w:lineRule="exact"/>
              <w:rPr>
                <w:sz w:val="1"/>
                <w:szCs w:val="1"/>
                <w:color w:val="auto"/>
              </w:rPr>
            </w:pPr>
          </w:p>
        </w:tc>
        <w:tc>
          <w:tcPr>
            <w:tcW w:w="880" w:type="dxa"/>
            <w:vAlign w:val="bottom"/>
            <w:shd w:val="clear" w:color="auto" w:fill="001641"/>
          </w:tcPr>
          <w:p>
            <w:pPr>
              <w:spacing w:after="0" w:line="20" w:lineRule="exact"/>
              <w:rPr>
                <w:sz w:val="1"/>
                <w:szCs w:val="1"/>
                <w:color w:val="auto"/>
              </w:rPr>
            </w:pPr>
          </w:p>
        </w:tc>
        <w:tc>
          <w:tcPr>
            <w:tcW w:w="1820" w:type="dxa"/>
            <w:vAlign w:val="bottom"/>
            <w:tcBorders>
              <w:right w:val="single" w:sz="8" w:color="001641"/>
            </w:tcBorders>
            <w:shd w:val="clear" w:color="auto" w:fill="001641"/>
          </w:tcPr>
          <w:p>
            <w:pPr>
              <w:spacing w:after="0" w:line="20" w:lineRule="exact"/>
              <w:rPr>
                <w:sz w:val="1"/>
                <w:szCs w:val="1"/>
                <w:color w:val="auto"/>
              </w:rPr>
            </w:pPr>
          </w:p>
        </w:tc>
        <w:tc>
          <w:tcPr>
            <w:tcW w:w="100" w:type="dxa"/>
            <w:vAlign w:val="bottom"/>
            <w:shd w:val="clear" w:color="auto" w:fill="001641"/>
          </w:tcPr>
          <w:p>
            <w:pPr>
              <w:spacing w:after="0" w:line="20" w:lineRule="exact"/>
              <w:rPr>
                <w:sz w:val="1"/>
                <w:szCs w:val="1"/>
                <w:color w:val="auto"/>
              </w:rPr>
            </w:pPr>
          </w:p>
        </w:tc>
        <w:tc>
          <w:tcPr>
            <w:tcW w:w="1420" w:type="dxa"/>
            <w:vAlign w:val="bottom"/>
            <w:shd w:val="clear" w:color="auto" w:fill="00164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4839335</wp:posOffset>
            </wp:positionH>
            <wp:positionV relativeFrom="paragraph">
              <wp:posOffset>-886460</wp:posOffset>
            </wp:positionV>
            <wp:extent cx="34290" cy="65151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4290" cy="651510"/>
                    </a:xfrm>
                    <a:prstGeom prst="rect">
                      <a:avLst/>
                    </a:prstGeom>
                    <a:noFill/>
                  </pic:spPr>
                </pic:pic>
              </a:graphicData>
            </a:graphic>
          </wp:anchor>
        </w:drawing>
      </w:r>
    </w:p>
    <w:p>
      <w:pPr>
        <w:spacing w:after="0" w:line="92" w:lineRule="exact"/>
        <w:rPr>
          <w:sz w:val="20"/>
          <w:szCs w:val="20"/>
          <w:color w:val="auto"/>
        </w:rPr>
      </w:pPr>
    </w:p>
    <w:p>
      <w:pPr>
        <w:ind w:left="246" w:hanging="246"/>
        <w:spacing w:after="0"/>
        <w:tabs>
          <w:tab w:leader="none" w:pos="246" w:val="left"/>
        </w:tabs>
        <w:numPr>
          <w:ilvl w:val="0"/>
          <w:numId w:val="50"/>
        </w:numPr>
        <w:rPr>
          <w:rFonts w:ascii="Arial" w:cs="Arial" w:eastAsia="Arial" w:hAnsi="Arial"/>
          <w:sz w:val="14"/>
          <w:szCs w:val="14"/>
          <w:color w:val="4C4C4C"/>
        </w:rPr>
      </w:pPr>
      <w:r>
        <w:rPr>
          <w:rFonts w:ascii="Arial" w:cs="Arial" w:eastAsia="Arial" w:hAnsi="Arial"/>
          <w:sz w:val="14"/>
          <w:szCs w:val="14"/>
          <w:color w:val="4C4C4C"/>
        </w:rPr>
        <w:t>Includes impact of adjustments approved by the Talent Committee, including restructuring and other charges.</w:t>
      </w:r>
    </w:p>
    <w:p>
      <w:pPr>
        <w:spacing w:after="0" w:line="41" w:lineRule="exact"/>
        <w:rPr>
          <w:rFonts w:ascii="Arial" w:cs="Arial" w:eastAsia="Arial" w:hAnsi="Arial"/>
          <w:sz w:val="14"/>
          <w:szCs w:val="14"/>
          <w:color w:val="4C4C4C"/>
        </w:rPr>
      </w:pPr>
    </w:p>
    <w:p>
      <w:pPr>
        <w:ind w:left="246" w:right="100" w:hanging="246"/>
        <w:spacing w:after="0" w:line="296" w:lineRule="auto"/>
        <w:tabs>
          <w:tab w:leader="none" w:pos="246" w:val="left"/>
        </w:tabs>
        <w:numPr>
          <w:ilvl w:val="0"/>
          <w:numId w:val="50"/>
        </w:numPr>
        <w:rPr>
          <w:rFonts w:ascii="Arial" w:cs="Arial" w:eastAsia="Arial" w:hAnsi="Arial"/>
          <w:sz w:val="14"/>
          <w:szCs w:val="14"/>
          <w:color w:val="4C4C4C"/>
        </w:rPr>
      </w:pPr>
      <w:r>
        <w:rPr>
          <w:rFonts w:ascii="Arial" w:cs="Arial" w:eastAsia="Arial" w:hAnsi="Arial"/>
          <w:sz w:val="14"/>
          <w:szCs w:val="14"/>
          <w:color w:val="4C4C4C"/>
        </w:rPr>
        <w:t>Includes impact of the strategic goal modifier, which can adjust bonus payment by as much as -10% to +10%. For Fiscal 2026, as determined by the Talent Committee, there was a 10% upward adjustment for the strategic goal modifier. Bonus payments for NEOs are capped at 200% of Target, including strategic goal modifier. Any adjustment in the annual bonus attributable to the strategic goal modifier is not applicable to Mr. R. Lauren.</w:t>
      </w:r>
    </w:p>
    <w:p>
      <w:pPr>
        <w:spacing w:after="0" w:line="20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FISCAL 2026 LONG-TERM EQUITY-BASED INCENTIVES PROGRAM DESIGN</w:t>
      </w:r>
    </w:p>
    <w:p>
      <w:pPr>
        <w:spacing w:after="0" w:line="149"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Fiscal 2026 long-term equity-based incentive awards are summarized below.</w:t>
      </w:r>
    </w:p>
    <w:p>
      <w:pPr>
        <w:spacing w:after="0" w:line="181" w:lineRule="exact"/>
        <w:rPr>
          <w:sz w:val="20"/>
          <w:szCs w:val="20"/>
          <w:color w:val="auto"/>
        </w:rPr>
      </w:pPr>
    </w:p>
    <w:tbl>
      <w:tblPr>
        <w:tblLayout w:type="fixed"/>
        <w:tblInd w:w="6" w:type="dxa"/>
        <w:tblCellMar>
          <w:top w:w="0" w:type="dxa"/>
          <w:left w:w="0" w:type="dxa"/>
          <w:bottom w:w="0" w:type="dxa"/>
          <w:right w:w="0" w:type="dxa"/>
        </w:tblCellMar>
      </w:tblPr>
      <w:tr>
        <w:trPr>
          <w:trHeight w:val="261"/>
        </w:trPr>
        <w:tc>
          <w:tcPr>
            <w:tcW w:w="2800" w:type="dxa"/>
            <w:vAlign w:val="bottom"/>
            <w:shd w:val="clear" w:color="auto" w:fill="001641"/>
          </w:tcPr>
          <w:p>
            <w:pPr>
              <w:spacing w:after="0"/>
              <w:rPr>
                <w:sz w:val="22"/>
                <w:szCs w:val="22"/>
                <w:color w:val="auto"/>
              </w:rPr>
            </w:pPr>
          </w:p>
        </w:tc>
        <w:tc>
          <w:tcPr>
            <w:tcW w:w="1940" w:type="dxa"/>
            <w:vAlign w:val="bottom"/>
            <w:shd w:val="clear" w:color="auto" w:fill="BFA071"/>
          </w:tcPr>
          <w:p>
            <w:pPr>
              <w:spacing w:after="0"/>
              <w:rPr>
                <w:sz w:val="22"/>
                <w:szCs w:val="22"/>
                <w:color w:val="auto"/>
              </w:rPr>
            </w:pPr>
          </w:p>
        </w:tc>
        <w:tc>
          <w:tcPr>
            <w:tcW w:w="2700" w:type="dxa"/>
            <w:vAlign w:val="bottom"/>
            <w:shd w:val="clear" w:color="auto" w:fill="001641"/>
          </w:tcPr>
          <w:p>
            <w:pPr>
              <w:spacing w:after="0"/>
              <w:rPr>
                <w:sz w:val="22"/>
                <w:szCs w:val="22"/>
                <w:color w:val="auto"/>
              </w:rPr>
            </w:pPr>
          </w:p>
        </w:tc>
        <w:tc>
          <w:tcPr>
            <w:tcW w:w="780" w:type="dxa"/>
            <w:vAlign w:val="bottom"/>
            <w:shd w:val="clear" w:color="auto" w:fill="BFA071"/>
          </w:tcPr>
          <w:p>
            <w:pPr>
              <w:ind w:left="120"/>
              <w:spacing w:after="0"/>
              <w:rPr>
                <w:sz w:val="20"/>
                <w:szCs w:val="20"/>
                <w:color w:val="auto"/>
              </w:rPr>
            </w:pPr>
            <w:r>
              <w:rPr>
                <w:rFonts w:ascii="Arial" w:cs="Arial" w:eastAsia="Arial" w:hAnsi="Arial"/>
                <w:sz w:val="14"/>
                <w:szCs w:val="14"/>
                <w:b w:val="1"/>
                <w:bCs w:val="1"/>
                <w:color w:val="FFFFFF"/>
              </w:rPr>
              <w:t>Ralph</w:t>
            </w:r>
          </w:p>
        </w:tc>
        <w:tc>
          <w:tcPr>
            <w:tcW w:w="960" w:type="dxa"/>
            <w:vAlign w:val="bottom"/>
            <w:shd w:val="clear" w:color="auto" w:fill="BFA071"/>
          </w:tcPr>
          <w:p>
            <w:pPr>
              <w:ind w:left="200"/>
              <w:spacing w:after="0"/>
              <w:rPr>
                <w:sz w:val="20"/>
                <w:szCs w:val="20"/>
                <w:color w:val="auto"/>
              </w:rPr>
            </w:pPr>
            <w:r>
              <w:rPr>
                <w:rFonts w:ascii="Arial" w:cs="Arial" w:eastAsia="Arial" w:hAnsi="Arial"/>
                <w:sz w:val="14"/>
                <w:szCs w:val="14"/>
                <w:b w:val="1"/>
                <w:bCs w:val="1"/>
                <w:color w:val="FFFFFF"/>
              </w:rPr>
              <w:t>Other</w:t>
            </w:r>
          </w:p>
        </w:tc>
      </w:tr>
      <w:tr>
        <w:trPr>
          <w:trHeight w:val="162"/>
        </w:trPr>
        <w:tc>
          <w:tcPr>
            <w:tcW w:w="2800" w:type="dxa"/>
            <w:vAlign w:val="bottom"/>
            <w:shd w:val="clear" w:color="auto" w:fill="001641"/>
          </w:tcPr>
          <w:p>
            <w:pPr>
              <w:ind w:left="160"/>
              <w:spacing w:after="0"/>
              <w:rPr>
                <w:sz w:val="20"/>
                <w:szCs w:val="20"/>
                <w:color w:val="auto"/>
              </w:rPr>
            </w:pPr>
            <w:r>
              <w:rPr>
                <w:rFonts w:ascii="Arial" w:cs="Arial" w:eastAsia="Arial" w:hAnsi="Arial"/>
                <w:sz w:val="14"/>
                <w:szCs w:val="14"/>
                <w:b w:val="1"/>
                <w:bCs w:val="1"/>
                <w:color w:val="FFFFFF"/>
              </w:rPr>
              <w:t>Fiscal 2026 Awards Granted</w:t>
            </w:r>
          </w:p>
        </w:tc>
        <w:tc>
          <w:tcPr>
            <w:tcW w:w="1940" w:type="dxa"/>
            <w:vAlign w:val="bottom"/>
            <w:shd w:val="clear" w:color="auto" w:fill="BFA071"/>
          </w:tcPr>
          <w:p>
            <w:pPr>
              <w:ind w:left="120"/>
              <w:spacing w:after="0"/>
              <w:rPr>
                <w:sz w:val="20"/>
                <w:szCs w:val="20"/>
                <w:color w:val="auto"/>
              </w:rPr>
            </w:pPr>
            <w:r>
              <w:rPr>
                <w:rFonts w:ascii="Arial" w:cs="Arial" w:eastAsia="Arial" w:hAnsi="Arial"/>
                <w:sz w:val="14"/>
                <w:szCs w:val="14"/>
                <w:b w:val="1"/>
                <w:bCs w:val="1"/>
                <w:color w:val="FFFFFF"/>
              </w:rPr>
              <w:t>Performance Measure</w:t>
            </w:r>
          </w:p>
        </w:tc>
        <w:tc>
          <w:tcPr>
            <w:tcW w:w="2700" w:type="dxa"/>
            <w:vAlign w:val="bottom"/>
            <w:shd w:val="clear" w:color="auto" w:fill="001641"/>
          </w:tcPr>
          <w:p>
            <w:pPr>
              <w:ind w:left="120"/>
              <w:spacing w:after="0"/>
              <w:rPr>
                <w:sz w:val="20"/>
                <w:szCs w:val="20"/>
                <w:color w:val="auto"/>
              </w:rPr>
            </w:pPr>
            <w:r>
              <w:rPr>
                <w:rFonts w:ascii="Arial" w:cs="Arial" w:eastAsia="Arial" w:hAnsi="Arial"/>
                <w:sz w:val="14"/>
                <w:szCs w:val="14"/>
                <w:b w:val="1"/>
                <w:bCs w:val="1"/>
                <w:color w:val="FFFFFF"/>
              </w:rPr>
              <w:t>Performance Period</w:t>
            </w:r>
          </w:p>
        </w:tc>
        <w:tc>
          <w:tcPr>
            <w:tcW w:w="780" w:type="dxa"/>
            <w:vAlign w:val="bottom"/>
            <w:shd w:val="clear" w:color="auto" w:fill="BFA071"/>
          </w:tcPr>
          <w:p>
            <w:pPr>
              <w:ind w:left="120"/>
              <w:spacing w:after="0"/>
              <w:rPr>
                <w:sz w:val="20"/>
                <w:szCs w:val="20"/>
                <w:color w:val="auto"/>
              </w:rPr>
            </w:pPr>
            <w:r>
              <w:rPr>
                <w:rFonts w:ascii="Arial" w:cs="Arial" w:eastAsia="Arial" w:hAnsi="Arial"/>
                <w:sz w:val="14"/>
                <w:szCs w:val="14"/>
                <w:b w:val="1"/>
                <w:bCs w:val="1"/>
                <w:color w:val="FFFFFF"/>
              </w:rPr>
              <w:t>Lauren</w:t>
            </w:r>
          </w:p>
        </w:tc>
        <w:tc>
          <w:tcPr>
            <w:tcW w:w="960" w:type="dxa"/>
            <w:vAlign w:val="bottom"/>
            <w:shd w:val="clear" w:color="auto" w:fill="BFA071"/>
          </w:tcPr>
          <w:p>
            <w:pPr>
              <w:ind w:left="200"/>
              <w:spacing w:after="0"/>
              <w:rPr>
                <w:sz w:val="20"/>
                <w:szCs w:val="20"/>
                <w:color w:val="auto"/>
              </w:rPr>
            </w:pPr>
            <w:r>
              <w:rPr>
                <w:rFonts w:ascii="Arial" w:cs="Arial" w:eastAsia="Arial" w:hAnsi="Arial"/>
                <w:sz w:val="14"/>
                <w:szCs w:val="14"/>
                <w:b w:val="1"/>
                <w:bCs w:val="1"/>
                <w:color w:val="FFFFFF"/>
              </w:rPr>
              <w:t>NEO</w:t>
            </w:r>
          </w:p>
        </w:tc>
      </w:tr>
      <w:tr>
        <w:trPr>
          <w:trHeight w:val="232"/>
        </w:trPr>
        <w:tc>
          <w:tcPr>
            <w:tcW w:w="2800" w:type="dxa"/>
            <w:vAlign w:val="bottom"/>
            <w:tcBorders>
              <w:bottom w:val="single" w:sz="8" w:color="001641"/>
            </w:tcBorders>
            <w:shd w:val="clear" w:color="auto" w:fill="001641"/>
          </w:tcPr>
          <w:p>
            <w:pPr>
              <w:spacing w:after="0"/>
              <w:rPr>
                <w:sz w:val="20"/>
                <w:szCs w:val="20"/>
                <w:color w:val="auto"/>
              </w:rPr>
            </w:pPr>
          </w:p>
        </w:tc>
        <w:tc>
          <w:tcPr>
            <w:tcW w:w="1940" w:type="dxa"/>
            <w:vAlign w:val="bottom"/>
            <w:tcBorders>
              <w:bottom w:val="single" w:sz="8" w:color="BFA071"/>
            </w:tcBorders>
            <w:shd w:val="clear" w:color="auto" w:fill="BFA071"/>
          </w:tcPr>
          <w:p>
            <w:pPr>
              <w:spacing w:after="0"/>
              <w:rPr>
                <w:sz w:val="20"/>
                <w:szCs w:val="20"/>
                <w:color w:val="auto"/>
              </w:rPr>
            </w:pPr>
          </w:p>
        </w:tc>
        <w:tc>
          <w:tcPr>
            <w:tcW w:w="2700" w:type="dxa"/>
            <w:vAlign w:val="bottom"/>
            <w:tcBorders>
              <w:bottom w:val="single" w:sz="8" w:color="001641"/>
            </w:tcBorders>
            <w:shd w:val="clear" w:color="auto" w:fill="001641"/>
          </w:tcPr>
          <w:p>
            <w:pPr>
              <w:spacing w:after="0"/>
              <w:rPr>
                <w:sz w:val="20"/>
                <w:szCs w:val="20"/>
                <w:color w:val="auto"/>
              </w:rPr>
            </w:pPr>
          </w:p>
        </w:tc>
        <w:tc>
          <w:tcPr>
            <w:tcW w:w="780" w:type="dxa"/>
            <w:vAlign w:val="bottom"/>
            <w:tcBorders>
              <w:bottom w:val="single" w:sz="8" w:color="BFA071"/>
            </w:tcBorders>
            <w:shd w:val="clear" w:color="auto" w:fill="BFA071"/>
          </w:tcPr>
          <w:p>
            <w:pPr>
              <w:ind w:left="120"/>
              <w:spacing w:after="0"/>
              <w:rPr>
                <w:sz w:val="20"/>
                <w:szCs w:val="20"/>
                <w:color w:val="auto"/>
              </w:rPr>
            </w:pPr>
            <w:r>
              <w:rPr>
                <w:rFonts w:ascii="Arial" w:cs="Arial" w:eastAsia="Arial" w:hAnsi="Arial"/>
                <w:sz w:val="14"/>
                <w:szCs w:val="14"/>
                <w:b w:val="1"/>
                <w:bCs w:val="1"/>
                <w:color w:val="FFFFFF"/>
              </w:rPr>
              <w:t>Mix</w:t>
            </w:r>
          </w:p>
        </w:tc>
        <w:tc>
          <w:tcPr>
            <w:tcW w:w="960" w:type="dxa"/>
            <w:vAlign w:val="bottom"/>
            <w:tcBorders>
              <w:bottom w:val="single" w:sz="8" w:color="BFA071"/>
            </w:tcBorders>
            <w:shd w:val="clear" w:color="auto" w:fill="BFA071"/>
          </w:tcPr>
          <w:p>
            <w:pPr>
              <w:ind w:left="200"/>
              <w:spacing w:after="0"/>
              <w:rPr>
                <w:sz w:val="20"/>
                <w:szCs w:val="20"/>
                <w:color w:val="auto"/>
              </w:rPr>
            </w:pPr>
            <w:r>
              <w:rPr>
                <w:rFonts w:ascii="Arial" w:cs="Arial" w:eastAsia="Arial" w:hAnsi="Arial"/>
                <w:sz w:val="14"/>
                <w:szCs w:val="14"/>
                <w:b w:val="1"/>
                <w:bCs w:val="1"/>
                <w:color w:val="FFFFFF"/>
              </w:rPr>
              <w:t>Mix</w:t>
            </w:r>
          </w:p>
        </w:tc>
      </w:tr>
      <w:tr>
        <w:trPr>
          <w:trHeight w:val="297"/>
        </w:trPr>
        <w:tc>
          <w:tcPr>
            <w:tcW w:w="2800" w:type="dxa"/>
            <w:vAlign w:val="bottom"/>
          </w:tcPr>
          <w:p>
            <w:pPr>
              <w:ind w:left="160"/>
              <w:spacing w:after="0"/>
              <w:rPr>
                <w:sz w:val="20"/>
                <w:szCs w:val="20"/>
                <w:color w:val="auto"/>
              </w:rPr>
            </w:pPr>
            <w:r>
              <w:rPr>
                <w:rFonts w:ascii="Arial" w:cs="Arial" w:eastAsia="Arial" w:hAnsi="Arial"/>
                <w:sz w:val="14"/>
                <w:szCs w:val="14"/>
                <w:b w:val="1"/>
                <w:bCs w:val="1"/>
                <w:color w:val="001641"/>
              </w:rPr>
              <w:t>PSUs – Adjusted ROIC</w:t>
            </w:r>
          </w:p>
        </w:tc>
        <w:tc>
          <w:tcPr>
            <w:tcW w:w="1940" w:type="dxa"/>
            <w:vAlign w:val="bottom"/>
            <w:tcBorders>
              <w:bottom w:val="single" w:sz="8" w:color="EBE1D2"/>
            </w:tcBorders>
            <w:shd w:val="clear" w:color="auto" w:fill="EBE1D2"/>
          </w:tcPr>
          <w:p>
            <w:pPr>
              <w:ind w:left="120"/>
              <w:spacing w:after="0"/>
              <w:rPr>
                <w:sz w:val="20"/>
                <w:szCs w:val="20"/>
                <w:color w:val="auto"/>
              </w:rPr>
            </w:pPr>
            <w:r>
              <w:rPr>
                <w:rFonts w:ascii="Arial" w:cs="Arial" w:eastAsia="Arial" w:hAnsi="Arial"/>
                <w:sz w:val="14"/>
                <w:szCs w:val="14"/>
                <w:color w:val="001641"/>
              </w:rPr>
              <w:t>Adjusted ROIC</w:t>
            </w:r>
          </w:p>
        </w:tc>
        <w:tc>
          <w:tcPr>
            <w:tcW w:w="2700" w:type="dxa"/>
            <w:vAlign w:val="bottom"/>
          </w:tcPr>
          <w:p>
            <w:pPr>
              <w:ind w:left="120"/>
              <w:spacing w:after="0"/>
              <w:rPr>
                <w:sz w:val="20"/>
                <w:szCs w:val="20"/>
                <w:color w:val="auto"/>
              </w:rPr>
            </w:pPr>
            <w:r>
              <w:rPr>
                <w:rFonts w:ascii="Arial" w:cs="Arial" w:eastAsia="Arial" w:hAnsi="Arial"/>
                <w:sz w:val="14"/>
                <w:szCs w:val="14"/>
                <w:color w:val="001641"/>
              </w:rPr>
              <w:t>Fiscal 2026 – Fiscal 2028</w:t>
            </w:r>
          </w:p>
        </w:tc>
        <w:tc>
          <w:tcPr>
            <w:tcW w:w="780" w:type="dxa"/>
            <w:vAlign w:val="bottom"/>
            <w:tcBorders>
              <w:bottom w:val="single" w:sz="8" w:color="EBE1D2"/>
            </w:tcBorders>
            <w:shd w:val="clear" w:color="auto" w:fill="EBE1D2"/>
          </w:tcPr>
          <w:p>
            <w:pPr>
              <w:ind w:left="120"/>
              <w:spacing w:after="0"/>
              <w:rPr>
                <w:sz w:val="20"/>
                <w:szCs w:val="20"/>
                <w:color w:val="auto"/>
              </w:rPr>
            </w:pPr>
            <w:r>
              <w:rPr>
                <w:rFonts w:ascii="Arial" w:cs="Arial" w:eastAsia="Arial" w:hAnsi="Arial"/>
                <w:sz w:val="14"/>
                <w:szCs w:val="14"/>
                <w:color w:val="001641"/>
              </w:rPr>
              <w:t>50%</w:t>
            </w:r>
          </w:p>
        </w:tc>
        <w:tc>
          <w:tcPr>
            <w:tcW w:w="960" w:type="dxa"/>
            <w:vAlign w:val="bottom"/>
            <w:tcBorders>
              <w:bottom w:val="single" w:sz="8" w:color="EBE1D2"/>
            </w:tcBorders>
            <w:shd w:val="clear" w:color="auto" w:fill="EBE1D2"/>
          </w:tcPr>
          <w:p>
            <w:pPr>
              <w:ind w:left="200"/>
              <w:spacing w:after="0"/>
              <w:rPr>
                <w:sz w:val="20"/>
                <w:szCs w:val="20"/>
                <w:color w:val="auto"/>
              </w:rPr>
            </w:pPr>
            <w:r>
              <w:rPr>
                <w:rFonts w:ascii="Arial" w:cs="Arial" w:eastAsia="Arial" w:hAnsi="Arial"/>
                <w:sz w:val="14"/>
                <w:szCs w:val="14"/>
                <w:color w:val="001641"/>
              </w:rPr>
              <w:t>25%</w:t>
            </w:r>
          </w:p>
        </w:tc>
      </w:tr>
      <w:tr>
        <w:trPr>
          <w:trHeight w:val="291"/>
        </w:trPr>
        <w:tc>
          <w:tcPr>
            <w:tcW w:w="2800" w:type="dxa"/>
            <w:vAlign w:val="bottom"/>
            <w:tcBorders>
              <w:top w:val="single" w:sz="8" w:color="BFA071"/>
            </w:tcBorders>
          </w:tcPr>
          <w:p>
            <w:pPr>
              <w:ind w:left="160"/>
              <w:spacing w:after="0"/>
              <w:rPr>
                <w:sz w:val="20"/>
                <w:szCs w:val="20"/>
                <w:color w:val="auto"/>
              </w:rPr>
            </w:pPr>
            <w:r>
              <w:rPr>
                <w:rFonts w:ascii="Arial" w:cs="Arial" w:eastAsia="Arial" w:hAnsi="Arial"/>
                <w:sz w:val="14"/>
                <w:szCs w:val="14"/>
                <w:b w:val="1"/>
                <w:bCs w:val="1"/>
                <w:color w:val="001641"/>
              </w:rPr>
              <w:t>PSUs – Relative TSR</w:t>
            </w:r>
          </w:p>
        </w:tc>
        <w:tc>
          <w:tcPr>
            <w:tcW w:w="1940" w:type="dxa"/>
            <w:vAlign w:val="bottom"/>
            <w:tcBorders>
              <w:top w:val="single" w:sz="8" w:color="BFA071"/>
              <w:bottom w:val="single" w:sz="8" w:color="EBE1D2"/>
            </w:tcBorders>
            <w:shd w:val="clear" w:color="auto" w:fill="EBE1D2"/>
          </w:tcPr>
          <w:p>
            <w:pPr>
              <w:ind w:left="120"/>
              <w:spacing w:after="0"/>
              <w:rPr>
                <w:sz w:val="20"/>
                <w:szCs w:val="20"/>
                <w:color w:val="auto"/>
              </w:rPr>
            </w:pPr>
            <w:r>
              <w:rPr>
                <w:rFonts w:ascii="Arial" w:cs="Arial" w:eastAsia="Arial" w:hAnsi="Arial"/>
                <w:sz w:val="14"/>
                <w:szCs w:val="14"/>
                <w:color w:val="001641"/>
              </w:rPr>
              <w:t>Relative TSR</w:t>
            </w:r>
          </w:p>
        </w:tc>
        <w:tc>
          <w:tcPr>
            <w:tcW w:w="2700" w:type="dxa"/>
            <w:vAlign w:val="bottom"/>
            <w:tcBorders>
              <w:top w:val="single" w:sz="8" w:color="BFA071"/>
            </w:tcBorders>
          </w:tcPr>
          <w:p>
            <w:pPr>
              <w:ind w:left="120"/>
              <w:spacing w:after="0"/>
              <w:rPr>
                <w:sz w:val="20"/>
                <w:szCs w:val="20"/>
                <w:color w:val="auto"/>
              </w:rPr>
            </w:pPr>
            <w:r>
              <w:rPr>
                <w:rFonts w:ascii="Arial" w:cs="Arial" w:eastAsia="Arial" w:hAnsi="Arial"/>
                <w:sz w:val="14"/>
                <w:szCs w:val="14"/>
                <w:color w:val="001641"/>
              </w:rPr>
              <w:t>Fiscal 2026 – Fiscal 2028</w:t>
            </w:r>
          </w:p>
        </w:tc>
        <w:tc>
          <w:tcPr>
            <w:tcW w:w="780" w:type="dxa"/>
            <w:vAlign w:val="bottom"/>
            <w:tcBorders>
              <w:top w:val="single" w:sz="8" w:color="BFA071"/>
              <w:bottom w:val="single" w:sz="8" w:color="EBE1D2"/>
            </w:tcBorders>
            <w:shd w:val="clear" w:color="auto" w:fill="EBE1D2"/>
          </w:tcPr>
          <w:p>
            <w:pPr>
              <w:ind w:left="120"/>
              <w:spacing w:after="0"/>
              <w:rPr>
                <w:sz w:val="20"/>
                <w:szCs w:val="20"/>
                <w:color w:val="auto"/>
              </w:rPr>
            </w:pPr>
            <w:r>
              <w:rPr>
                <w:rFonts w:ascii="Arial" w:cs="Arial" w:eastAsia="Arial" w:hAnsi="Arial"/>
                <w:sz w:val="14"/>
                <w:szCs w:val="14"/>
                <w:color w:val="001641"/>
              </w:rPr>
              <w:t>50%</w:t>
            </w:r>
          </w:p>
        </w:tc>
        <w:tc>
          <w:tcPr>
            <w:tcW w:w="960" w:type="dxa"/>
            <w:vAlign w:val="bottom"/>
            <w:tcBorders>
              <w:top w:val="single" w:sz="8" w:color="BFA071"/>
              <w:bottom w:val="single" w:sz="8" w:color="EBE1D2"/>
            </w:tcBorders>
            <w:shd w:val="clear" w:color="auto" w:fill="EBE1D2"/>
          </w:tcPr>
          <w:p>
            <w:pPr>
              <w:ind w:left="200"/>
              <w:spacing w:after="0"/>
              <w:rPr>
                <w:sz w:val="20"/>
                <w:szCs w:val="20"/>
                <w:color w:val="auto"/>
              </w:rPr>
            </w:pPr>
            <w:r>
              <w:rPr>
                <w:rFonts w:ascii="Arial" w:cs="Arial" w:eastAsia="Arial" w:hAnsi="Arial"/>
                <w:sz w:val="14"/>
                <w:szCs w:val="14"/>
                <w:color w:val="001641"/>
              </w:rPr>
              <w:t>25%</w:t>
            </w:r>
          </w:p>
        </w:tc>
      </w:tr>
      <w:tr>
        <w:trPr>
          <w:trHeight w:val="257"/>
        </w:trPr>
        <w:tc>
          <w:tcPr>
            <w:tcW w:w="2800" w:type="dxa"/>
            <w:vAlign w:val="bottom"/>
            <w:tcBorders>
              <w:top w:val="single" w:sz="8" w:color="BFA071"/>
            </w:tcBorders>
          </w:tcPr>
          <w:p>
            <w:pPr>
              <w:ind w:left="160"/>
              <w:spacing w:after="0"/>
              <w:rPr>
                <w:sz w:val="20"/>
                <w:szCs w:val="20"/>
                <w:color w:val="auto"/>
              </w:rPr>
            </w:pPr>
            <w:r>
              <w:rPr>
                <w:rFonts w:ascii="Arial" w:cs="Arial" w:eastAsia="Arial" w:hAnsi="Arial"/>
                <w:sz w:val="14"/>
                <w:szCs w:val="14"/>
                <w:b w:val="1"/>
                <w:bCs w:val="1"/>
                <w:color w:val="001641"/>
              </w:rPr>
              <w:t>Restricted Stock Units (“RSUs”)</w:t>
            </w:r>
          </w:p>
        </w:tc>
        <w:tc>
          <w:tcPr>
            <w:tcW w:w="1940" w:type="dxa"/>
            <w:vAlign w:val="bottom"/>
            <w:tcBorders>
              <w:top w:val="single" w:sz="8" w:color="BFA071"/>
              <w:bottom w:val="single" w:sz="8" w:color="EBE1D2"/>
            </w:tcBorders>
            <w:shd w:val="clear" w:color="auto" w:fill="EBE1D2"/>
          </w:tcPr>
          <w:p>
            <w:pPr>
              <w:ind w:left="120"/>
              <w:spacing w:after="0"/>
              <w:rPr>
                <w:sz w:val="20"/>
                <w:szCs w:val="20"/>
                <w:color w:val="auto"/>
              </w:rPr>
            </w:pPr>
            <w:r>
              <w:rPr>
                <w:rFonts w:ascii="Arial" w:cs="Arial" w:eastAsia="Arial" w:hAnsi="Arial"/>
                <w:sz w:val="14"/>
                <w:szCs w:val="14"/>
                <w:color w:val="001641"/>
              </w:rPr>
              <w:t>N/A (Time-based)</w:t>
            </w:r>
          </w:p>
        </w:tc>
        <w:tc>
          <w:tcPr>
            <w:tcW w:w="2700" w:type="dxa"/>
            <w:vAlign w:val="bottom"/>
            <w:tcBorders>
              <w:top w:val="single" w:sz="8" w:color="BFA071"/>
            </w:tcBorders>
          </w:tcPr>
          <w:p>
            <w:pPr>
              <w:ind w:left="120"/>
              <w:spacing w:after="0"/>
              <w:rPr>
                <w:sz w:val="20"/>
                <w:szCs w:val="20"/>
                <w:color w:val="auto"/>
              </w:rPr>
            </w:pPr>
            <w:r>
              <w:rPr>
                <w:rFonts w:ascii="Arial" w:cs="Arial" w:eastAsia="Arial" w:hAnsi="Arial"/>
                <w:sz w:val="14"/>
                <w:szCs w:val="14"/>
                <w:color w:val="001641"/>
              </w:rPr>
              <w:t>N/A (Three-year pro-rata vesting)</w:t>
            </w:r>
          </w:p>
        </w:tc>
        <w:tc>
          <w:tcPr>
            <w:tcW w:w="780" w:type="dxa"/>
            <w:vAlign w:val="bottom"/>
            <w:tcBorders>
              <w:top w:val="single" w:sz="8" w:color="BFA071"/>
              <w:bottom w:val="single" w:sz="8" w:color="EBE1D2"/>
            </w:tcBorders>
            <w:shd w:val="clear" w:color="auto" w:fill="EBE1D2"/>
          </w:tcPr>
          <w:p>
            <w:pPr>
              <w:ind w:left="120"/>
              <w:spacing w:after="0"/>
              <w:rPr>
                <w:sz w:val="20"/>
                <w:szCs w:val="20"/>
                <w:color w:val="auto"/>
              </w:rPr>
            </w:pPr>
            <w:r>
              <w:rPr>
                <w:rFonts w:ascii="Arial" w:cs="Arial" w:eastAsia="Arial" w:hAnsi="Arial"/>
                <w:sz w:val="14"/>
                <w:szCs w:val="14"/>
                <w:color w:val="001641"/>
              </w:rPr>
              <w:t>0%</w:t>
            </w:r>
          </w:p>
        </w:tc>
        <w:tc>
          <w:tcPr>
            <w:tcW w:w="960" w:type="dxa"/>
            <w:vAlign w:val="bottom"/>
            <w:tcBorders>
              <w:top w:val="single" w:sz="8" w:color="BFA071"/>
              <w:bottom w:val="single" w:sz="8" w:color="EBE1D2"/>
            </w:tcBorders>
            <w:shd w:val="clear" w:color="auto" w:fill="EBE1D2"/>
          </w:tcPr>
          <w:p>
            <w:pPr>
              <w:ind w:left="200"/>
              <w:spacing w:after="0"/>
              <w:rPr>
                <w:sz w:val="20"/>
                <w:szCs w:val="20"/>
                <w:color w:val="auto"/>
              </w:rPr>
            </w:pPr>
            <w:r>
              <w:rPr>
                <w:rFonts w:ascii="Arial" w:cs="Arial" w:eastAsia="Arial" w:hAnsi="Arial"/>
                <w:sz w:val="14"/>
                <w:szCs w:val="14"/>
                <w:color w:val="001641"/>
              </w:rPr>
              <w:t>50%</w:t>
            </w:r>
          </w:p>
        </w:tc>
      </w:tr>
      <w:tr>
        <w:trPr>
          <w:trHeight w:val="20"/>
        </w:trPr>
        <w:tc>
          <w:tcPr>
            <w:tcW w:w="2800" w:type="dxa"/>
            <w:vAlign w:val="bottom"/>
            <w:shd w:val="clear" w:color="auto" w:fill="001641"/>
          </w:tcPr>
          <w:p>
            <w:pPr>
              <w:spacing w:after="0" w:line="20" w:lineRule="exact"/>
              <w:rPr>
                <w:sz w:val="1"/>
                <w:szCs w:val="1"/>
                <w:color w:val="auto"/>
              </w:rPr>
            </w:pPr>
          </w:p>
        </w:tc>
        <w:tc>
          <w:tcPr>
            <w:tcW w:w="1940" w:type="dxa"/>
            <w:vAlign w:val="bottom"/>
            <w:shd w:val="clear" w:color="auto" w:fill="001641"/>
          </w:tcPr>
          <w:p>
            <w:pPr>
              <w:spacing w:after="0" w:line="20" w:lineRule="exact"/>
              <w:rPr>
                <w:sz w:val="1"/>
                <w:szCs w:val="1"/>
                <w:color w:val="auto"/>
              </w:rPr>
            </w:pPr>
          </w:p>
        </w:tc>
        <w:tc>
          <w:tcPr>
            <w:tcW w:w="2700" w:type="dxa"/>
            <w:vAlign w:val="bottom"/>
            <w:shd w:val="clear" w:color="auto" w:fill="001641"/>
          </w:tcPr>
          <w:p>
            <w:pPr>
              <w:spacing w:after="0" w:line="20" w:lineRule="exact"/>
              <w:rPr>
                <w:sz w:val="1"/>
                <w:szCs w:val="1"/>
                <w:color w:val="auto"/>
              </w:rPr>
            </w:pPr>
          </w:p>
        </w:tc>
        <w:tc>
          <w:tcPr>
            <w:tcW w:w="780" w:type="dxa"/>
            <w:vAlign w:val="bottom"/>
            <w:shd w:val="clear" w:color="auto" w:fill="001641"/>
          </w:tcPr>
          <w:p>
            <w:pPr>
              <w:spacing w:after="0" w:line="20" w:lineRule="exact"/>
              <w:rPr>
                <w:sz w:val="1"/>
                <w:szCs w:val="1"/>
                <w:color w:val="auto"/>
              </w:rPr>
            </w:pPr>
          </w:p>
        </w:tc>
        <w:tc>
          <w:tcPr>
            <w:tcW w:w="960" w:type="dxa"/>
            <w:vAlign w:val="bottom"/>
            <w:shd w:val="clear" w:color="auto" w:fill="001641"/>
          </w:tcPr>
          <w:p>
            <w:pPr>
              <w:spacing w:after="0" w:line="20" w:lineRule="exact"/>
              <w:rPr>
                <w:sz w:val="1"/>
                <w:szCs w:val="1"/>
                <w:color w:val="auto"/>
              </w:rPr>
            </w:pPr>
          </w:p>
        </w:tc>
      </w:tr>
    </w:tbl>
    <w:p>
      <w:pPr>
        <w:spacing w:after="0" w:line="21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FISCAL 2026 PAYOUTS OF FISCAL 2024 LONG-TERM EQUITY-BASED INCENTIVES PROGRAM</w:t>
      </w:r>
    </w:p>
    <w:p>
      <w:pPr>
        <w:spacing w:after="0" w:line="149"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Fiscal 2024 performance-based awards that vested in June 2026 are summarized below:</w:t>
      </w:r>
    </w:p>
    <w:p>
      <w:pPr>
        <w:spacing w:after="0" w:line="181" w:lineRule="exact"/>
        <w:rPr>
          <w:sz w:val="20"/>
          <w:szCs w:val="20"/>
          <w:color w:val="auto"/>
        </w:rPr>
      </w:pPr>
    </w:p>
    <w:tbl>
      <w:tblPr>
        <w:tblLayout w:type="fixed"/>
        <w:tblInd w:w="6" w:type="dxa"/>
        <w:tblCellMar>
          <w:top w:w="0" w:type="dxa"/>
          <w:left w:w="0" w:type="dxa"/>
          <w:bottom w:w="0" w:type="dxa"/>
          <w:right w:w="0" w:type="dxa"/>
        </w:tblCellMar>
      </w:tblPr>
      <w:tr>
        <w:trPr>
          <w:trHeight w:val="261"/>
        </w:trPr>
        <w:tc>
          <w:tcPr>
            <w:tcW w:w="100" w:type="dxa"/>
            <w:vAlign w:val="bottom"/>
            <w:shd w:val="clear" w:color="auto" w:fill="001641"/>
          </w:tcPr>
          <w:p>
            <w:pPr>
              <w:spacing w:after="0"/>
              <w:rPr>
                <w:sz w:val="22"/>
                <w:szCs w:val="22"/>
                <w:color w:val="auto"/>
              </w:rPr>
            </w:pPr>
          </w:p>
        </w:tc>
        <w:tc>
          <w:tcPr>
            <w:tcW w:w="3880" w:type="dxa"/>
            <w:vAlign w:val="bottom"/>
            <w:vMerge w:val="restart"/>
            <w:shd w:val="clear" w:color="auto" w:fill="001641"/>
          </w:tcPr>
          <w:p>
            <w:pPr>
              <w:ind w:left="60"/>
              <w:spacing w:after="0"/>
              <w:rPr>
                <w:sz w:val="20"/>
                <w:szCs w:val="20"/>
                <w:color w:val="auto"/>
              </w:rPr>
            </w:pPr>
            <w:r>
              <w:rPr>
                <w:rFonts w:ascii="Arial" w:cs="Arial" w:eastAsia="Arial" w:hAnsi="Arial"/>
                <w:sz w:val="14"/>
                <w:szCs w:val="14"/>
                <w:b w:val="1"/>
                <w:bCs w:val="1"/>
                <w:color w:val="FFFFFF"/>
              </w:rPr>
              <w:t>Fiscal 2024 Awards</w:t>
            </w:r>
          </w:p>
        </w:tc>
        <w:tc>
          <w:tcPr>
            <w:tcW w:w="120" w:type="dxa"/>
            <w:vAlign w:val="bottom"/>
            <w:shd w:val="clear" w:color="auto" w:fill="BFA071"/>
          </w:tcPr>
          <w:p>
            <w:pPr>
              <w:spacing w:after="0"/>
              <w:rPr>
                <w:sz w:val="22"/>
                <w:szCs w:val="22"/>
                <w:color w:val="auto"/>
              </w:rPr>
            </w:pPr>
          </w:p>
        </w:tc>
        <w:tc>
          <w:tcPr>
            <w:tcW w:w="2260" w:type="dxa"/>
            <w:vAlign w:val="bottom"/>
            <w:vMerge w:val="restart"/>
            <w:shd w:val="clear" w:color="auto" w:fill="BFA071"/>
          </w:tcPr>
          <w:p>
            <w:pPr>
              <w:spacing w:after="0"/>
              <w:rPr>
                <w:sz w:val="20"/>
                <w:szCs w:val="20"/>
                <w:color w:val="auto"/>
              </w:rPr>
            </w:pPr>
            <w:r>
              <w:rPr>
                <w:rFonts w:ascii="Arial" w:cs="Arial" w:eastAsia="Arial" w:hAnsi="Arial"/>
                <w:sz w:val="14"/>
                <w:szCs w:val="14"/>
                <w:b w:val="1"/>
                <w:bCs w:val="1"/>
                <w:color w:val="FFFFFF"/>
              </w:rPr>
              <w:t>Performance Period</w:t>
            </w:r>
          </w:p>
        </w:tc>
        <w:tc>
          <w:tcPr>
            <w:tcW w:w="120" w:type="dxa"/>
            <w:vAlign w:val="bottom"/>
            <w:shd w:val="clear" w:color="auto" w:fill="001641"/>
          </w:tcPr>
          <w:p>
            <w:pPr>
              <w:spacing w:after="0"/>
              <w:rPr>
                <w:sz w:val="22"/>
                <w:szCs w:val="22"/>
                <w:color w:val="auto"/>
              </w:rPr>
            </w:pPr>
          </w:p>
        </w:tc>
        <w:tc>
          <w:tcPr>
            <w:tcW w:w="2700" w:type="dxa"/>
            <w:vAlign w:val="bottom"/>
            <w:shd w:val="clear" w:color="auto" w:fill="001641"/>
          </w:tcPr>
          <w:p>
            <w:pPr>
              <w:spacing w:after="0"/>
              <w:rPr>
                <w:sz w:val="20"/>
                <w:szCs w:val="20"/>
                <w:color w:val="auto"/>
              </w:rPr>
            </w:pPr>
            <w:r>
              <w:rPr>
                <w:rFonts w:ascii="Arial" w:cs="Arial" w:eastAsia="Arial" w:hAnsi="Arial"/>
                <w:sz w:val="14"/>
                <w:szCs w:val="14"/>
                <w:b w:val="1"/>
                <w:bCs w:val="1"/>
                <w:color w:val="FFFFFF"/>
              </w:rPr>
              <w:t>Total Amount Paid as a Percent of</w:t>
            </w:r>
          </w:p>
        </w:tc>
        <w:tc>
          <w:tcPr>
            <w:tcW w:w="0" w:type="dxa"/>
            <w:vAlign w:val="bottom"/>
          </w:tcPr>
          <w:p>
            <w:pPr>
              <w:spacing w:after="0"/>
              <w:rPr>
                <w:sz w:val="1"/>
                <w:szCs w:val="1"/>
                <w:color w:val="auto"/>
              </w:rPr>
            </w:pPr>
          </w:p>
        </w:tc>
      </w:tr>
      <w:tr>
        <w:trPr>
          <w:trHeight w:val="115"/>
        </w:trPr>
        <w:tc>
          <w:tcPr>
            <w:tcW w:w="100" w:type="dxa"/>
            <w:vAlign w:val="bottom"/>
            <w:shd w:val="clear" w:color="auto" w:fill="001641"/>
          </w:tcPr>
          <w:p>
            <w:pPr>
              <w:spacing w:after="0"/>
              <w:rPr>
                <w:sz w:val="10"/>
                <w:szCs w:val="10"/>
                <w:color w:val="auto"/>
              </w:rPr>
            </w:pPr>
          </w:p>
        </w:tc>
        <w:tc>
          <w:tcPr>
            <w:tcW w:w="3880" w:type="dxa"/>
            <w:vAlign w:val="bottom"/>
            <w:vMerge w:val="continue"/>
            <w:shd w:val="clear" w:color="auto" w:fill="001641"/>
          </w:tcPr>
          <w:p>
            <w:pPr>
              <w:spacing w:after="0"/>
              <w:rPr>
                <w:sz w:val="10"/>
                <w:szCs w:val="10"/>
                <w:color w:val="auto"/>
              </w:rPr>
            </w:pPr>
          </w:p>
        </w:tc>
        <w:tc>
          <w:tcPr>
            <w:tcW w:w="120" w:type="dxa"/>
            <w:vAlign w:val="bottom"/>
            <w:shd w:val="clear" w:color="auto" w:fill="BFA071"/>
          </w:tcPr>
          <w:p>
            <w:pPr>
              <w:spacing w:after="0"/>
              <w:rPr>
                <w:sz w:val="10"/>
                <w:szCs w:val="10"/>
                <w:color w:val="auto"/>
              </w:rPr>
            </w:pPr>
          </w:p>
        </w:tc>
        <w:tc>
          <w:tcPr>
            <w:tcW w:w="2260" w:type="dxa"/>
            <w:vAlign w:val="bottom"/>
            <w:vMerge w:val="continue"/>
            <w:shd w:val="clear" w:color="auto" w:fill="BFA071"/>
          </w:tcPr>
          <w:p>
            <w:pPr>
              <w:spacing w:after="0"/>
              <w:rPr>
                <w:sz w:val="10"/>
                <w:szCs w:val="10"/>
                <w:color w:val="auto"/>
              </w:rPr>
            </w:pPr>
          </w:p>
        </w:tc>
        <w:tc>
          <w:tcPr>
            <w:tcW w:w="120" w:type="dxa"/>
            <w:vAlign w:val="bottom"/>
            <w:shd w:val="clear" w:color="auto" w:fill="001641"/>
          </w:tcPr>
          <w:p>
            <w:pPr>
              <w:spacing w:after="0"/>
              <w:rPr>
                <w:sz w:val="10"/>
                <w:szCs w:val="10"/>
                <w:color w:val="auto"/>
              </w:rPr>
            </w:pPr>
          </w:p>
        </w:tc>
        <w:tc>
          <w:tcPr>
            <w:tcW w:w="2700" w:type="dxa"/>
            <w:vAlign w:val="bottom"/>
            <w:vMerge w:val="restart"/>
            <w:shd w:val="clear" w:color="auto" w:fill="001641"/>
          </w:tcPr>
          <w:p>
            <w:pPr>
              <w:spacing w:after="0"/>
              <w:rPr>
                <w:sz w:val="20"/>
                <w:szCs w:val="20"/>
                <w:color w:val="auto"/>
              </w:rPr>
            </w:pPr>
            <w:r>
              <w:rPr>
                <w:rFonts w:ascii="Arial" w:cs="Arial" w:eastAsia="Arial" w:hAnsi="Arial"/>
                <w:sz w:val="14"/>
                <w:szCs w:val="14"/>
                <w:b w:val="1"/>
                <w:bCs w:val="1"/>
                <w:color w:val="FFFFFF"/>
              </w:rPr>
              <w:t>Target</w:t>
            </w:r>
          </w:p>
        </w:tc>
        <w:tc>
          <w:tcPr>
            <w:tcW w:w="0" w:type="dxa"/>
            <w:vAlign w:val="bottom"/>
          </w:tcPr>
          <w:p>
            <w:pPr>
              <w:spacing w:after="0"/>
              <w:rPr>
                <w:sz w:val="1"/>
                <w:szCs w:val="1"/>
                <w:color w:val="auto"/>
              </w:rPr>
            </w:pPr>
          </w:p>
        </w:tc>
      </w:tr>
      <w:tr>
        <w:trPr>
          <w:trHeight w:val="117"/>
        </w:trPr>
        <w:tc>
          <w:tcPr>
            <w:tcW w:w="100" w:type="dxa"/>
            <w:vAlign w:val="bottom"/>
            <w:tcBorders>
              <w:bottom w:val="single" w:sz="8" w:color="001641"/>
            </w:tcBorders>
            <w:shd w:val="clear" w:color="auto" w:fill="001641"/>
          </w:tcPr>
          <w:p>
            <w:pPr>
              <w:spacing w:after="0"/>
              <w:rPr>
                <w:sz w:val="10"/>
                <w:szCs w:val="10"/>
                <w:color w:val="auto"/>
              </w:rPr>
            </w:pPr>
          </w:p>
        </w:tc>
        <w:tc>
          <w:tcPr>
            <w:tcW w:w="3880" w:type="dxa"/>
            <w:vAlign w:val="bottom"/>
            <w:tcBorders>
              <w:bottom w:val="single" w:sz="8" w:color="001641"/>
            </w:tcBorders>
            <w:shd w:val="clear" w:color="auto" w:fill="001641"/>
          </w:tcPr>
          <w:p>
            <w:pPr>
              <w:spacing w:after="0"/>
              <w:rPr>
                <w:sz w:val="10"/>
                <w:szCs w:val="10"/>
                <w:color w:val="auto"/>
              </w:rPr>
            </w:pPr>
          </w:p>
        </w:tc>
        <w:tc>
          <w:tcPr>
            <w:tcW w:w="120" w:type="dxa"/>
            <w:vAlign w:val="bottom"/>
            <w:tcBorders>
              <w:bottom w:val="single" w:sz="8" w:color="BFA071"/>
            </w:tcBorders>
            <w:shd w:val="clear" w:color="auto" w:fill="BFA071"/>
          </w:tcPr>
          <w:p>
            <w:pPr>
              <w:spacing w:after="0"/>
              <w:rPr>
                <w:sz w:val="10"/>
                <w:szCs w:val="10"/>
                <w:color w:val="auto"/>
              </w:rPr>
            </w:pPr>
          </w:p>
        </w:tc>
        <w:tc>
          <w:tcPr>
            <w:tcW w:w="2260" w:type="dxa"/>
            <w:vAlign w:val="bottom"/>
            <w:tcBorders>
              <w:bottom w:val="single" w:sz="8" w:color="BFA071"/>
            </w:tcBorders>
            <w:shd w:val="clear" w:color="auto" w:fill="BFA071"/>
          </w:tcPr>
          <w:p>
            <w:pPr>
              <w:spacing w:after="0"/>
              <w:rPr>
                <w:sz w:val="10"/>
                <w:szCs w:val="10"/>
                <w:color w:val="auto"/>
              </w:rPr>
            </w:pPr>
          </w:p>
        </w:tc>
        <w:tc>
          <w:tcPr>
            <w:tcW w:w="120" w:type="dxa"/>
            <w:vAlign w:val="bottom"/>
            <w:tcBorders>
              <w:bottom w:val="single" w:sz="8" w:color="001641"/>
            </w:tcBorders>
            <w:shd w:val="clear" w:color="auto" w:fill="001641"/>
          </w:tcPr>
          <w:p>
            <w:pPr>
              <w:spacing w:after="0"/>
              <w:rPr>
                <w:sz w:val="10"/>
                <w:szCs w:val="10"/>
                <w:color w:val="auto"/>
              </w:rPr>
            </w:pPr>
          </w:p>
        </w:tc>
        <w:tc>
          <w:tcPr>
            <w:tcW w:w="2700" w:type="dxa"/>
            <w:vAlign w:val="bottom"/>
            <w:tcBorders>
              <w:bottom w:val="single" w:sz="8" w:color="001641"/>
            </w:tcBorders>
            <w:vMerge w:val="continue"/>
            <w:shd w:val="clear" w:color="auto" w:fill="001641"/>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3880" w:type="dxa"/>
            <w:vAlign w:val="bottom"/>
          </w:tcPr>
          <w:p>
            <w:pPr>
              <w:ind w:left="60"/>
              <w:spacing w:after="0"/>
              <w:rPr>
                <w:sz w:val="20"/>
                <w:szCs w:val="20"/>
                <w:color w:val="auto"/>
              </w:rPr>
            </w:pPr>
            <w:r>
              <w:rPr>
                <w:rFonts w:ascii="Arial" w:cs="Arial" w:eastAsia="Arial" w:hAnsi="Arial"/>
                <w:sz w:val="14"/>
                <w:szCs w:val="14"/>
                <w:b w:val="1"/>
                <w:bCs w:val="1"/>
                <w:color w:val="001641"/>
              </w:rPr>
              <w:t>PSUs – Adjusted ROIC</w:t>
            </w:r>
          </w:p>
        </w:tc>
        <w:tc>
          <w:tcPr>
            <w:tcW w:w="120" w:type="dxa"/>
            <w:vAlign w:val="bottom"/>
            <w:tcBorders>
              <w:bottom w:val="single" w:sz="8" w:color="EBE1D2"/>
            </w:tcBorders>
            <w:shd w:val="clear" w:color="auto" w:fill="EBE1D2"/>
          </w:tcPr>
          <w:p>
            <w:pPr>
              <w:spacing w:after="0"/>
              <w:rPr>
                <w:sz w:val="24"/>
                <w:szCs w:val="24"/>
                <w:color w:val="auto"/>
              </w:rPr>
            </w:pPr>
          </w:p>
        </w:tc>
        <w:tc>
          <w:tcPr>
            <w:tcW w:w="2260" w:type="dxa"/>
            <w:vAlign w:val="bottom"/>
            <w:tcBorders>
              <w:bottom w:val="single" w:sz="8" w:color="EBE1D2"/>
            </w:tcBorders>
            <w:shd w:val="clear" w:color="auto" w:fill="EBE1D2"/>
          </w:tcPr>
          <w:p>
            <w:pPr>
              <w:spacing w:after="0"/>
              <w:rPr>
                <w:sz w:val="20"/>
                <w:szCs w:val="20"/>
                <w:color w:val="auto"/>
              </w:rPr>
            </w:pPr>
            <w:r>
              <w:rPr>
                <w:rFonts w:ascii="Arial" w:cs="Arial" w:eastAsia="Arial" w:hAnsi="Arial"/>
                <w:sz w:val="14"/>
                <w:szCs w:val="14"/>
                <w:color w:val="001641"/>
              </w:rPr>
              <w:t>Fiscal 2024 – Fiscal 2026</w:t>
            </w:r>
          </w:p>
        </w:tc>
        <w:tc>
          <w:tcPr>
            <w:tcW w:w="2820" w:type="dxa"/>
            <w:vAlign w:val="bottom"/>
            <w:gridSpan w:val="2"/>
          </w:tcPr>
          <w:p>
            <w:pPr>
              <w:ind w:left="120"/>
              <w:spacing w:after="0"/>
              <w:rPr>
                <w:sz w:val="20"/>
                <w:szCs w:val="20"/>
                <w:color w:val="auto"/>
              </w:rPr>
            </w:pPr>
            <w:r>
              <w:rPr>
                <w:rFonts w:ascii="Arial" w:cs="Arial" w:eastAsia="Arial" w:hAnsi="Arial"/>
                <w:sz w:val="14"/>
                <w:szCs w:val="14"/>
                <w:color w:val="001641"/>
              </w:rPr>
              <w:t>200%</w:t>
            </w:r>
          </w:p>
        </w:tc>
        <w:tc>
          <w:tcPr>
            <w:tcW w:w="0" w:type="dxa"/>
            <w:vAlign w:val="bottom"/>
          </w:tcPr>
          <w:p>
            <w:pPr>
              <w:spacing w:after="0"/>
              <w:rPr>
                <w:sz w:val="1"/>
                <w:szCs w:val="1"/>
                <w:color w:val="auto"/>
              </w:rPr>
            </w:pPr>
          </w:p>
        </w:tc>
      </w:tr>
      <w:tr>
        <w:trPr>
          <w:trHeight w:val="257"/>
        </w:trPr>
        <w:tc>
          <w:tcPr>
            <w:tcW w:w="100" w:type="dxa"/>
            <w:vAlign w:val="bottom"/>
            <w:tcBorders>
              <w:top w:val="single" w:sz="8" w:color="BFA071"/>
            </w:tcBorders>
          </w:tcPr>
          <w:p>
            <w:pPr>
              <w:spacing w:after="0"/>
              <w:rPr>
                <w:sz w:val="22"/>
                <w:szCs w:val="22"/>
                <w:color w:val="auto"/>
              </w:rPr>
            </w:pPr>
          </w:p>
        </w:tc>
        <w:tc>
          <w:tcPr>
            <w:tcW w:w="3880" w:type="dxa"/>
            <w:vAlign w:val="bottom"/>
            <w:tcBorders>
              <w:top w:val="single" w:sz="8" w:color="BFA071"/>
            </w:tcBorders>
          </w:tcPr>
          <w:p>
            <w:pPr>
              <w:ind w:left="60"/>
              <w:spacing w:after="0"/>
              <w:rPr>
                <w:sz w:val="20"/>
                <w:szCs w:val="20"/>
                <w:color w:val="auto"/>
              </w:rPr>
            </w:pPr>
            <w:r>
              <w:rPr>
                <w:rFonts w:ascii="Arial" w:cs="Arial" w:eastAsia="Arial" w:hAnsi="Arial"/>
                <w:sz w:val="14"/>
                <w:szCs w:val="14"/>
                <w:b w:val="1"/>
                <w:bCs w:val="1"/>
                <w:color w:val="001641"/>
              </w:rPr>
              <w:t>PSUs – Relative TSR</w:t>
            </w:r>
          </w:p>
        </w:tc>
        <w:tc>
          <w:tcPr>
            <w:tcW w:w="120" w:type="dxa"/>
            <w:vAlign w:val="bottom"/>
            <w:tcBorders>
              <w:top w:val="single" w:sz="8" w:color="BFA071"/>
              <w:bottom w:val="single" w:sz="8" w:color="EBE1D2"/>
            </w:tcBorders>
            <w:shd w:val="clear" w:color="auto" w:fill="EBE1D2"/>
          </w:tcPr>
          <w:p>
            <w:pPr>
              <w:spacing w:after="0"/>
              <w:rPr>
                <w:sz w:val="22"/>
                <w:szCs w:val="22"/>
                <w:color w:val="auto"/>
              </w:rPr>
            </w:pPr>
          </w:p>
        </w:tc>
        <w:tc>
          <w:tcPr>
            <w:tcW w:w="2260" w:type="dxa"/>
            <w:vAlign w:val="bottom"/>
            <w:tcBorders>
              <w:top w:val="single" w:sz="8" w:color="BFA071"/>
              <w:bottom w:val="single" w:sz="8" w:color="EBE1D2"/>
            </w:tcBorders>
            <w:shd w:val="clear" w:color="auto" w:fill="EBE1D2"/>
          </w:tcPr>
          <w:p>
            <w:pPr>
              <w:spacing w:after="0"/>
              <w:rPr>
                <w:sz w:val="20"/>
                <w:szCs w:val="20"/>
                <w:color w:val="auto"/>
              </w:rPr>
            </w:pPr>
            <w:r>
              <w:rPr>
                <w:rFonts w:ascii="Arial" w:cs="Arial" w:eastAsia="Arial" w:hAnsi="Arial"/>
                <w:sz w:val="14"/>
                <w:szCs w:val="14"/>
                <w:color w:val="001641"/>
              </w:rPr>
              <w:t>Fiscal 2024 – Fiscal 2026</w:t>
            </w:r>
          </w:p>
        </w:tc>
        <w:tc>
          <w:tcPr>
            <w:tcW w:w="2820" w:type="dxa"/>
            <w:vAlign w:val="bottom"/>
            <w:tcBorders>
              <w:top w:val="single" w:sz="8" w:color="BFA071"/>
            </w:tcBorders>
            <w:gridSpan w:val="2"/>
          </w:tcPr>
          <w:p>
            <w:pPr>
              <w:ind w:left="120"/>
              <w:spacing w:after="0"/>
              <w:rPr>
                <w:sz w:val="20"/>
                <w:szCs w:val="20"/>
                <w:color w:val="auto"/>
              </w:rPr>
            </w:pPr>
            <w:r>
              <w:rPr>
                <w:rFonts w:ascii="Arial" w:cs="Arial" w:eastAsia="Arial" w:hAnsi="Arial"/>
                <w:sz w:val="14"/>
                <w:szCs w:val="14"/>
                <w:color w:val="001641"/>
              </w:rPr>
              <w:t>178.13%</w:t>
            </w:r>
          </w:p>
        </w:tc>
        <w:tc>
          <w:tcPr>
            <w:tcW w:w="0" w:type="dxa"/>
            <w:vAlign w:val="bottom"/>
          </w:tcPr>
          <w:p>
            <w:pPr>
              <w:spacing w:after="0"/>
              <w:rPr>
                <w:sz w:val="1"/>
                <w:szCs w:val="1"/>
                <w:color w:val="auto"/>
              </w:rPr>
            </w:pPr>
          </w:p>
        </w:tc>
      </w:tr>
      <w:tr>
        <w:trPr>
          <w:trHeight w:val="20"/>
        </w:trPr>
        <w:tc>
          <w:tcPr>
            <w:tcW w:w="100" w:type="dxa"/>
            <w:vAlign w:val="bottom"/>
            <w:shd w:val="clear" w:color="auto" w:fill="001641"/>
          </w:tcPr>
          <w:p>
            <w:pPr>
              <w:spacing w:after="0" w:line="20" w:lineRule="exact"/>
              <w:rPr>
                <w:sz w:val="1"/>
                <w:szCs w:val="1"/>
                <w:color w:val="auto"/>
              </w:rPr>
            </w:pPr>
          </w:p>
        </w:tc>
        <w:tc>
          <w:tcPr>
            <w:tcW w:w="3880" w:type="dxa"/>
            <w:vAlign w:val="bottom"/>
            <w:shd w:val="clear" w:color="auto" w:fill="001641"/>
          </w:tcPr>
          <w:p>
            <w:pPr>
              <w:spacing w:after="0" w:line="20" w:lineRule="exact"/>
              <w:rPr>
                <w:sz w:val="1"/>
                <w:szCs w:val="1"/>
                <w:color w:val="auto"/>
              </w:rPr>
            </w:pPr>
          </w:p>
        </w:tc>
        <w:tc>
          <w:tcPr>
            <w:tcW w:w="120" w:type="dxa"/>
            <w:vAlign w:val="bottom"/>
            <w:shd w:val="clear" w:color="auto" w:fill="001641"/>
          </w:tcPr>
          <w:p>
            <w:pPr>
              <w:spacing w:after="0" w:line="20" w:lineRule="exact"/>
              <w:rPr>
                <w:sz w:val="1"/>
                <w:szCs w:val="1"/>
                <w:color w:val="auto"/>
              </w:rPr>
            </w:pPr>
          </w:p>
        </w:tc>
        <w:tc>
          <w:tcPr>
            <w:tcW w:w="2260" w:type="dxa"/>
            <w:vAlign w:val="bottom"/>
            <w:shd w:val="clear" w:color="auto" w:fill="001641"/>
          </w:tcPr>
          <w:p>
            <w:pPr>
              <w:spacing w:after="0" w:line="20" w:lineRule="exact"/>
              <w:rPr>
                <w:sz w:val="1"/>
                <w:szCs w:val="1"/>
                <w:color w:val="auto"/>
              </w:rPr>
            </w:pPr>
          </w:p>
        </w:tc>
        <w:tc>
          <w:tcPr>
            <w:tcW w:w="120" w:type="dxa"/>
            <w:vAlign w:val="bottom"/>
            <w:shd w:val="clear" w:color="auto" w:fill="001641"/>
          </w:tcPr>
          <w:p>
            <w:pPr>
              <w:spacing w:after="0" w:line="20" w:lineRule="exact"/>
              <w:rPr>
                <w:sz w:val="1"/>
                <w:szCs w:val="1"/>
                <w:color w:val="auto"/>
              </w:rPr>
            </w:pPr>
          </w:p>
        </w:tc>
        <w:tc>
          <w:tcPr>
            <w:tcW w:w="2700" w:type="dxa"/>
            <w:vAlign w:val="bottom"/>
            <w:shd w:val="clear" w:color="auto" w:fill="00164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 w:right="300"/>
        <w:spacing w:after="0" w:line="339" w:lineRule="auto"/>
        <w:rPr>
          <w:sz w:val="20"/>
          <w:szCs w:val="20"/>
          <w:color w:val="auto"/>
        </w:rPr>
      </w:pPr>
      <w:r>
        <w:rPr>
          <w:rFonts w:ascii="Arial" w:cs="Arial" w:eastAsia="Arial" w:hAnsi="Arial"/>
          <w:sz w:val="16"/>
          <w:szCs w:val="16"/>
          <w:color w:val="auto"/>
        </w:rPr>
        <w:t>The actual payout detail earned for Fiscal 2024 PSUs-Adjusted ROIC and Fiscal 2024 PSUs-TSR is further described below under “Previously Awarded Long-Term Equity-Based Incentives that Vested in June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582930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227330</wp:posOffset>
            </wp:positionV>
            <wp:extent cx="128905" cy="11112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4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126365</wp:posOffset>
            </wp:positionV>
            <wp:extent cx="6995160"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OVERVIEW OF EXECUTIVE COMPENSATION GOVERNANCE PRACTICES</w:t>
      </w:r>
    </w:p>
    <w:p>
      <w:pPr>
        <w:spacing w:after="0" w:line="162"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We seek to maintain high standards with respect to the governance of our executive compensation programs. Key features of our compensation policies and practices that aim to drive performance and align with stockholder interests are highlighted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833110" cy="428180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833110" cy="428180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Our</w:t>
      </w:r>
    </w:p>
    <w:p>
      <w:pPr>
        <w:spacing w:after="0" w:line="27" w:lineRule="exact"/>
        <w:rPr>
          <w:sz w:val="20"/>
          <w:szCs w:val="20"/>
          <w:color w:val="auto"/>
        </w:rPr>
      </w:pPr>
    </w:p>
    <w:p>
      <w:pPr>
        <w:jc w:val="center"/>
        <w:ind w:left="240"/>
        <w:spacing w:after="0"/>
        <w:rPr>
          <w:sz w:val="20"/>
          <w:szCs w:val="20"/>
          <w:color w:val="auto"/>
        </w:rPr>
      </w:pPr>
      <w:r>
        <w:rPr>
          <w:rFonts w:ascii="Arial" w:cs="Arial" w:eastAsia="Arial" w:hAnsi="Arial"/>
          <w:sz w:val="17"/>
          <w:szCs w:val="17"/>
          <w:b w:val="1"/>
          <w:bCs w:val="1"/>
          <w:color w:val="FFFFFF"/>
        </w:rPr>
        <w:t>Compensation</w:t>
      </w:r>
    </w:p>
    <w:p>
      <w:pPr>
        <w:spacing w:after="0" w:line="21"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Practices</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(What we do)</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1" w:right="400" w:firstLine="425"/>
        <w:spacing w:after="0" w:line="185" w:lineRule="auto"/>
        <w:rPr>
          <w:sz w:val="20"/>
          <w:szCs w:val="20"/>
          <w:color w:val="auto"/>
        </w:rPr>
      </w:pPr>
      <w:r>
        <w:rPr>
          <w:rFonts w:ascii="Arial" w:cs="Arial" w:eastAsia="Arial" w:hAnsi="Arial"/>
          <w:sz w:val="13"/>
          <w:szCs w:val="13"/>
          <w:b w:val="1"/>
          <w:bCs w:val="1"/>
          <w:color w:val="001641"/>
        </w:rPr>
        <w:t xml:space="preserve">At-Risk Compensation: </w:t>
      </w:r>
      <w:r>
        <w:rPr>
          <w:rFonts w:ascii="Arial" w:cs="Arial" w:eastAsia="Arial" w:hAnsi="Arial"/>
          <w:sz w:val="13"/>
          <w:szCs w:val="13"/>
          <w:color w:val="001641"/>
        </w:rPr>
        <w:t>Our incentive-based compensation represents a significant portion of our</w:t>
      </w:r>
      <w:r>
        <w:rPr>
          <w:rFonts w:ascii="Arial" w:cs="Arial" w:eastAsia="Arial" w:hAnsi="Arial"/>
          <w:sz w:val="13"/>
          <w:szCs w:val="13"/>
          <w:b w:val="1"/>
          <w:bCs w:val="1"/>
          <w:color w:val="001641"/>
        </w:rPr>
        <w:t xml:space="preserve"> </w:t>
      </w:r>
      <w:r>
        <w:rPr>
          <w:rFonts w:ascii="Arial" w:cs="Arial" w:eastAsia="Arial" w:hAnsi="Arial"/>
          <w:sz w:val="25"/>
          <w:szCs w:val="25"/>
          <w:b w:val="1"/>
          <w:bCs w:val="1"/>
          <w:color w:val="001641"/>
          <w:vertAlign w:val="superscript"/>
        </w:rPr>
        <w:t xml:space="preserve">    </w:t>
      </w:r>
      <w:r>
        <w:rPr>
          <w:rFonts w:ascii="Arial" w:cs="Arial" w:eastAsia="Arial" w:hAnsi="Arial"/>
          <w:sz w:val="13"/>
          <w:szCs w:val="13"/>
          <w:color w:val="001641"/>
        </w:rPr>
        <w:t xml:space="preserve"> executives’ compensation (90% or more for both our Executive Chairman and Chief Creative Officer</w:t>
      </w:r>
    </w:p>
    <w:p>
      <w:pPr>
        <w:spacing w:after="0" w:line="1" w:lineRule="exact"/>
        <w:rPr>
          <w:sz w:val="20"/>
          <w:szCs w:val="20"/>
          <w:color w:val="auto"/>
        </w:rPr>
      </w:pPr>
    </w:p>
    <w:p>
      <w:pPr>
        <w:ind w:left="421"/>
        <w:spacing w:after="0"/>
        <w:rPr>
          <w:sz w:val="20"/>
          <w:szCs w:val="20"/>
          <w:color w:val="auto"/>
        </w:rPr>
      </w:pPr>
      <w:r>
        <w:rPr>
          <w:rFonts w:ascii="Arial" w:cs="Arial" w:eastAsia="Arial" w:hAnsi="Arial"/>
          <w:sz w:val="14"/>
          <w:szCs w:val="14"/>
          <w:color w:val="001641"/>
        </w:rPr>
        <w:t>and our President and CEO).</w:t>
      </w:r>
    </w:p>
    <w:p>
      <w:pPr>
        <w:spacing w:after="0" w:line="159" w:lineRule="exact"/>
        <w:rPr>
          <w:sz w:val="20"/>
          <w:szCs w:val="20"/>
          <w:color w:val="auto"/>
        </w:rPr>
      </w:pPr>
    </w:p>
    <w:p>
      <w:pPr>
        <w:ind w:left="421"/>
        <w:spacing w:after="0"/>
        <w:rPr>
          <w:sz w:val="20"/>
          <w:szCs w:val="20"/>
          <w:color w:val="auto"/>
        </w:rPr>
      </w:pPr>
      <w:r>
        <w:rPr>
          <w:rFonts w:ascii="Arial" w:cs="Arial" w:eastAsia="Arial" w:hAnsi="Arial"/>
          <w:sz w:val="14"/>
          <w:szCs w:val="14"/>
          <w:b w:val="1"/>
          <w:bCs w:val="1"/>
          <w:color w:val="001641"/>
        </w:rPr>
        <w:t xml:space="preserve">Stock Ownership Guidelines: </w:t>
      </w:r>
      <w:r>
        <w:rPr>
          <w:rFonts w:ascii="Arial" w:cs="Arial" w:eastAsia="Arial" w:hAnsi="Arial"/>
          <w:sz w:val="14"/>
          <w:szCs w:val="14"/>
          <w:color w:val="001641"/>
        </w:rPr>
        <w:t>We require our NEOs and other select members of our senior</w:t>
      </w:r>
    </w:p>
    <w:p>
      <w:pPr>
        <w:ind w:left="421" w:right="500" w:hanging="424"/>
        <w:spacing w:after="0" w:line="285" w:lineRule="auto"/>
        <w:tabs>
          <w:tab w:leader="none" w:pos="400" w:val="left"/>
        </w:tabs>
        <w:rPr>
          <w:sz w:val="20"/>
          <w:szCs w:val="20"/>
          <w:color w:val="auto"/>
        </w:rPr>
      </w:pPr>
      <w:r>
        <w:rPr>
          <w:rFonts w:ascii="Arial" w:cs="Arial" w:eastAsia="Arial" w:hAnsi="Arial"/>
          <w:sz w:val="28"/>
          <w:szCs w:val="28"/>
          <w:b w:val="1"/>
          <w:bCs w:val="1"/>
          <w:color w:val="001641"/>
          <w:vertAlign w:val="superscript"/>
        </w:rPr>
        <w:t xml:space="preserve">    </w:t>
      </w:r>
      <w:r>
        <w:rPr>
          <w:rFonts w:ascii="Arial" w:cs="Arial" w:eastAsia="Arial" w:hAnsi="Arial"/>
          <w:sz w:val="14"/>
          <w:szCs w:val="14"/>
          <w:color w:val="001641"/>
        </w:rPr>
        <w:tab/>
        <w:t>management to own a meaningful amount of our Common Stock, worth one to six times their base salary, depending on their positions.</w:t>
      </w:r>
    </w:p>
    <w:p>
      <w:pPr>
        <w:spacing w:after="0" w:line="162" w:lineRule="exact"/>
        <w:rPr>
          <w:sz w:val="20"/>
          <w:szCs w:val="20"/>
          <w:color w:val="auto"/>
        </w:rPr>
      </w:pPr>
    </w:p>
    <w:p>
      <w:pPr>
        <w:ind w:left="421" w:right="260" w:hanging="421"/>
        <w:spacing w:after="0" w:line="325" w:lineRule="auto"/>
        <w:tabs>
          <w:tab w:leader="none" w:pos="140" w:val="left"/>
        </w:tabs>
        <w:numPr>
          <w:ilvl w:val="0"/>
          <w:numId w:val="51"/>
        </w:numPr>
        <w:rPr>
          <w:rFonts w:ascii="Arial" w:cs="Arial" w:eastAsia="Arial" w:hAnsi="Arial"/>
          <w:sz w:val="13"/>
          <w:szCs w:val="13"/>
          <w:b w:val="1"/>
          <w:bCs w:val="1"/>
          <w:color w:val="001641"/>
        </w:rPr>
      </w:pPr>
      <w:r>
        <w:rPr>
          <w:rFonts w:ascii="Arial" w:cs="Arial" w:eastAsia="Arial" w:hAnsi="Arial"/>
          <w:sz w:val="13"/>
          <w:szCs w:val="13"/>
          <w:b w:val="1"/>
          <w:bCs w:val="1"/>
          <w:color w:val="001641"/>
        </w:rPr>
        <w:t xml:space="preserve">   Double Trigger Vesting: </w:t>
      </w:r>
      <w:r>
        <w:rPr>
          <w:rFonts w:ascii="Arial" w:cs="Arial" w:eastAsia="Arial" w:hAnsi="Arial"/>
          <w:sz w:val="13"/>
          <w:szCs w:val="13"/>
          <w:color w:val="001641"/>
        </w:rPr>
        <w:t>We provide for double-trigger vesting following a change in control for equity</w:t>
      </w:r>
      <w:r>
        <w:rPr>
          <w:rFonts w:ascii="Arial" w:cs="Arial" w:eastAsia="Arial" w:hAnsi="Arial"/>
          <w:sz w:val="13"/>
          <w:szCs w:val="13"/>
          <w:b w:val="1"/>
          <w:bCs w:val="1"/>
          <w:color w:val="001641"/>
        </w:rPr>
        <w:t xml:space="preserve"> </w:t>
      </w:r>
      <w:r>
        <w:rPr>
          <w:rFonts w:ascii="Arial" w:cs="Arial" w:eastAsia="Arial" w:hAnsi="Arial"/>
          <w:sz w:val="13"/>
          <w:szCs w:val="13"/>
          <w:color w:val="001641"/>
        </w:rPr>
        <w:t>awards for all participants in our long-term incentive plan.</w:t>
      </w:r>
    </w:p>
    <w:p>
      <w:pPr>
        <w:spacing w:after="0" w:line="135" w:lineRule="exact"/>
        <w:rPr>
          <w:sz w:val="20"/>
          <w:szCs w:val="20"/>
          <w:color w:val="auto"/>
        </w:rPr>
      </w:pPr>
    </w:p>
    <w:p>
      <w:pPr>
        <w:ind w:left="421"/>
        <w:spacing w:after="0"/>
        <w:rPr>
          <w:sz w:val="20"/>
          <w:szCs w:val="20"/>
          <w:color w:val="auto"/>
        </w:rPr>
      </w:pPr>
      <w:r>
        <w:rPr>
          <w:rFonts w:ascii="Arial" w:cs="Arial" w:eastAsia="Arial" w:hAnsi="Arial"/>
          <w:sz w:val="14"/>
          <w:szCs w:val="14"/>
          <w:b w:val="1"/>
          <w:bCs w:val="1"/>
          <w:color w:val="001641"/>
        </w:rPr>
        <w:t xml:space="preserve">Clawback Policies: </w:t>
      </w:r>
      <w:r>
        <w:rPr>
          <w:rFonts w:ascii="Arial" w:cs="Arial" w:eastAsia="Arial" w:hAnsi="Arial"/>
          <w:sz w:val="14"/>
          <w:szCs w:val="14"/>
          <w:color w:val="001641"/>
        </w:rPr>
        <w:t>We have clawback policies for our executive officers that are subject to robust</w:t>
      </w:r>
    </w:p>
    <w:p>
      <w:pPr>
        <w:spacing w:after="0" w:line="15" w:lineRule="exact"/>
        <w:rPr>
          <w:sz w:val="20"/>
          <w:szCs w:val="20"/>
          <w:color w:val="auto"/>
        </w:rPr>
      </w:pPr>
    </w:p>
    <w:p>
      <w:pPr>
        <w:ind w:left="421" w:right="260" w:hanging="421"/>
        <w:spacing w:after="0" w:line="295" w:lineRule="auto"/>
        <w:tabs>
          <w:tab w:leader="none" w:pos="140" w:val="left"/>
        </w:tabs>
        <w:numPr>
          <w:ilvl w:val="0"/>
          <w:numId w:val="52"/>
        </w:numPr>
        <w:rPr>
          <w:rFonts w:ascii="Arial" w:cs="Arial" w:eastAsia="Arial" w:hAnsi="Arial"/>
          <w:sz w:val="13"/>
          <w:szCs w:val="13"/>
          <w:b w:val="1"/>
          <w:bCs w:val="1"/>
          <w:color w:val="001641"/>
        </w:rPr>
      </w:pPr>
      <w:r>
        <w:rPr>
          <w:rFonts w:ascii="Arial" w:cs="Arial" w:eastAsia="Arial" w:hAnsi="Arial"/>
          <w:sz w:val="13"/>
          <w:szCs w:val="13"/>
          <w:b w:val="1"/>
          <w:bCs w:val="1"/>
          <w:color w:val="001641"/>
        </w:rPr>
        <w:t xml:space="preserve">   </w:t>
      </w:r>
      <w:r>
        <w:rPr>
          <w:rFonts w:ascii="Arial" w:cs="Arial" w:eastAsia="Arial" w:hAnsi="Arial"/>
          <w:sz w:val="13"/>
          <w:szCs w:val="13"/>
          <w:color w:val="001641"/>
        </w:rPr>
        <w:t>recoupment requirements in the event the Company is required to restate its financial statements. See</w:t>
      </w:r>
      <w:r>
        <w:rPr>
          <w:rFonts w:ascii="Arial" w:cs="Arial" w:eastAsia="Arial" w:hAnsi="Arial"/>
          <w:sz w:val="13"/>
          <w:szCs w:val="13"/>
          <w:b w:val="1"/>
          <w:bCs w:val="1"/>
          <w:color w:val="001641"/>
        </w:rPr>
        <w:t xml:space="preserve"> </w:t>
      </w:r>
      <w:r>
        <w:rPr>
          <w:rFonts w:ascii="Arial" w:cs="Arial" w:eastAsia="Arial" w:hAnsi="Arial"/>
          <w:sz w:val="13"/>
          <w:szCs w:val="13"/>
          <w:color w:val="001641"/>
        </w:rPr>
        <w:t>“Related Considerations – Clawback Policy” below for a more detailed description of each of our clawback policies.</w:t>
      </w:r>
    </w:p>
    <w:p>
      <w:pPr>
        <w:spacing w:after="0" w:line="306" w:lineRule="exact"/>
        <w:rPr>
          <w:rFonts w:ascii="Arial" w:cs="Arial" w:eastAsia="Arial" w:hAnsi="Arial"/>
          <w:sz w:val="13"/>
          <w:szCs w:val="13"/>
          <w:b w:val="1"/>
          <w:bCs w:val="1"/>
          <w:color w:val="001641"/>
        </w:rPr>
      </w:pPr>
    </w:p>
    <w:p>
      <w:pPr>
        <w:ind w:left="421" w:right="400" w:hanging="421"/>
        <w:spacing w:after="0" w:line="325" w:lineRule="auto"/>
        <w:tabs>
          <w:tab w:leader="none" w:pos="140" w:val="left"/>
        </w:tabs>
        <w:numPr>
          <w:ilvl w:val="0"/>
          <w:numId w:val="52"/>
        </w:numPr>
        <w:rPr>
          <w:rFonts w:ascii="Arial" w:cs="Arial" w:eastAsia="Arial" w:hAnsi="Arial"/>
          <w:sz w:val="13"/>
          <w:szCs w:val="13"/>
          <w:b w:val="1"/>
          <w:bCs w:val="1"/>
          <w:color w:val="001641"/>
        </w:rPr>
      </w:pPr>
      <w:r>
        <w:rPr>
          <w:rFonts w:ascii="Arial" w:cs="Arial" w:eastAsia="Arial" w:hAnsi="Arial"/>
          <w:sz w:val="13"/>
          <w:szCs w:val="13"/>
          <w:b w:val="1"/>
          <w:bCs w:val="1"/>
          <w:color w:val="001641"/>
        </w:rPr>
        <w:t xml:space="preserve">   Fixed Share Authorization: </w:t>
      </w:r>
      <w:r>
        <w:rPr>
          <w:rFonts w:ascii="Arial" w:cs="Arial" w:eastAsia="Arial" w:hAnsi="Arial"/>
          <w:sz w:val="13"/>
          <w:szCs w:val="13"/>
          <w:color w:val="001641"/>
        </w:rPr>
        <w:t>Our long-term incentive plan does not provide for an evergreen feature</w:t>
      </w:r>
      <w:r>
        <w:rPr>
          <w:rFonts w:ascii="Arial" w:cs="Arial" w:eastAsia="Arial" w:hAnsi="Arial"/>
          <w:sz w:val="13"/>
          <w:szCs w:val="13"/>
          <w:b w:val="1"/>
          <w:bCs w:val="1"/>
          <w:color w:val="001641"/>
        </w:rPr>
        <w:t xml:space="preserve"> </w:t>
      </w:r>
      <w:r>
        <w:rPr>
          <w:rFonts w:ascii="Arial" w:cs="Arial" w:eastAsia="Arial" w:hAnsi="Arial"/>
          <w:sz w:val="13"/>
          <w:szCs w:val="13"/>
          <w:color w:val="001641"/>
        </w:rPr>
        <w:t>that would automatically replenish the shares available for issuance under the plan.</w:t>
      </w:r>
    </w:p>
    <w:p>
      <w:pPr>
        <w:spacing w:after="0" w:line="135" w:lineRule="exact"/>
        <w:rPr>
          <w:rFonts w:ascii="Arial" w:cs="Arial" w:eastAsia="Arial" w:hAnsi="Arial"/>
          <w:sz w:val="13"/>
          <w:szCs w:val="13"/>
          <w:b w:val="1"/>
          <w:bCs w:val="1"/>
          <w:color w:val="001641"/>
        </w:rPr>
      </w:pPr>
    </w:p>
    <w:p>
      <w:pPr>
        <w:ind w:left="421" w:right="380" w:hanging="421"/>
        <w:spacing w:after="0" w:line="325" w:lineRule="auto"/>
        <w:tabs>
          <w:tab w:leader="none" w:pos="140" w:val="left"/>
        </w:tabs>
        <w:numPr>
          <w:ilvl w:val="0"/>
          <w:numId w:val="52"/>
        </w:numPr>
        <w:rPr>
          <w:rFonts w:ascii="Arial" w:cs="Arial" w:eastAsia="Arial" w:hAnsi="Arial"/>
          <w:sz w:val="13"/>
          <w:szCs w:val="13"/>
          <w:b w:val="1"/>
          <w:bCs w:val="1"/>
          <w:color w:val="001641"/>
        </w:rPr>
      </w:pPr>
      <w:r>
        <w:rPr>
          <w:rFonts w:ascii="Arial" w:cs="Arial" w:eastAsia="Arial" w:hAnsi="Arial"/>
          <w:sz w:val="13"/>
          <w:szCs w:val="13"/>
          <w:b w:val="1"/>
          <w:bCs w:val="1"/>
          <w:color w:val="001641"/>
        </w:rPr>
        <w:t xml:space="preserve">   Caps on Incentive Payouts: </w:t>
      </w:r>
      <w:r>
        <w:rPr>
          <w:rFonts w:ascii="Arial" w:cs="Arial" w:eastAsia="Arial" w:hAnsi="Arial"/>
          <w:sz w:val="13"/>
          <w:szCs w:val="13"/>
          <w:color w:val="001641"/>
        </w:rPr>
        <w:t>We impose maximum caps on payouts under our short- and long-term</w:t>
      </w:r>
      <w:r>
        <w:rPr>
          <w:rFonts w:ascii="Arial" w:cs="Arial" w:eastAsia="Arial" w:hAnsi="Arial"/>
          <w:sz w:val="13"/>
          <w:szCs w:val="13"/>
          <w:b w:val="1"/>
          <w:bCs w:val="1"/>
          <w:color w:val="001641"/>
        </w:rPr>
        <w:t xml:space="preserve"> </w:t>
      </w:r>
      <w:r>
        <w:rPr>
          <w:rFonts w:ascii="Arial" w:cs="Arial" w:eastAsia="Arial" w:hAnsi="Arial"/>
          <w:sz w:val="13"/>
          <w:szCs w:val="13"/>
          <w:color w:val="001641"/>
        </w:rPr>
        <w:t>incentive plans.</w:t>
      </w:r>
    </w:p>
    <w:p>
      <w:pPr>
        <w:spacing w:after="0" w:line="149" w:lineRule="exact"/>
        <w:rPr>
          <w:sz w:val="20"/>
          <w:szCs w:val="20"/>
          <w:color w:val="auto"/>
        </w:rPr>
      </w:pPr>
    </w:p>
    <w:p>
      <w:pPr>
        <w:ind w:left="1" w:right="440" w:firstLine="425"/>
        <w:spacing w:after="0" w:line="185" w:lineRule="auto"/>
        <w:rPr>
          <w:sz w:val="20"/>
          <w:szCs w:val="20"/>
          <w:color w:val="auto"/>
        </w:rPr>
      </w:pPr>
      <w:r>
        <w:rPr>
          <w:rFonts w:ascii="Arial" w:cs="Arial" w:eastAsia="Arial" w:hAnsi="Arial"/>
          <w:sz w:val="13"/>
          <w:szCs w:val="13"/>
          <w:b w:val="1"/>
          <w:bCs w:val="1"/>
          <w:color w:val="001641"/>
        </w:rPr>
        <w:t xml:space="preserve">Annual Review: </w:t>
      </w:r>
      <w:r>
        <w:rPr>
          <w:rFonts w:ascii="Arial" w:cs="Arial" w:eastAsia="Arial" w:hAnsi="Arial"/>
          <w:sz w:val="13"/>
          <w:szCs w:val="13"/>
          <w:color w:val="001641"/>
        </w:rPr>
        <w:t>We conduct an annual review of our executive compensation program to ensure it</w:t>
      </w:r>
      <w:r>
        <w:rPr>
          <w:rFonts w:ascii="Arial" w:cs="Arial" w:eastAsia="Arial" w:hAnsi="Arial"/>
          <w:sz w:val="13"/>
          <w:szCs w:val="13"/>
          <w:b w:val="1"/>
          <w:bCs w:val="1"/>
          <w:color w:val="001641"/>
        </w:rPr>
        <w:t xml:space="preserve"> </w:t>
      </w:r>
      <w:r>
        <w:rPr>
          <w:rFonts w:ascii="Arial" w:cs="Arial" w:eastAsia="Arial" w:hAnsi="Arial"/>
          <w:sz w:val="25"/>
          <w:szCs w:val="25"/>
          <w:b w:val="1"/>
          <w:bCs w:val="1"/>
          <w:color w:val="001641"/>
          <w:vertAlign w:val="superscript"/>
        </w:rPr>
        <w:t xml:space="preserve">    </w:t>
      </w:r>
      <w:r>
        <w:rPr>
          <w:rFonts w:ascii="Arial" w:cs="Arial" w:eastAsia="Arial" w:hAnsi="Arial"/>
          <w:sz w:val="13"/>
          <w:szCs w:val="13"/>
          <w:color w:val="001641"/>
        </w:rPr>
        <w:t xml:space="preserve"> rewards executives for performance against clear metrics that align with our Strategic Plan and</w:t>
      </w:r>
    </w:p>
    <w:p>
      <w:pPr>
        <w:spacing w:after="0" w:line="1" w:lineRule="exact"/>
        <w:rPr>
          <w:sz w:val="20"/>
          <w:szCs w:val="20"/>
          <w:color w:val="auto"/>
        </w:rPr>
      </w:pPr>
    </w:p>
    <w:p>
      <w:pPr>
        <w:ind w:left="421"/>
        <w:spacing w:after="0"/>
        <w:rPr>
          <w:sz w:val="20"/>
          <w:szCs w:val="20"/>
          <w:color w:val="auto"/>
        </w:rPr>
      </w:pPr>
      <w:r>
        <w:rPr>
          <w:rFonts w:ascii="Arial" w:cs="Arial" w:eastAsia="Arial" w:hAnsi="Arial"/>
          <w:sz w:val="14"/>
          <w:szCs w:val="14"/>
          <w:color w:val="001641"/>
        </w:rPr>
        <w:t>stockholder interests, retains top talent, and discourages unnecessary risk-taking by our executives.</w:t>
      </w:r>
    </w:p>
    <w:p>
      <w:pPr>
        <w:spacing w:after="0" w:line="230" w:lineRule="exact"/>
        <w:rPr>
          <w:sz w:val="20"/>
          <w:szCs w:val="20"/>
          <w:color w:val="auto"/>
        </w:rPr>
      </w:pPr>
    </w:p>
    <w:p>
      <w:pPr>
        <w:ind w:left="421" w:right="400" w:hanging="421"/>
        <w:spacing w:after="0" w:line="325" w:lineRule="auto"/>
        <w:tabs>
          <w:tab w:leader="none" w:pos="140" w:val="left"/>
        </w:tabs>
        <w:numPr>
          <w:ilvl w:val="0"/>
          <w:numId w:val="53"/>
        </w:numPr>
        <w:rPr>
          <w:rFonts w:ascii="Arial" w:cs="Arial" w:eastAsia="Arial" w:hAnsi="Arial"/>
          <w:sz w:val="13"/>
          <w:szCs w:val="13"/>
          <w:b w:val="1"/>
          <w:bCs w:val="1"/>
          <w:color w:val="001641"/>
        </w:rPr>
      </w:pPr>
      <w:r>
        <w:rPr>
          <w:rFonts w:ascii="Arial" w:cs="Arial" w:eastAsia="Arial" w:hAnsi="Arial"/>
          <w:sz w:val="13"/>
          <w:szCs w:val="13"/>
          <w:b w:val="1"/>
          <w:bCs w:val="1"/>
          <w:color w:val="001641"/>
        </w:rPr>
        <w:t xml:space="preserve">   Regular Review of Programs with Top Institutional Investors: </w:t>
      </w:r>
      <w:r>
        <w:rPr>
          <w:rFonts w:ascii="Arial" w:cs="Arial" w:eastAsia="Arial" w:hAnsi="Arial"/>
          <w:sz w:val="13"/>
          <w:szCs w:val="13"/>
          <w:color w:val="001641"/>
        </w:rPr>
        <w:t>We annually review our</w:t>
      </w:r>
      <w:r>
        <w:rPr>
          <w:rFonts w:ascii="Arial" w:cs="Arial" w:eastAsia="Arial" w:hAnsi="Arial"/>
          <w:sz w:val="13"/>
          <w:szCs w:val="13"/>
          <w:b w:val="1"/>
          <w:bCs w:val="1"/>
          <w:color w:val="001641"/>
        </w:rPr>
        <w:t xml:space="preserve"> </w:t>
      </w:r>
      <w:r>
        <w:rPr>
          <w:rFonts w:ascii="Arial" w:cs="Arial" w:eastAsia="Arial" w:hAnsi="Arial"/>
          <w:sz w:val="13"/>
          <w:szCs w:val="13"/>
          <w:color w:val="001641"/>
        </w:rPr>
        <w:t>compensation programs with our top institutional investors to solicit their feedback for consideration.</w:t>
      </w:r>
    </w:p>
    <w:p>
      <w:pPr>
        <w:spacing w:after="0" w:line="148" w:lineRule="exact"/>
        <w:rPr>
          <w:rFonts w:ascii="Arial" w:cs="Arial" w:eastAsia="Arial" w:hAnsi="Arial"/>
          <w:sz w:val="13"/>
          <w:szCs w:val="13"/>
          <w:b w:val="1"/>
          <w:bCs w:val="1"/>
          <w:color w:val="001641"/>
        </w:rPr>
      </w:pPr>
    </w:p>
    <w:p>
      <w:pPr>
        <w:ind w:left="421" w:right="440" w:hanging="421"/>
        <w:spacing w:after="0" w:line="325" w:lineRule="auto"/>
        <w:tabs>
          <w:tab w:leader="none" w:pos="140" w:val="left"/>
        </w:tabs>
        <w:numPr>
          <w:ilvl w:val="0"/>
          <w:numId w:val="53"/>
        </w:numPr>
        <w:rPr>
          <w:rFonts w:ascii="Arial" w:cs="Arial" w:eastAsia="Arial" w:hAnsi="Arial"/>
          <w:sz w:val="13"/>
          <w:szCs w:val="13"/>
          <w:b w:val="1"/>
          <w:bCs w:val="1"/>
          <w:color w:val="001641"/>
        </w:rPr>
      </w:pPr>
      <w:r>
        <w:rPr>
          <w:rFonts w:ascii="Arial" w:cs="Arial" w:eastAsia="Arial" w:hAnsi="Arial"/>
          <w:sz w:val="13"/>
          <w:szCs w:val="13"/>
          <w:b w:val="1"/>
          <w:bCs w:val="1"/>
          <w:color w:val="001641"/>
        </w:rPr>
        <w:t xml:space="preserve">   Regular Review of Share Utilization: </w:t>
      </w:r>
      <w:r>
        <w:rPr>
          <w:rFonts w:ascii="Arial" w:cs="Arial" w:eastAsia="Arial" w:hAnsi="Arial"/>
          <w:sz w:val="13"/>
          <w:szCs w:val="13"/>
          <w:color w:val="001641"/>
        </w:rPr>
        <w:t>We regularly evaluate share utilization levels and review the</w:t>
      </w:r>
      <w:r>
        <w:rPr>
          <w:rFonts w:ascii="Arial" w:cs="Arial" w:eastAsia="Arial" w:hAnsi="Arial"/>
          <w:sz w:val="13"/>
          <w:szCs w:val="13"/>
          <w:b w:val="1"/>
          <w:bCs w:val="1"/>
          <w:color w:val="001641"/>
        </w:rPr>
        <w:t xml:space="preserve"> </w:t>
      </w:r>
      <w:r>
        <w:rPr>
          <w:rFonts w:ascii="Arial" w:cs="Arial" w:eastAsia="Arial" w:hAnsi="Arial"/>
          <w:sz w:val="13"/>
          <w:szCs w:val="13"/>
          <w:color w:val="001641"/>
        </w:rPr>
        <w:t>dilutive impact of stock compensation.</w:t>
      </w:r>
    </w:p>
    <w:p>
      <w:pPr>
        <w:spacing w:after="0" w:line="135" w:lineRule="exact"/>
        <w:rPr>
          <w:rFonts w:ascii="Arial" w:cs="Arial" w:eastAsia="Arial" w:hAnsi="Arial"/>
          <w:sz w:val="13"/>
          <w:szCs w:val="13"/>
          <w:b w:val="1"/>
          <w:bCs w:val="1"/>
          <w:color w:val="001641"/>
        </w:rPr>
      </w:pPr>
    </w:p>
    <w:p>
      <w:pPr>
        <w:ind w:left="421" w:right="520" w:hanging="421"/>
        <w:spacing w:after="0" w:line="325" w:lineRule="auto"/>
        <w:tabs>
          <w:tab w:leader="none" w:pos="140" w:val="left"/>
        </w:tabs>
        <w:numPr>
          <w:ilvl w:val="0"/>
          <w:numId w:val="53"/>
        </w:numPr>
        <w:rPr>
          <w:rFonts w:ascii="Arial" w:cs="Arial" w:eastAsia="Arial" w:hAnsi="Arial"/>
          <w:sz w:val="13"/>
          <w:szCs w:val="13"/>
          <w:b w:val="1"/>
          <w:bCs w:val="1"/>
          <w:color w:val="001641"/>
        </w:rPr>
      </w:pPr>
      <w:r>
        <w:rPr>
          <w:rFonts w:ascii="Arial" w:cs="Arial" w:eastAsia="Arial" w:hAnsi="Arial"/>
          <w:sz w:val="13"/>
          <w:szCs w:val="13"/>
          <w:b w:val="1"/>
          <w:bCs w:val="1"/>
          <w:color w:val="001641"/>
        </w:rPr>
        <w:t xml:space="preserve">   Independent Consultant: </w:t>
      </w:r>
      <w:r>
        <w:rPr>
          <w:rFonts w:ascii="Arial" w:cs="Arial" w:eastAsia="Arial" w:hAnsi="Arial"/>
          <w:sz w:val="13"/>
          <w:szCs w:val="13"/>
          <w:color w:val="001641"/>
        </w:rPr>
        <w:t>We work with an independent compensation consultant retained by the</w:t>
      </w:r>
      <w:r>
        <w:rPr>
          <w:rFonts w:ascii="Arial" w:cs="Arial" w:eastAsia="Arial" w:hAnsi="Arial"/>
          <w:sz w:val="13"/>
          <w:szCs w:val="13"/>
          <w:b w:val="1"/>
          <w:bCs w:val="1"/>
          <w:color w:val="001641"/>
        </w:rPr>
        <w:t xml:space="preserve"> </w:t>
      </w:r>
      <w:r>
        <w:rPr>
          <w:rFonts w:ascii="Arial" w:cs="Arial" w:eastAsia="Arial" w:hAnsi="Arial"/>
          <w:sz w:val="13"/>
          <w:szCs w:val="13"/>
          <w:color w:val="001641"/>
        </w:rPr>
        <w:t>Talent Committee.</w:t>
      </w:r>
    </w:p>
    <w:p>
      <w:pPr>
        <w:spacing w:after="0" w:line="122"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320" w:type="dxa"/>
            <w:vAlign w:val="bottom"/>
          </w:tcPr>
          <w:p>
            <w:pPr>
              <w:spacing w:after="0"/>
              <w:rPr>
                <w:sz w:val="20"/>
                <w:szCs w:val="20"/>
                <w:color w:val="auto"/>
              </w:rPr>
            </w:pPr>
            <w:r>
              <w:rPr>
                <w:rFonts w:ascii="Arial" w:cs="Arial" w:eastAsia="Arial" w:hAnsi="Arial"/>
                <w:sz w:val="14"/>
                <w:szCs w:val="14"/>
                <w:b w:val="1"/>
                <w:bCs w:val="1"/>
                <w:color w:val="001641"/>
              </w:rPr>
              <w:t>     </w:t>
            </w:r>
          </w:p>
        </w:tc>
        <w:tc>
          <w:tcPr>
            <w:tcW w:w="6560" w:type="dxa"/>
            <w:vAlign w:val="bottom"/>
            <w:vMerge w:val="restart"/>
          </w:tcPr>
          <w:p>
            <w:pPr>
              <w:ind w:left="100"/>
              <w:spacing w:after="0"/>
              <w:rPr>
                <w:sz w:val="20"/>
                <w:szCs w:val="20"/>
                <w:color w:val="auto"/>
              </w:rPr>
            </w:pPr>
            <w:r>
              <w:rPr>
                <w:rFonts w:ascii="Arial" w:cs="Arial" w:eastAsia="Arial" w:hAnsi="Arial"/>
                <w:sz w:val="14"/>
                <w:szCs w:val="14"/>
                <w:b w:val="1"/>
                <w:bCs w:val="1"/>
                <w:color w:val="001641"/>
              </w:rPr>
              <w:t xml:space="preserve">Independent Talent Committee: </w:t>
            </w:r>
            <w:r>
              <w:rPr>
                <w:rFonts w:ascii="Arial" w:cs="Arial" w:eastAsia="Arial" w:hAnsi="Arial"/>
                <w:sz w:val="14"/>
                <w:szCs w:val="14"/>
                <w:color w:val="001641"/>
              </w:rPr>
              <w:t>Our Talent Committee is composed solely of independent directors.</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480" w:space="519"/>
            <w:col w:w="7181"/>
          </w:cols>
          <w:pgMar w:left="1360" w:top="114" w:right="1359" w:bottom="1440" w:gutter="0" w:footer="0" w:header="0"/>
          <w:type w:val="continuous"/>
        </w:sect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393"/>
        </w:trPr>
        <w:tc>
          <w:tcPr>
            <w:tcW w:w="100" w:type="dxa"/>
            <w:vAlign w:val="bottom"/>
            <w:tcBorders>
              <w:top w:val="single" w:sz="8" w:color="001641"/>
            </w:tcBorders>
            <w:shd w:val="clear" w:color="auto" w:fill="001641"/>
          </w:tcPr>
          <w:p>
            <w:pPr>
              <w:spacing w:after="0"/>
              <w:rPr>
                <w:sz w:val="24"/>
                <w:szCs w:val="24"/>
                <w:color w:val="auto"/>
              </w:rPr>
            </w:pPr>
          </w:p>
        </w:tc>
        <w:tc>
          <w:tcPr>
            <w:tcW w:w="1620" w:type="dxa"/>
            <w:vAlign w:val="bottom"/>
            <w:tcBorders>
              <w:top w:val="single" w:sz="8" w:color="001641"/>
            </w:tcBorders>
            <w:shd w:val="clear" w:color="auto" w:fill="001641"/>
          </w:tcPr>
          <w:p>
            <w:pPr>
              <w:spacing w:after="0"/>
              <w:rPr>
                <w:sz w:val="24"/>
                <w:szCs w:val="24"/>
                <w:color w:val="auto"/>
              </w:rPr>
            </w:pPr>
          </w:p>
        </w:tc>
        <w:tc>
          <w:tcPr>
            <w:tcW w:w="100" w:type="dxa"/>
            <w:vAlign w:val="bottom"/>
            <w:tcBorders>
              <w:top w:val="single" w:sz="8" w:color="001641"/>
            </w:tcBorders>
            <w:shd w:val="clear" w:color="auto" w:fill="DDE2EE"/>
          </w:tcPr>
          <w:p>
            <w:pPr>
              <w:spacing w:after="0"/>
              <w:rPr>
                <w:sz w:val="24"/>
                <w:szCs w:val="24"/>
                <w:color w:val="auto"/>
              </w:rPr>
            </w:pPr>
          </w:p>
        </w:tc>
        <w:tc>
          <w:tcPr>
            <w:tcW w:w="460" w:type="dxa"/>
            <w:vAlign w:val="bottom"/>
            <w:tcBorders>
              <w:top w:val="single" w:sz="8" w:color="001641"/>
            </w:tcBorders>
            <w:shd w:val="clear" w:color="auto" w:fill="DDE2EE"/>
          </w:tcPr>
          <w:p>
            <w:pPr>
              <w:ind w:left="200"/>
              <w:spacing w:after="0"/>
              <w:rPr>
                <w:sz w:val="20"/>
                <w:szCs w:val="20"/>
                <w:color w:val="auto"/>
              </w:rPr>
            </w:pPr>
            <w:r>
              <w:rPr>
                <w:rFonts w:ascii="Arial" w:cs="Arial" w:eastAsia="Arial" w:hAnsi="Arial"/>
                <w:sz w:val="14"/>
                <w:szCs w:val="14"/>
                <w:b w:val="1"/>
                <w:bCs w:val="1"/>
                <w:color w:val="001641"/>
              </w:rPr>
              <w:t> </w:t>
            </w:r>
          </w:p>
        </w:tc>
        <w:tc>
          <w:tcPr>
            <w:tcW w:w="6900" w:type="dxa"/>
            <w:vAlign w:val="bottom"/>
            <w:tcBorders>
              <w:top w:val="single" w:sz="8" w:color="001641"/>
              <w:right w:val="single" w:sz="8" w:color="001641"/>
            </w:tcBorders>
          </w:tcPr>
          <w:p>
            <w:pPr>
              <w:ind w:left="120"/>
              <w:spacing w:after="0"/>
              <w:rPr>
                <w:sz w:val="20"/>
                <w:szCs w:val="20"/>
                <w:color w:val="auto"/>
              </w:rPr>
            </w:pPr>
            <w:r>
              <w:rPr>
                <w:rFonts w:ascii="Arial" w:cs="Arial" w:eastAsia="Arial" w:hAnsi="Arial"/>
                <w:sz w:val="14"/>
                <w:szCs w:val="14"/>
                <w:b w:val="1"/>
                <w:bCs w:val="1"/>
                <w:color w:val="001641"/>
              </w:rPr>
              <w:t xml:space="preserve">No Guaranteed Increases: </w:t>
            </w:r>
            <w:r>
              <w:rPr>
                <w:rFonts w:ascii="Arial" w:cs="Arial" w:eastAsia="Arial" w:hAnsi="Arial"/>
                <w:sz w:val="14"/>
                <w:szCs w:val="14"/>
                <w:color w:val="001641"/>
              </w:rPr>
              <w:t>We do not guarantee salary increases or annual incentives for our NEOs.</w:t>
            </w:r>
          </w:p>
        </w:tc>
        <w:tc>
          <w:tcPr>
            <w:tcW w:w="0" w:type="dxa"/>
            <w:vAlign w:val="bottom"/>
          </w:tcPr>
          <w:p>
            <w:pPr>
              <w:spacing w:after="0"/>
              <w:rPr>
                <w:sz w:val="1"/>
                <w:szCs w:val="1"/>
                <w:color w:val="auto"/>
              </w:rPr>
            </w:pPr>
          </w:p>
        </w:tc>
      </w:tr>
      <w:tr>
        <w:trPr>
          <w:trHeight w:val="150"/>
        </w:trPr>
        <w:tc>
          <w:tcPr>
            <w:tcW w:w="100" w:type="dxa"/>
            <w:vAlign w:val="bottom"/>
            <w:tcBorders>
              <w:bottom w:val="single" w:sz="8" w:color="001641"/>
            </w:tcBorders>
            <w:shd w:val="clear" w:color="auto" w:fill="001641"/>
          </w:tcPr>
          <w:p>
            <w:pPr>
              <w:spacing w:after="0"/>
              <w:rPr>
                <w:sz w:val="13"/>
                <w:szCs w:val="13"/>
                <w:color w:val="auto"/>
              </w:rPr>
            </w:pPr>
          </w:p>
        </w:tc>
        <w:tc>
          <w:tcPr>
            <w:tcW w:w="1620" w:type="dxa"/>
            <w:vAlign w:val="bottom"/>
            <w:tcBorders>
              <w:bottom w:val="single" w:sz="8" w:color="001641"/>
            </w:tcBorders>
            <w:vMerge w:val="restart"/>
            <w:shd w:val="clear" w:color="auto" w:fill="001641"/>
          </w:tcPr>
          <w:p>
            <w:pPr>
              <w:ind w:left="100"/>
              <w:spacing w:after="0"/>
              <w:rPr>
                <w:sz w:val="20"/>
                <w:szCs w:val="20"/>
                <w:color w:val="auto"/>
              </w:rPr>
            </w:pPr>
            <w:r>
              <w:rPr>
                <w:rFonts w:ascii="Arial" w:cs="Arial" w:eastAsia="Arial" w:hAnsi="Arial"/>
                <w:sz w:val="18"/>
                <w:szCs w:val="18"/>
                <w:b w:val="1"/>
                <w:bCs w:val="1"/>
                <w:color w:val="FFFFFF"/>
              </w:rPr>
              <w:t>Our Prohibited</w:t>
            </w:r>
          </w:p>
        </w:tc>
        <w:tc>
          <w:tcPr>
            <w:tcW w:w="100" w:type="dxa"/>
            <w:vAlign w:val="bottom"/>
            <w:tcBorders>
              <w:bottom w:val="single" w:sz="8" w:color="001641"/>
            </w:tcBorders>
            <w:shd w:val="clear" w:color="auto" w:fill="DDE2EE"/>
          </w:tcPr>
          <w:p>
            <w:pPr>
              <w:spacing w:after="0"/>
              <w:rPr>
                <w:sz w:val="13"/>
                <w:szCs w:val="13"/>
                <w:color w:val="auto"/>
              </w:rPr>
            </w:pPr>
          </w:p>
        </w:tc>
        <w:tc>
          <w:tcPr>
            <w:tcW w:w="460" w:type="dxa"/>
            <w:vAlign w:val="bottom"/>
            <w:tcBorders>
              <w:bottom w:val="single" w:sz="8" w:color="001641"/>
            </w:tcBorders>
            <w:shd w:val="clear" w:color="auto" w:fill="DDE2EE"/>
          </w:tcPr>
          <w:p>
            <w:pPr>
              <w:spacing w:after="0"/>
              <w:rPr>
                <w:sz w:val="13"/>
                <w:szCs w:val="13"/>
                <w:color w:val="auto"/>
              </w:rPr>
            </w:pPr>
          </w:p>
        </w:tc>
        <w:tc>
          <w:tcPr>
            <w:tcW w:w="6900" w:type="dxa"/>
            <w:vAlign w:val="bottom"/>
            <w:tcBorders>
              <w:bottom w:val="single" w:sz="8" w:color="001641"/>
              <w:right w:val="single" w:sz="8" w:color="001641"/>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00" w:type="dxa"/>
            <w:vAlign w:val="bottom"/>
            <w:shd w:val="clear" w:color="auto" w:fill="001641"/>
          </w:tcPr>
          <w:p>
            <w:pPr>
              <w:spacing w:after="0"/>
              <w:rPr>
                <w:sz w:val="15"/>
                <w:szCs w:val="15"/>
                <w:color w:val="auto"/>
              </w:rPr>
            </w:pPr>
          </w:p>
        </w:tc>
        <w:tc>
          <w:tcPr>
            <w:tcW w:w="1620" w:type="dxa"/>
            <w:vAlign w:val="bottom"/>
            <w:vMerge w:val="continue"/>
            <w:shd w:val="clear" w:color="auto" w:fill="001641"/>
          </w:tcPr>
          <w:p>
            <w:pPr>
              <w:spacing w:after="0"/>
              <w:rPr>
                <w:sz w:val="15"/>
                <w:szCs w:val="15"/>
                <w:color w:val="auto"/>
              </w:rPr>
            </w:pPr>
          </w:p>
        </w:tc>
        <w:tc>
          <w:tcPr>
            <w:tcW w:w="100" w:type="dxa"/>
            <w:vAlign w:val="bottom"/>
            <w:shd w:val="clear" w:color="auto" w:fill="DDE2EE"/>
          </w:tcPr>
          <w:p>
            <w:pPr>
              <w:spacing w:after="0"/>
              <w:rPr>
                <w:sz w:val="15"/>
                <w:szCs w:val="15"/>
                <w:color w:val="auto"/>
              </w:rPr>
            </w:pPr>
          </w:p>
        </w:tc>
        <w:tc>
          <w:tcPr>
            <w:tcW w:w="460" w:type="dxa"/>
            <w:vAlign w:val="bottom"/>
            <w:vMerge w:val="restart"/>
            <w:shd w:val="clear" w:color="auto" w:fill="DDE2EE"/>
          </w:tcPr>
          <w:p>
            <w:pPr>
              <w:ind w:left="200"/>
              <w:spacing w:after="0"/>
              <w:rPr>
                <w:sz w:val="20"/>
                <w:szCs w:val="20"/>
                <w:color w:val="auto"/>
              </w:rPr>
            </w:pPr>
            <w:r>
              <w:rPr>
                <w:rFonts w:ascii="Arial" w:cs="Arial" w:eastAsia="Arial" w:hAnsi="Arial"/>
                <w:sz w:val="14"/>
                <w:szCs w:val="14"/>
                <w:b w:val="1"/>
                <w:bCs w:val="1"/>
                <w:color w:val="001641"/>
              </w:rPr>
              <w:t> </w:t>
            </w:r>
          </w:p>
        </w:tc>
        <w:tc>
          <w:tcPr>
            <w:tcW w:w="6900" w:type="dxa"/>
            <w:vAlign w:val="bottom"/>
            <w:tcBorders>
              <w:right w:val="single" w:sz="8" w:color="001641"/>
            </w:tcBorders>
            <w:vMerge w:val="restart"/>
          </w:tcPr>
          <w:p>
            <w:pPr>
              <w:ind w:left="120"/>
              <w:spacing w:after="0"/>
              <w:rPr>
                <w:sz w:val="20"/>
                <w:szCs w:val="20"/>
                <w:color w:val="auto"/>
              </w:rPr>
            </w:pPr>
            <w:r>
              <w:rPr>
                <w:rFonts w:ascii="Arial" w:cs="Arial" w:eastAsia="Arial" w:hAnsi="Arial"/>
                <w:sz w:val="14"/>
                <w:szCs w:val="14"/>
                <w:b w:val="1"/>
                <w:bCs w:val="1"/>
                <w:color w:val="001641"/>
              </w:rPr>
              <w:t xml:space="preserve">No Hedging or Pledging: </w:t>
            </w:r>
            <w:r>
              <w:rPr>
                <w:rFonts w:ascii="Arial" w:cs="Arial" w:eastAsia="Arial" w:hAnsi="Arial"/>
                <w:sz w:val="14"/>
                <w:szCs w:val="14"/>
                <w:color w:val="001641"/>
              </w:rPr>
              <w:t>We prohibit the hedging or pledging of the Company’s stock by directors,</w:t>
            </w:r>
          </w:p>
        </w:tc>
        <w:tc>
          <w:tcPr>
            <w:tcW w:w="0" w:type="dxa"/>
            <w:vAlign w:val="bottom"/>
          </w:tcPr>
          <w:p>
            <w:pPr>
              <w:spacing w:after="0"/>
              <w:rPr>
                <w:sz w:val="1"/>
                <w:szCs w:val="1"/>
                <w:color w:val="auto"/>
              </w:rPr>
            </w:pPr>
          </w:p>
        </w:tc>
      </w:tr>
      <w:tr>
        <w:trPr>
          <w:trHeight w:val="64"/>
        </w:trPr>
        <w:tc>
          <w:tcPr>
            <w:tcW w:w="100" w:type="dxa"/>
            <w:vAlign w:val="bottom"/>
            <w:shd w:val="clear" w:color="auto" w:fill="001641"/>
          </w:tcPr>
          <w:p>
            <w:pPr>
              <w:spacing w:after="0"/>
              <w:rPr>
                <w:sz w:val="5"/>
                <w:szCs w:val="5"/>
                <w:color w:val="auto"/>
              </w:rPr>
            </w:pPr>
          </w:p>
        </w:tc>
        <w:tc>
          <w:tcPr>
            <w:tcW w:w="1620" w:type="dxa"/>
            <w:vAlign w:val="bottom"/>
            <w:vMerge w:val="restart"/>
            <w:shd w:val="clear" w:color="auto" w:fill="001641"/>
          </w:tcPr>
          <w:p>
            <w:pPr>
              <w:ind w:left="100"/>
              <w:spacing w:after="0"/>
              <w:rPr>
                <w:sz w:val="20"/>
                <w:szCs w:val="20"/>
                <w:color w:val="auto"/>
              </w:rPr>
            </w:pPr>
            <w:r>
              <w:rPr>
                <w:rFonts w:ascii="Arial" w:cs="Arial" w:eastAsia="Arial" w:hAnsi="Arial"/>
                <w:sz w:val="18"/>
                <w:szCs w:val="18"/>
                <w:b w:val="1"/>
                <w:bCs w:val="1"/>
                <w:color w:val="FFFFFF"/>
              </w:rPr>
              <w:t>Compensation</w:t>
            </w:r>
          </w:p>
        </w:tc>
        <w:tc>
          <w:tcPr>
            <w:tcW w:w="100" w:type="dxa"/>
            <w:vAlign w:val="bottom"/>
            <w:shd w:val="clear" w:color="auto" w:fill="DDE2EE"/>
          </w:tcPr>
          <w:p>
            <w:pPr>
              <w:spacing w:after="0"/>
              <w:rPr>
                <w:sz w:val="5"/>
                <w:szCs w:val="5"/>
                <w:color w:val="auto"/>
              </w:rPr>
            </w:pPr>
          </w:p>
        </w:tc>
        <w:tc>
          <w:tcPr>
            <w:tcW w:w="460" w:type="dxa"/>
            <w:vAlign w:val="bottom"/>
            <w:vMerge w:val="continue"/>
            <w:shd w:val="clear" w:color="auto" w:fill="DDE2EE"/>
          </w:tcPr>
          <w:p>
            <w:pPr>
              <w:spacing w:after="0"/>
              <w:rPr>
                <w:sz w:val="5"/>
                <w:szCs w:val="5"/>
                <w:color w:val="auto"/>
              </w:rPr>
            </w:pPr>
          </w:p>
        </w:tc>
        <w:tc>
          <w:tcPr>
            <w:tcW w:w="6900" w:type="dxa"/>
            <w:vAlign w:val="bottom"/>
            <w:tcBorders>
              <w:right w:val="single" w:sz="8" w:color="001641"/>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001641"/>
          </w:tcPr>
          <w:p>
            <w:pPr>
              <w:spacing w:after="0"/>
              <w:rPr>
                <w:sz w:val="12"/>
                <w:szCs w:val="12"/>
                <w:color w:val="auto"/>
              </w:rPr>
            </w:pPr>
          </w:p>
        </w:tc>
        <w:tc>
          <w:tcPr>
            <w:tcW w:w="1620" w:type="dxa"/>
            <w:vAlign w:val="bottom"/>
            <w:vMerge w:val="continue"/>
            <w:shd w:val="clear" w:color="auto" w:fill="001641"/>
          </w:tcPr>
          <w:p>
            <w:pPr>
              <w:spacing w:after="0"/>
              <w:rPr>
                <w:sz w:val="12"/>
                <w:szCs w:val="12"/>
                <w:color w:val="auto"/>
              </w:rPr>
            </w:pPr>
          </w:p>
        </w:tc>
        <w:tc>
          <w:tcPr>
            <w:tcW w:w="100" w:type="dxa"/>
            <w:vAlign w:val="bottom"/>
            <w:shd w:val="clear" w:color="auto" w:fill="DDE2EE"/>
          </w:tcPr>
          <w:p>
            <w:pPr>
              <w:spacing w:after="0"/>
              <w:rPr>
                <w:sz w:val="12"/>
                <w:szCs w:val="12"/>
                <w:color w:val="auto"/>
              </w:rPr>
            </w:pPr>
          </w:p>
        </w:tc>
        <w:tc>
          <w:tcPr>
            <w:tcW w:w="460" w:type="dxa"/>
            <w:vAlign w:val="bottom"/>
            <w:vMerge w:val="continue"/>
            <w:shd w:val="clear" w:color="auto" w:fill="DDE2EE"/>
          </w:tcPr>
          <w:p>
            <w:pPr>
              <w:spacing w:after="0"/>
              <w:rPr>
                <w:sz w:val="12"/>
                <w:szCs w:val="12"/>
                <w:color w:val="auto"/>
              </w:rPr>
            </w:pPr>
          </w:p>
        </w:tc>
        <w:tc>
          <w:tcPr>
            <w:tcW w:w="6900" w:type="dxa"/>
            <w:vAlign w:val="bottom"/>
            <w:tcBorders>
              <w:right w:val="single" w:sz="8" w:color="001641"/>
            </w:tcBorders>
          </w:tcPr>
          <w:p>
            <w:pPr>
              <w:ind w:left="120"/>
              <w:spacing w:after="0" w:line="145" w:lineRule="exact"/>
              <w:rPr>
                <w:sz w:val="20"/>
                <w:szCs w:val="20"/>
                <w:color w:val="auto"/>
              </w:rPr>
            </w:pPr>
            <w:r>
              <w:rPr>
                <w:rFonts w:ascii="Arial" w:cs="Arial" w:eastAsia="Arial" w:hAnsi="Arial"/>
                <w:sz w:val="14"/>
                <w:szCs w:val="14"/>
                <w:color w:val="001641"/>
              </w:rPr>
              <w:t>officers, or other employees of the Company.</w:t>
            </w:r>
          </w:p>
        </w:tc>
        <w:tc>
          <w:tcPr>
            <w:tcW w:w="0" w:type="dxa"/>
            <w:vAlign w:val="bottom"/>
          </w:tcPr>
          <w:p>
            <w:pPr>
              <w:spacing w:after="0"/>
              <w:rPr>
                <w:sz w:val="1"/>
                <w:szCs w:val="1"/>
                <w:color w:val="auto"/>
              </w:rPr>
            </w:pPr>
          </w:p>
        </w:tc>
      </w:tr>
      <w:tr>
        <w:trPr>
          <w:trHeight w:val="149"/>
        </w:trPr>
        <w:tc>
          <w:tcPr>
            <w:tcW w:w="100" w:type="dxa"/>
            <w:vAlign w:val="bottom"/>
            <w:tcBorders>
              <w:bottom w:val="single" w:sz="8" w:color="001641"/>
            </w:tcBorders>
            <w:shd w:val="clear" w:color="auto" w:fill="001641"/>
          </w:tcPr>
          <w:p>
            <w:pPr>
              <w:spacing w:after="0"/>
              <w:rPr>
                <w:sz w:val="12"/>
                <w:szCs w:val="12"/>
                <w:color w:val="auto"/>
              </w:rPr>
            </w:pPr>
          </w:p>
        </w:tc>
        <w:tc>
          <w:tcPr>
            <w:tcW w:w="1620" w:type="dxa"/>
            <w:vAlign w:val="bottom"/>
            <w:tcBorders>
              <w:bottom w:val="single" w:sz="8" w:color="001641"/>
            </w:tcBorders>
            <w:vMerge w:val="restart"/>
            <w:shd w:val="clear" w:color="auto" w:fill="001641"/>
          </w:tcPr>
          <w:p>
            <w:pPr>
              <w:jc w:val="center"/>
              <w:ind w:right="10"/>
              <w:spacing w:after="0" w:line="197" w:lineRule="exact"/>
              <w:rPr>
                <w:sz w:val="20"/>
                <w:szCs w:val="20"/>
                <w:color w:val="auto"/>
              </w:rPr>
            </w:pPr>
            <w:r>
              <w:rPr>
                <w:rFonts w:ascii="Arial" w:cs="Arial" w:eastAsia="Arial" w:hAnsi="Arial"/>
                <w:sz w:val="18"/>
                <w:szCs w:val="18"/>
                <w:b w:val="1"/>
                <w:bCs w:val="1"/>
                <w:color w:val="FFFFFF"/>
                <w:w w:val="99"/>
              </w:rPr>
              <w:t>Practices</w:t>
            </w:r>
          </w:p>
        </w:tc>
        <w:tc>
          <w:tcPr>
            <w:tcW w:w="100" w:type="dxa"/>
            <w:vAlign w:val="bottom"/>
            <w:tcBorders>
              <w:bottom w:val="single" w:sz="8" w:color="001641"/>
            </w:tcBorders>
            <w:shd w:val="clear" w:color="auto" w:fill="DDE2EE"/>
          </w:tcPr>
          <w:p>
            <w:pPr>
              <w:spacing w:after="0"/>
              <w:rPr>
                <w:sz w:val="12"/>
                <w:szCs w:val="12"/>
                <w:color w:val="auto"/>
              </w:rPr>
            </w:pPr>
          </w:p>
        </w:tc>
        <w:tc>
          <w:tcPr>
            <w:tcW w:w="460" w:type="dxa"/>
            <w:vAlign w:val="bottom"/>
            <w:tcBorders>
              <w:bottom w:val="single" w:sz="8" w:color="001641"/>
            </w:tcBorders>
            <w:shd w:val="clear" w:color="auto" w:fill="DDE2EE"/>
          </w:tcPr>
          <w:p>
            <w:pPr>
              <w:spacing w:after="0"/>
              <w:rPr>
                <w:sz w:val="12"/>
                <w:szCs w:val="12"/>
                <w:color w:val="auto"/>
              </w:rPr>
            </w:pPr>
          </w:p>
        </w:tc>
        <w:tc>
          <w:tcPr>
            <w:tcW w:w="6900" w:type="dxa"/>
            <w:vAlign w:val="bottom"/>
            <w:tcBorders>
              <w:bottom w:val="single" w:sz="8" w:color="001641"/>
              <w:right w:val="single" w:sz="8" w:color="001641"/>
            </w:tcBorders>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100" w:type="dxa"/>
            <w:vAlign w:val="bottom"/>
            <w:shd w:val="clear" w:color="auto" w:fill="001641"/>
          </w:tcPr>
          <w:p>
            <w:pPr>
              <w:spacing w:after="0"/>
              <w:rPr>
                <w:sz w:val="2"/>
                <w:szCs w:val="2"/>
                <w:color w:val="auto"/>
              </w:rPr>
            </w:pPr>
          </w:p>
        </w:tc>
        <w:tc>
          <w:tcPr>
            <w:tcW w:w="1620" w:type="dxa"/>
            <w:vAlign w:val="bottom"/>
            <w:vMerge w:val="continue"/>
            <w:shd w:val="clear" w:color="auto" w:fill="001641"/>
          </w:tcPr>
          <w:p>
            <w:pPr>
              <w:spacing w:after="0"/>
              <w:rPr>
                <w:sz w:val="2"/>
                <w:szCs w:val="2"/>
                <w:color w:val="auto"/>
              </w:rPr>
            </w:pPr>
          </w:p>
        </w:tc>
        <w:tc>
          <w:tcPr>
            <w:tcW w:w="100" w:type="dxa"/>
            <w:vAlign w:val="bottom"/>
            <w:shd w:val="clear" w:color="auto" w:fill="DDE2EE"/>
          </w:tcPr>
          <w:p>
            <w:pPr>
              <w:spacing w:after="0"/>
              <w:rPr>
                <w:sz w:val="2"/>
                <w:szCs w:val="2"/>
                <w:color w:val="auto"/>
              </w:rPr>
            </w:pPr>
          </w:p>
        </w:tc>
        <w:tc>
          <w:tcPr>
            <w:tcW w:w="460" w:type="dxa"/>
            <w:vAlign w:val="bottom"/>
            <w:shd w:val="clear" w:color="auto" w:fill="DDE2EE"/>
          </w:tcPr>
          <w:p>
            <w:pPr>
              <w:spacing w:after="0"/>
              <w:rPr>
                <w:sz w:val="2"/>
                <w:szCs w:val="2"/>
                <w:color w:val="auto"/>
              </w:rPr>
            </w:pPr>
          </w:p>
        </w:tc>
        <w:tc>
          <w:tcPr>
            <w:tcW w:w="6900" w:type="dxa"/>
            <w:vAlign w:val="bottom"/>
            <w:tcBorders>
              <w:right w:val="single" w:sz="8" w:color="001641"/>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00" w:type="dxa"/>
            <w:vAlign w:val="bottom"/>
            <w:shd w:val="clear" w:color="auto" w:fill="001641"/>
          </w:tcPr>
          <w:p>
            <w:pPr>
              <w:spacing w:after="0"/>
              <w:rPr>
                <w:sz w:val="21"/>
                <w:szCs w:val="21"/>
                <w:color w:val="auto"/>
              </w:rPr>
            </w:pPr>
          </w:p>
        </w:tc>
        <w:tc>
          <w:tcPr>
            <w:tcW w:w="1620" w:type="dxa"/>
            <w:vAlign w:val="bottom"/>
            <w:shd w:val="clear" w:color="auto" w:fill="001641"/>
          </w:tcPr>
          <w:p>
            <w:pPr>
              <w:ind w:left="120"/>
              <w:spacing w:after="0"/>
              <w:rPr>
                <w:sz w:val="20"/>
                <w:szCs w:val="20"/>
                <w:color w:val="auto"/>
              </w:rPr>
            </w:pPr>
            <w:r>
              <w:rPr>
                <w:rFonts w:ascii="Arial" w:cs="Arial" w:eastAsia="Arial" w:hAnsi="Arial"/>
                <w:sz w:val="18"/>
                <w:szCs w:val="18"/>
                <w:b w:val="1"/>
                <w:bCs w:val="1"/>
                <w:color w:val="FFFFFF"/>
              </w:rPr>
              <w:t>(What we don’t</w:t>
            </w:r>
          </w:p>
        </w:tc>
        <w:tc>
          <w:tcPr>
            <w:tcW w:w="100" w:type="dxa"/>
            <w:vAlign w:val="bottom"/>
            <w:shd w:val="clear" w:color="auto" w:fill="DDE2EE"/>
          </w:tcPr>
          <w:p>
            <w:pPr>
              <w:spacing w:after="0"/>
              <w:rPr>
                <w:sz w:val="21"/>
                <w:szCs w:val="21"/>
                <w:color w:val="auto"/>
              </w:rPr>
            </w:pPr>
          </w:p>
        </w:tc>
        <w:tc>
          <w:tcPr>
            <w:tcW w:w="460" w:type="dxa"/>
            <w:vAlign w:val="bottom"/>
            <w:shd w:val="clear" w:color="auto" w:fill="DDE2EE"/>
          </w:tcPr>
          <w:p>
            <w:pPr>
              <w:ind w:left="200"/>
              <w:spacing w:after="0"/>
              <w:rPr>
                <w:sz w:val="20"/>
                <w:szCs w:val="20"/>
                <w:color w:val="auto"/>
              </w:rPr>
            </w:pPr>
            <w:r>
              <w:rPr>
                <w:rFonts w:ascii="Arial" w:cs="Arial" w:eastAsia="Arial" w:hAnsi="Arial"/>
                <w:sz w:val="14"/>
                <w:szCs w:val="14"/>
                <w:b w:val="1"/>
                <w:bCs w:val="1"/>
                <w:color w:val="001641"/>
              </w:rPr>
              <w:t> </w:t>
            </w:r>
          </w:p>
        </w:tc>
        <w:tc>
          <w:tcPr>
            <w:tcW w:w="6900" w:type="dxa"/>
            <w:vAlign w:val="bottom"/>
            <w:tcBorders>
              <w:right w:val="single" w:sz="8" w:color="001641"/>
            </w:tcBorders>
          </w:tcPr>
          <w:p>
            <w:pPr>
              <w:ind w:left="120"/>
              <w:spacing w:after="0"/>
              <w:rPr>
                <w:sz w:val="20"/>
                <w:szCs w:val="20"/>
                <w:color w:val="auto"/>
              </w:rPr>
            </w:pPr>
            <w:r>
              <w:rPr>
                <w:rFonts w:ascii="Arial" w:cs="Arial" w:eastAsia="Arial" w:hAnsi="Arial"/>
                <w:sz w:val="14"/>
                <w:szCs w:val="14"/>
                <w:b w:val="1"/>
                <w:bCs w:val="1"/>
                <w:color w:val="001641"/>
              </w:rPr>
              <w:t xml:space="preserve">No Excise Tax Gross Ups: </w:t>
            </w:r>
            <w:r>
              <w:rPr>
                <w:rFonts w:ascii="Arial" w:cs="Arial" w:eastAsia="Arial" w:hAnsi="Arial"/>
                <w:sz w:val="14"/>
                <w:szCs w:val="14"/>
                <w:color w:val="001641"/>
              </w:rPr>
              <w:t>We do not provide any tax gross ups.</w:t>
            </w:r>
          </w:p>
        </w:tc>
        <w:tc>
          <w:tcPr>
            <w:tcW w:w="0" w:type="dxa"/>
            <w:vAlign w:val="bottom"/>
          </w:tcPr>
          <w:p>
            <w:pPr>
              <w:spacing w:after="0"/>
              <w:rPr>
                <w:sz w:val="1"/>
                <w:szCs w:val="1"/>
                <w:color w:val="auto"/>
              </w:rPr>
            </w:pPr>
          </w:p>
        </w:tc>
      </w:tr>
      <w:tr>
        <w:trPr>
          <w:trHeight w:val="203"/>
        </w:trPr>
        <w:tc>
          <w:tcPr>
            <w:tcW w:w="100" w:type="dxa"/>
            <w:vAlign w:val="bottom"/>
            <w:tcBorders>
              <w:bottom w:val="single" w:sz="8" w:color="001641"/>
            </w:tcBorders>
            <w:shd w:val="clear" w:color="auto" w:fill="001641"/>
          </w:tcPr>
          <w:p>
            <w:pPr>
              <w:spacing w:after="0"/>
              <w:rPr>
                <w:sz w:val="17"/>
                <w:szCs w:val="17"/>
                <w:color w:val="auto"/>
              </w:rPr>
            </w:pPr>
          </w:p>
        </w:tc>
        <w:tc>
          <w:tcPr>
            <w:tcW w:w="1620" w:type="dxa"/>
            <w:vAlign w:val="bottom"/>
            <w:tcBorders>
              <w:bottom w:val="single" w:sz="8" w:color="001641"/>
            </w:tcBorders>
            <w:shd w:val="clear" w:color="auto" w:fill="001641"/>
          </w:tcPr>
          <w:p>
            <w:pPr>
              <w:jc w:val="center"/>
              <w:ind w:right="10"/>
              <w:spacing w:after="0" w:line="202" w:lineRule="exact"/>
              <w:rPr>
                <w:sz w:val="20"/>
                <w:szCs w:val="20"/>
                <w:color w:val="auto"/>
              </w:rPr>
            </w:pPr>
            <w:r>
              <w:rPr>
                <w:rFonts w:ascii="Arial" w:cs="Arial" w:eastAsia="Arial" w:hAnsi="Arial"/>
                <w:sz w:val="18"/>
                <w:szCs w:val="18"/>
                <w:b w:val="1"/>
                <w:bCs w:val="1"/>
                <w:color w:val="FFFFFF"/>
                <w:w w:val="99"/>
              </w:rPr>
              <w:t>do)</w:t>
            </w:r>
          </w:p>
        </w:tc>
        <w:tc>
          <w:tcPr>
            <w:tcW w:w="100" w:type="dxa"/>
            <w:vAlign w:val="bottom"/>
            <w:tcBorders>
              <w:bottom w:val="single" w:sz="8" w:color="001641"/>
            </w:tcBorders>
            <w:shd w:val="clear" w:color="auto" w:fill="DDE2EE"/>
          </w:tcPr>
          <w:p>
            <w:pPr>
              <w:spacing w:after="0"/>
              <w:rPr>
                <w:sz w:val="17"/>
                <w:szCs w:val="17"/>
                <w:color w:val="auto"/>
              </w:rPr>
            </w:pPr>
          </w:p>
        </w:tc>
        <w:tc>
          <w:tcPr>
            <w:tcW w:w="460" w:type="dxa"/>
            <w:vAlign w:val="bottom"/>
            <w:tcBorders>
              <w:bottom w:val="single" w:sz="8" w:color="001641"/>
            </w:tcBorders>
            <w:shd w:val="clear" w:color="auto" w:fill="DDE2EE"/>
          </w:tcPr>
          <w:p>
            <w:pPr>
              <w:spacing w:after="0"/>
              <w:rPr>
                <w:sz w:val="17"/>
                <w:szCs w:val="17"/>
                <w:color w:val="auto"/>
              </w:rPr>
            </w:pPr>
          </w:p>
        </w:tc>
        <w:tc>
          <w:tcPr>
            <w:tcW w:w="6900" w:type="dxa"/>
            <w:vAlign w:val="bottom"/>
            <w:tcBorders>
              <w:bottom w:val="single" w:sz="8" w:color="001641"/>
              <w:right w:val="single" w:sz="8" w:color="001641"/>
            </w:tcBorders>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100" w:type="dxa"/>
            <w:vAlign w:val="bottom"/>
            <w:tcBorders>
              <w:bottom w:val="single" w:sz="8" w:color="001641"/>
            </w:tcBorders>
            <w:shd w:val="clear" w:color="auto" w:fill="001641"/>
          </w:tcPr>
          <w:p>
            <w:pPr>
              <w:spacing w:after="0"/>
              <w:rPr>
                <w:sz w:val="24"/>
                <w:szCs w:val="24"/>
                <w:color w:val="auto"/>
              </w:rPr>
            </w:pPr>
          </w:p>
        </w:tc>
        <w:tc>
          <w:tcPr>
            <w:tcW w:w="1620" w:type="dxa"/>
            <w:vAlign w:val="bottom"/>
            <w:tcBorders>
              <w:bottom w:val="single" w:sz="8" w:color="001641"/>
            </w:tcBorders>
            <w:shd w:val="clear" w:color="auto" w:fill="001641"/>
          </w:tcPr>
          <w:p>
            <w:pPr>
              <w:spacing w:after="0"/>
              <w:rPr>
                <w:sz w:val="24"/>
                <w:szCs w:val="24"/>
                <w:color w:val="auto"/>
              </w:rPr>
            </w:pPr>
          </w:p>
        </w:tc>
        <w:tc>
          <w:tcPr>
            <w:tcW w:w="100" w:type="dxa"/>
            <w:vAlign w:val="bottom"/>
            <w:tcBorders>
              <w:bottom w:val="single" w:sz="8" w:color="DDE2EE"/>
            </w:tcBorders>
            <w:shd w:val="clear" w:color="auto" w:fill="DDE2EE"/>
          </w:tcPr>
          <w:p>
            <w:pPr>
              <w:spacing w:after="0"/>
              <w:rPr>
                <w:sz w:val="24"/>
                <w:szCs w:val="24"/>
                <w:color w:val="auto"/>
              </w:rPr>
            </w:pPr>
          </w:p>
        </w:tc>
        <w:tc>
          <w:tcPr>
            <w:tcW w:w="460" w:type="dxa"/>
            <w:vAlign w:val="bottom"/>
            <w:tcBorders>
              <w:bottom w:val="single" w:sz="8" w:color="DDE2EE"/>
            </w:tcBorders>
            <w:shd w:val="clear" w:color="auto" w:fill="DDE2EE"/>
          </w:tcPr>
          <w:p>
            <w:pPr>
              <w:ind w:left="200"/>
              <w:spacing w:after="0"/>
              <w:rPr>
                <w:sz w:val="20"/>
                <w:szCs w:val="20"/>
                <w:color w:val="auto"/>
              </w:rPr>
            </w:pPr>
            <w:r>
              <w:rPr>
                <w:rFonts w:ascii="Arial" w:cs="Arial" w:eastAsia="Arial" w:hAnsi="Arial"/>
                <w:sz w:val="14"/>
                <w:szCs w:val="14"/>
                <w:b w:val="1"/>
                <w:bCs w:val="1"/>
                <w:color w:val="001641"/>
              </w:rPr>
              <w:t> </w:t>
            </w:r>
          </w:p>
        </w:tc>
        <w:tc>
          <w:tcPr>
            <w:tcW w:w="6900" w:type="dxa"/>
            <w:vAlign w:val="bottom"/>
            <w:tcBorders>
              <w:right w:val="single" w:sz="8" w:color="001641"/>
            </w:tcBorders>
          </w:tcPr>
          <w:p>
            <w:pPr>
              <w:ind w:left="120"/>
              <w:spacing w:after="0"/>
              <w:rPr>
                <w:sz w:val="20"/>
                <w:szCs w:val="20"/>
                <w:color w:val="auto"/>
              </w:rPr>
            </w:pPr>
            <w:r>
              <w:rPr>
                <w:rFonts w:ascii="Arial" w:cs="Arial" w:eastAsia="Arial" w:hAnsi="Arial"/>
                <w:sz w:val="14"/>
                <w:szCs w:val="14"/>
                <w:b w:val="1"/>
                <w:bCs w:val="1"/>
                <w:color w:val="001641"/>
              </w:rPr>
              <w:t xml:space="preserve">No Discount Grants: </w:t>
            </w:r>
            <w:r>
              <w:rPr>
                <w:rFonts w:ascii="Arial" w:cs="Arial" w:eastAsia="Arial" w:hAnsi="Arial"/>
                <w:sz w:val="14"/>
                <w:szCs w:val="14"/>
                <w:color w:val="001641"/>
              </w:rPr>
              <w:t>We do not grant any equity below fair market value.</w:t>
            </w:r>
          </w:p>
        </w:tc>
        <w:tc>
          <w:tcPr>
            <w:tcW w:w="0" w:type="dxa"/>
            <w:vAlign w:val="bottom"/>
          </w:tcPr>
          <w:p>
            <w:pPr>
              <w:spacing w:after="0"/>
              <w:rPr>
                <w:sz w:val="1"/>
                <w:szCs w:val="1"/>
                <w:color w:val="auto"/>
              </w:rPr>
            </w:pPr>
          </w:p>
        </w:tc>
      </w:tr>
      <w:tr>
        <w:trPr>
          <w:trHeight w:val="20"/>
        </w:trPr>
        <w:tc>
          <w:tcPr>
            <w:tcW w:w="100" w:type="dxa"/>
            <w:vAlign w:val="bottom"/>
            <w:shd w:val="clear" w:color="auto" w:fill="001641"/>
          </w:tcPr>
          <w:p>
            <w:pPr>
              <w:spacing w:after="0" w:line="20" w:lineRule="exact"/>
              <w:rPr>
                <w:sz w:val="1"/>
                <w:szCs w:val="1"/>
                <w:color w:val="auto"/>
              </w:rPr>
            </w:pPr>
          </w:p>
        </w:tc>
        <w:tc>
          <w:tcPr>
            <w:tcW w:w="1620" w:type="dxa"/>
            <w:vAlign w:val="bottom"/>
            <w:shd w:val="clear" w:color="auto" w:fill="001641"/>
          </w:tcPr>
          <w:p>
            <w:pPr>
              <w:spacing w:after="0" w:line="20" w:lineRule="exact"/>
              <w:rPr>
                <w:sz w:val="1"/>
                <w:szCs w:val="1"/>
                <w:color w:val="auto"/>
              </w:rPr>
            </w:pPr>
          </w:p>
        </w:tc>
        <w:tc>
          <w:tcPr>
            <w:tcW w:w="100" w:type="dxa"/>
            <w:vAlign w:val="bottom"/>
            <w:shd w:val="clear" w:color="auto" w:fill="001641"/>
          </w:tcPr>
          <w:p>
            <w:pPr>
              <w:spacing w:after="0" w:line="20" w:lineRule="exact"/>
              <w:rPr>
                <w:sz w:val="1"/>
                <w:szCs w:val="1"/>
                <w:color w:val="auto"/>
              </w:rPr>
            </w:pPr>
          </w:p>
        </w:tc>
        <w:tc>
          <w:tcPr>
            <w:tcW w:w="460" w:type="dxa"/>
            <w:vAlign w:val="bottom"/>
            <w:shd w:val="clear" w:color="auto" w:fill="001641"/>
          </w:tcPr>
          <w:p>
            <w:pPr>
              <w:spacing w:after="0" w:line="20" w:lineRule="exact"/>
              <w:rPr>
                <w:sz w:val="1"/>
                <w:szCs w:val="1"/>
                <w:color w:val="auto"/>
              </w:rPr>
            </w:pPr>
          </w:p>
        </w:tc>
        <w:tc>
          <w:tcPr>
            <w:tcW w:w="6900" w:type="dxa"/>
            <w:vAlign w:val="bottom"/>
            <w:tcBorders>
              <w:right w:val="single" w:sz="8" w:color="001641"/>
            </w:tcBorders>
            <w:shd w:val="clear" w:color="auto" w:fill="00164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-1193165</wp:posOffset>
            </wp:positionV>
            <wp:extent cx="93980" cy="946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-858520</wp:posOffset>
            </wp:positionV>
            <wp:extent cx="93980" cy="9398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-524510</wp:posOffset>
            </wp:positionV>
            <wp:extent cx="93980" cy="946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-207010</wp:posOffset>
            </wp:positionV>
            <wp:extent cx="93980" cy="946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93980" cy="9461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STOCKHOLDER FEEDBACK AND THE TALENT COMMITTEE RESPONSE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SAY ON PAY ADVISORY VOTE</w:t>
      </w:r>
    </w:p>
    <w:p>
      <w:pPr>
        <w:spacing w:after="0" w:line="162"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In making executive compensation decisions during Fiscal 2026, the Talent Committee considered the results of the non-binding, advisory proposal on our executive compensation philosophy, policies, and practices (“Say on Pay”) as set forth in our 2025 Proxy Statement. At our 2025 Annual Meeting of Stockholders, we received 99% stockholder support for our executive compensation program and, based on our review of results and discussions with certain stockholders, believe we had support from nine of our top 10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66</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77" w:name="page78"/>
    <w:bookmarkEnd w:id="7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STOCKHOLDER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5829300" cy="20656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82930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  </w:t>
      </w:r>
    </w:p>
    <w:p>
      <w:pPr>
        <w:spacing w:after="0" w:line="167" w:lineRule="exact"/>
        <w:rPr>
          <w:sz w:val="20"/>
          <w:szCs w:val="20"/>
          <w:color w:val="auto"/>
        </w:rPr>
      </w:pPr>
    </w:p>
    <w:p>
      <w:pPr>
        <w:ind w:left="6" w:right="140"/>
        <w:spacing w:after="0" w:line="259" w:lineRule="auto"/>
        <w:rPr>
          <w:sz w:val="20"/>
          <w:szCs w:val="20"/>
          <w:color w:val="auto"/>
        </w:rPr>
      </w:pPr>
      <w:r>
        <w:rPr>
          <w:rFonts w:ascii="Arial" w:cs="Arial" w:eastAsia="Arial" w:hAnsi="Arial"/>
          <w:sz w:val="16"/>
          <w:szCs w:val="16"/>
          <w:color w:val="auto"/>
        </w:rPr>
        <w:t>In Fiscal 2026, subsequent to the 2025 Annual Meeting of Stockholders, and consistent with our cadence since 2017, we met with eight of our larger stockholders, representing approximately 17% of Class A shares outstanding, to discuss our compensation and governance practices. Our Lead Independent Director attended select calls. The focus of these investor-led calls was to:</w:t>
      </w:r>
    </w:p>
    <w:p>
      <w:pPr>
        <w:spacing w:after="0" w:line="124" w:lineRule="exact"/>
        <w:rPr>
          <w:sz w:val="20"/>
          <w:szCs w:val="20"/>
          <w:color w:val="auto"/>
        </w:rPr>
      </w:pPr>
    </w:p>
    <w:p>
      <w:pPr>
        <w:ind w:left="166" w:right="460" w:hanging="166"/>
        <w:spacing w:after="0" w:line="286" w:lineRule="auto"/>
        <w:tabs>
          <w:tab w:leader="none" w:pos="166"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001641"/>
        </w:rPr>
        <w:t xml:space="preserve">Share our Employee Value Proposition </w:t>
      </w:r>
      <w:r>
        <w:rPr>
          <w:rFonts w:ascii="Arial" w:cs="Arial" w:eastAsia="Arial" w:hAnsi="Arial"/>
          <w:sz w:val="16"/>
          <w:szCs w:val="16"/>
          <w:color w:val="000000"/>
        </w:rPr>
        <w:t>– The ability to recruit, grow and retain our teams is critical to the success of our</w:t>
      </w:r>
      <w:r>
        <w:rPr>
          <w:rFonts w:ascii="Arial" w:cs="Arial" w:eastAsia="Arial" w:hAnsi="Arial"/>
          <w:sz w:val="16"/>
          <w:szCs w:val="16"/>
          <w:i w:val="1"/>
          <w:iCs w:val="1"/>
          <w:color w:val="001641"/>
        </w:rPr>
        <w:t xml:space="preserve"> </w:t>
      </w:r>
      <w:r>
        <w:rPr>
          <w:rFonts w:ascii="Arial" w:cs="Arial" w:eastAsia="Arial" w:hAnsi="Arial"/>
          <w:sz w:val="16"/>
          <w:szCs w:val="16"/>
          <w:color w:val="000000"/>
        </w:rPr>
        <w:t>Company. Recent accomplishments to position ourselves as a company of choice and best place to work include:</w:t>
      </w:r>
    </w:p>
    <w:p>
      <w:pPr>
        <w:spacing w:after="0" w:line="101" w:lineRule="exact"/>
        <w:rPr>
          <w:rFonts w:ascii="Arial" w:cs="Arial" w:eastAsia="Arial" w:hAnsi="Arial"/>
          <w:sz w:val="16"/>
          <w:szCs w:val="16"/>
          <w:color w:val="auto"/>
        </w:rPr>
      </w:pPr>
    </w:p>
    <w:p>
      <w:pPr>
        <w:ind w:left="346" w:right="120" w:hanging="184"/>
        <w:spacing w:after="0" w:line="286" w:lineRule="auto"/>
        <w:tabs>
          <w:tab w:leader="none" w:pos="346" w:val="left"/>
        </w:tabs>
        <w:numPr>
          <w:ilvl w:val="1"/>
          <w:numId w:val="54"/>
        </w:numPr>
        <w:rPr>
          <w:rFonts w:ascii="Arial" w:cs="Arial" w:eastAsia="Arial" w:hAnsi="Arial"/>
          <w:sz w:val="16"/>
          <w:szCs w:val="16"/>
          <w:color w:val="auto"/>
        </w:rPr>
      </w:pPr>
      <w:r>
        <w:rPr>
          <w:rFonts w:ascii="Arial" w:cs="Arial" w:eastAsia="Arial" w:hAnsi="Arial"/>
          <w:sz w:val="16"/>
          <w:szCs w:val="16"/>
          <w:color w:val="auto"/>
        </w:rPr>
        <w:t>Scoring above the high performing retail norm in employee enablement, including a sense of belonging and feeling valued as an employee of the Company.</w:t>
      </w:r>
    </w:p>
    <w:p>
      <w:pPr>
        <w:spacing w:after="0" w:line="101" w:lineRule="exact"/>
        <w:rPr>
          <w:rFonts w:ascii="Arial" w:cs="Arial" w:eastAsia="Arial" w:hAnsi="Arial"/>
          <w:sz w:val="16"/>
          <w:szCs w:val="16"/>
          <w:color w:val="auto"/>
        </w:rPr>
      </w:pPr>
    </w:p>
    <w:p>
      <w:pPr>
        <w:ind w:left="346" w:right="200" w:hanging="184"/>
        <w:spacing w:after="0" w:line="286" w:lineRule="auto"/>
        <w:tabs>
          <w:tab w:leader="none" w:pos="346" w:val="left"/>
        </w:tabs>
        <w:numPr>
          <w:ilvl w:val="1"/>
          <w:numId w:val="54"/>
        </w:numPr>
        <w:rPr>
          <w:rFonts w:ascii="Arial" w:cs="Arial" w:eastAsia="Arial" w:hAnsi="Arial"/>
          <w:sz w:val="16"/>
          <w:szCs w:val="16"/>
          <w:color w:val="auto"/>
        </w:rPr>
      </w:pPr>
      <w:r>
        <w:rPr>
          <w:rFonts w:ascii="Arial" w:cs="Arial" w:eastAsia="Arial" w:hAnsi="Arial"/>
          <w:sz w:val="16"/>
          <w:szCs w:val="16"/>
          <w:color w:val="auto"/>
        </w:rPr>
        <w:t>We are working toward achieving 100% pay equity by early Fiscal 2027 globally, a year earlier than planned, by ensuring hires and pay changes are equitable.</w:t>
      </w:r>
    </w:p>
    <w:p>
      <w:pPr>
        <w:spacing w:after="0" w:line="101" w:lineRule="exact"/>
        <w:rPr>
          <w:rFonts w:ascii="Arial" w:cs="Arial" w:eastAsia="Arial" w:hAnsi="Arial"/>
          <w:sz w:val="16"/>
          <w:szCs w:val="16"/>
          <w:color w:val="auto"/>
        </w:rPr>
      </w:pPr>
    </w:p>
    <w:p>
      <w:pPr>
        <w:ind w:left="346" w:hanging="184"/>
        <w:spacing w:after="0"/>
        <w:tabs>
          <w:tab w:leader="none" w:pos="346" w:val="left"/>
        </w:tabs>
        <w:numPr>
          <w:ilvl w:val="1"/>
          <w:numId w:val="54"/>
        </w:numPr>
        <w:rPr>
          <w:rFonts w:ascii="Arial" w:cs="Arial" w:eastAsia="Arial" w:hAnsi="Arial"/>
          <w:sz w:val="16"/>
          <w:szCs w:val="16"/>
          <w:color w:val="auto"/>
        </w:rPr>
      </w:pPr>
      <w:r>
        <w:rPr>
          <w:rFonts w:ascii="Arial" w:cs="Arial" w:eastAsia="Arial" w:hAnsi="Arial"/>
          <w:sz w:val="16"/>
          <w:szCs w:val="16"/>
          <w:color w:val="auto"/>
        </w:rPr>
        <w:t>Receiving numerous awards over the past four years, including Fiscal 2026, as a best place to work.</w:t>
      </w:r>
    </w:p>
    <w:p>
      <w:pPr>
        <w:spacing w:after="0" w:line="128" w:lineRule="exact"/>
        <w:rPr>
          <w:rFonts w:ascii="Arial" w:cs="Arial" w:eastAsia="Arial" w:hAnsi="Arial"/>
          <w:sz w:val="16"/>
          <w:szCs w:val="16"/>
          <w:color w:val="auto"/>
        </w:rPr>
      </w:pPr>
    </w:p>
    <w:p>
      <w:pPr>
        <w:ind w:left="166" w:hanging="166"/>
        <w:spacing w:after="0"/>
        <w:tabs>
          <w:tab w:leader="none" w:pos="166"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001641"/>
        </w:rPr>
        <w:t>Review our compensation programs</w:t>
      </w:r>
    </w:p>
    <w:p>
      <w:pPr>
        <w:spacing w:after="0" w:line="165" w:lineRule="exact"/>
        <w:rPr>
          <w:rFonts w:ascii="Arial" w:cs="Arial" w:eastAsia="Arial" w:hAnsi="Arial"/>
          <w:sz w:val="16"/>
          <w:szCs w:val="16"/>
          <w:color w:val="auto"/>
        </w:rPr>
      </w:pPr>
    </w:p>
    <w:p>
      <w:pPr>
        <w:ind w:left="346" w:right="160" w:hanging="184"/>
        <w:spacing w:after="0" w:line="266" w:lineRule="auto"/>
        <w:tabs>
          <w:tab w:leader="none" w:pos="346" w:val="left"/>
        </w:tabs>
        <w:numPr>
          <w:ilvl w:val="1"/>
          <w:numId w:val="54"/>
        </w:numPr>
        <w:rPr>
          <w:rFonts w:ascii="Arial" w:cs="Arial" w:eastAsia="Arial" w:hAnsi="Arial"/>
          <w:sz w:val="16"/>
          <w:szCs w:val="16"/>
          <w:color w:val="auto"/>
        </w:rPr>
      </w:pPr>
      <w:r>
        <w:rPr>
          <w:rFonts w:ascii="Arial" w:cs="Arial" w:eastAsia="Arial" w:hAnsi="Arial"/>
          <w:sz w:val="16"/>
          <w:szCs w:val="16"/>
          <w:color w:val="auto"/>
        </w:rPr>
        <w:t>Based on the positive feedback received from our stockholders in Fiscal 2025 and aligned with our strategic priorities and following review and discussion with management and our independent consultants, the Talent Committee continued to utilize key financial measures in our short- and long-term incentive compensation plans for Fiscal 2026.</w:t>
      </w:r>
    </w:p>
    <w:p>
      <w:pPr>
        <w:spacing w:after="0" w:line="117" w:lineRule="exact"/>
        <w:rPr>
          <w:rFonts w:ascii="Arial" w:cs="Arial" w:eastAsia="Arial" w:hAnsi="Arial"/>
          <w:sz w:val="16"/>
          <w:szCs w:val="16"/>
          <w:color w:val="auto"/>
        </w:rPr>
      </w:pPr>
    </w:p>
    <w:p>
      <w:pPr>
        <w:ind w:left="346" w:right="160" w:hanging="184"/>
        <w:spacing w:after="0" w:line="286" w:lineRule="auto"/>
        <w:tabs>
          <w:tab w:leader="none" w:pos="346" w:val="left"/>
        </w:tabs>
        <w:numPr>
          <w:ilvl w:val="1"/>
          <w:numId w:val="54"/>
        </w:numPr>
        <w:rPr>
          <w:rFonts w:ascii="Arial" w:cs="Arial" w:eastAsia="Arial" w:hAnsi="Arial"/>
          <w:sz w:val="16"/>
          <w:szCs w:val="16"/>
          <w:color w:val="auto"/>
        </w:rPr>
      </w:pPr>
      <w:r>
        <w:rPr>
          <w:rFonts w:ascii="Arial" w:cs="Arial" w:eastAsia="Arial" w:hAnsi="Arial"/>
          <w:sz w:val="16"/>
          <w:szCs w:val="16"/>
          <w:color w:val="auto"/>
        </w:rPr>
        <w:t>We maintained Adjusted SG&amp;A Expense metric to enhance our focus on operational excellence and our Strategic Growth Accelerators Revenue metric to spotlight high potential growth areas.</w:t>
      </w:r>
    </w:p>
    <w:p>
      <w:pPr>
        <w:spacing w:after="0" w:line="101" w:lineRule="exact"/>
        <w:rPr>
          <w:rFonts w:ascii="Arial" w:cs="Arial" w:eastAsia="Arial" w:hAnsi="Arial"/>
          <w:sz w:val="16"/>
          <w:szCs w:val="16"/>
          <w:color w:val="auto"/>
        </w:rPr>
      </w:pPr>
    </w:p>
    <w:p>
      <w:pPr>
        <w:ind w:left="346" w:right="200" w:hanging="184"/>
        <w:spacing w:after="0" w:line="286" w:lineRule="auto"/>
        <w:tabs>
          <w:tab w:leader="none" w:pos="346" w:val="left"/>
        </w:tabs>
        <w:numPr>
          <w:ilvl w:val="1"/>
          <w:numId w:val="54"/>
        </w:numPr>
        <w:rPr>
          <w:rFonts w:ascii="Arial" w:cs="Arial" w:eastAsia="Arial" w:hAnsi="Arial"/>
          <w:sz w:val="16"/>
          <w:szCs w:val="16"/>
          <w:color w:val="auto"/>
        </w:rPr>
      </w:pPr>
      <w:r>
        <w:rPr>
          <w:rFonts w:ascii="Arial" w:cs="Arial" w:eastAsia="Arial" w:hAnsi="Arial"/>
          <w:sz w:val="16"/>
          <w:szCs w:val="16"/>
          <w:color w:val="auto"/>
        </w:rPr>
        <w:t>Artificial Intelligence (AI) metrics replaced citizenship and sustainability metrics as our strategic goal modifier in the short-term incentive plan with KPIs tied to critical business priorities that focus our executives on AI literacy and enablement.</w:t>
      </w:r>
    </w:p>
    <w:p>
      <w:pPr>
        <w:spacing w:after="0" w:line="101" w:lineRule="exact"/>
        <w:rPr>
          <w:rFonts w:ascii="Arial" w:cs="Arial" w:eastAsia="Arial" w:hAnsi="Arial"/>
          <w:sz w:val="16"/>
          <w:szCs w:val="16"/>
          <w:color w:val="auto"/>
        </w:rPr>
      </w:pPr>
    </w:p>
    <w:p>
      <w:pPr>
        <w:ind w:left="346" w:right="140" w:hanging="184"/>
        <w:spacing w:after="0" w:line="256" w:lineRule="auto"/>
        <w:tabs>
          <w:tab w:leader="none" w:pos="346" w:val="left"/>
        </w:tabs>
        <w:numPr>
          <w:ilvl w:val="1"/>
          <w:numId w:val="54"/>
        </w:numPr>
        <w:rPr>
          <w:rFonts w:ascii="Arial" w:cs="Arial" w:eastAsia="Arial" w:hAnsi="Arial"/>
          <w:sz w:val="16"/>
          <w:szCs w:val="16"/>
          <w:color w:val="auto"/>
        </w:rPr>
      </w:pPr>
      <w:r>
        <w:rPr>
          <w:rFonts w:ascii="Arial" w:cs="Arial" w:eastAsia="Arial" w:hAnsi="Arial"/>
          <w:sz w:val="16"/>
          <w:szCs w:val="16"/>
          <w:color w:val="auto"/>
        </w:rPr>
        <w:t>We continued to utilize three-year Adjusted ROIC as a performance measure in our long-term equity-based incentive plan to provide a clear link to value creation for our stockholders over time, reward management for successful decisions on capital allocation and investments and differentiate measures in bonus and equity plans to prevent overlap and we maintained three-year relative TSR compared to our PSU Comparator Group. These financial metrics were selected with the purpose of driving sustainable long-term growth and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58293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260350</wp:posOffset>
            </wp:positionV>
            <wp:extent cx="128905" cy="11112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9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78" w:name="page79"/>
    <w:bookmarkEnd w:id="7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4" w:lineRule="exact"/>
        <w:rPr>
          <w:sz w:val="20"/>
          <w:szCs w:val="20"/>
          <w:color w:val="auto"/>
        </w:rPr>
      </w:pPr>
    </w:p>
    <w:p>
      <w:pPr>
        <w:ind w:left="166" w:hanging="166"/>
        <w:spacing w:after="0"/>
        <w:tabs>
          <w:tab w:leader="none" w:pos="166"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001641"/>
        </w:rPr>
        <w:t>Discuss our Capital Structure and Board evolution</w:t>
      </w:r>
    </w:p>
    <w:p>
      <w:pPr>
        <w:spacing w:after="0" w:line="165" w:lineRule="exact"/>
        <w:rPr>
          <w:rFonts w:ascii="Arial" w:cs="Arial" w:eastAsia="Arial" w:hAnsi="Arial"/>
          <w:sz w:val="16"/>
          <w:szCs w:val="16"/>
          <w:color w:val="auto"/>
        </w:rPr>
      </w:pPr>
    </w:p>
    <w:p>
      <w:pPr>
        <w:ind w:left="346" w:hanging="184"/>
        <w:spacing w:after="0" w:line="249" w:lineRule="auto"/>
        <w:tabs>
          <w:tab w:leader="none" w:pos="346" w:val="left"/>
        </w:tabs>
        <w:numPr>
          <w:ilvl w:val="1"/>
          <w:numId w:val="55"/>
        </w:numPr>
        <w:rPr>
          <w:rFonts w:ascii="Arial" w:cs="Arial" w:eastAsia="Arial" w:hAnsi="Arial"/>
          <w:sz w:val="16"/>
          <w:szCs w:val="16"/>
          <w:color w:val="auto"/>
        </w:rPr>
      </w:pPr>
      <w:r>
        <w:rPr>
          <w:rFonts w:ascii="Arial" w:cs="Arial" w:eastAsia="Arial" w:hAnsi="Arial"/>
          <w:sz w:val="16"/>
          <w:szCs w:val="16"/>
          <w:color w:val="auto"/>
        </w:rPr>
        <w:t>We have a dual-class capital structure, which we believe continues to be in the best interests of the Company. Our independent directors and Nominating Committee review our corporate governance, including our dual-class structure, annually so as to align with stockholder interests. Our Nominating Committee also discusses their review of our dual-class structure with Mr. R. Lauren, as Chairman of the Board, and relayed stockholder views on this structure and Mr. R. Lauren’s and the Company’s performance. We believe our stockholders benefit from the Company’s track record of success under the current structure, Mr. R. Lauren’s ongoing stewardship and loyalty to the Company, and the stability he provides, especially in times of macroeconomic volatility. As Executive Chairman and Chief Creative Officer, a role in which he remains a hands-on and active participant, Mr. R. Lauren’s design, development, and aesthetic continue to be the guiding vision and strategy for the Company. In addition, Mr. R. Lauren continues to maintain a strong economic tie to the Company, including through his and his family’s holdings of Class A and B Common Stock, which represent an approximate 37% economic interest in the Company, evidencing his alignment with stockholder interests and comparable economic and voting power in the Company. We have also reviewed the anticipated cost of unwinding the dual-class structure based on similar precedent transactions and believe those costs would be detrimental to the Company and its stockholders.</w:t>
      </w:r>
    </w:p>
    <w:p>
      <w:pPr>
        <w:spacing w:after="0" w:line="326" w:lineRule="exact"/>
        <w:rPr>
          <w:sz w:val="20"/>
          <w:szCs w:val="20"/>
          <w:color w:val="auto"/>
        </w:rPr>
      </w:pPr>
    </w:p>
    <w:p>
      <w:pPr>
        <w:ind w:left="346" w:right="240" w:hanging="184"/>
        <w:spacing w:after="0" w:line="256" w:lineRule="auto"/>
        <w:tabs>
          <w:tab w:leader="none" w:pos="346" w:val="left"/>
        </w:tabs>
        <w:numPr>
          <w:ilvl w:val="1"/>
          <w:numId w:val="56"/>
        </w:numPr>
        <w:rPr>
          <w:rFonts w:ascii="Arial" w:cs="Arial" w:eastAsia="Arial" w:hAnsi="Arial"/>
          <w:sz w:val="16"/>
          <w:szCs w:val="16"/>
          <w:color w:val="auto"/>
        </w:rPr>
      </w:pPr>
      <w:r>
        <w:rPr>
          <w:rFonts w:ascii="Arial" w:cs="Arial" w:eastAsia="Arial" w:hAnsi="Arial"/>
          <w:sz w:val="16"/>
          <w:szCs w:val="16"/>
          <w:color w:val="auto"/>
        </w:rPr>
        <w:t>We have an ongoing focus on Board evolution in recent years and believe that, to date, we have built a highly effective Board with a very strong and varied skill set and experience across retail, e-commerce and DTC, finance and capital allocation matters, sustainability and societal matters, data protection and cybersecurity, media and technology, and Chinese market expertise, among others to provide effective oversight of the Company and create long-term sustainable growth through successful execution of our Strategic Plan.</w:t>
      </w:r>
    </w:p>
    <w:p>
      <w:pPr>
        <w:spacing w:after="0" w:line="125" w:lineRule="exact"/>
        <w:rPr>
          <w:rFonts w:ascii="Arial" w:cs="Arial" w:eastAsia="Arial" w:hAnsi="Arial"/>
          <w:sz w:val="16"/>
          <w:szCs w:val="16"/>
          <w:color w:val="auto"/>
        </w:rPr>
      </w:pPr>
    </w:p>
    <w:p>
      <w:pPr>
        <w:jc w:val="both"/>
        <w:ind w:left="346" w:right="220" w:hanging="184"/>
        <w:spacing w:after="0" w:line="266" w:lineRule="auto"/>
        <w:tabs>
          <w:tab w:leader="none" w:pos="346" w:val="left"/>
        </w:tabs>
        <w:numPr>
          <w:ilvl w:val="1"/>
          <w:numId w:val="56"/>
        </w:numPr>
        <w:rPr>
          <w:rFonts w:ascii="Arial" w:cs="Arial" w:eastAsia="Arial" w:hAnsi="Arial"/>
          <w:sz w:val="16"/>
          <w:szCs w:val="16"/>
          <w:color w:val="auto"/>
        </w:rPr>
      </w:pPr>
      <w:r>
        <w:rPr>
          <w:rFonts w:ascii="Arial" w:cs="Arial" w:eastAsia="Arial" w:hAnsi="Arial"/>
          <w:sz w:val="16"/>
          <w:szCs w:val="16"/>
          <w:color w:val="auto"/>
        </w:rPr>
        <w:t>We also have built a Board with a broadened diversity of backgrounds, skills and experiences, a lower average tenure of approximately 9.4 years, a decreased average age, and with the majority of our independent director nominees under 65 years of age.</w:t>
      </w:r>
    </w:p>
    <w:p>
      <w:pPr>
        <w:spacing w:after="0" w:line="78" w:lineRule="exact"/>
        <w:rPr>
          <w:rFonts w:ascii="Arial" w:cs="Arial" w:eastAsia="Arial" w:hAnsi="Arial"/>
          <w:sz w:val="16"/>
          <w:szCs w:val="16"/>
          <w:color w:val="auto"/>
        </w:rPr>
      </w:pPr>
    </w:p>
    <w:p>
      <w:pPr>
        <w:ind w:left="166" w:hanging="166"/>
        <w:spacing w:after="0"/>
        <w:tabs>
          <w:tab w:leader="none" w:pos="166"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001641"/>
        </w:rPr>
        <w:t>Highlight our citizenship and sustainability efforts</w:t>
      </w:r>
    </w:p>
    <w:p>
      <w:pPr>
        <w:spacing w:after="0" w:line="165" w:lineRule="exact"/>
        <w:rPr>
          <w:rFonts w:ascii="Arial" w:cs="Arial" w:eastAsia="Arial" w:hAnsi="Arial"/>
          <w:sz w:val="16"/>
          <w:szCs w:val="16"/>
          <w:color w:val="auto"/>
        </w:rPr>
      </w:pPr>
    </w:p>
    <w:p>
      <w:pPr>
        <w:ind w:left="346" w:right="180" w:hanging="184"/>
        <w:spacing w:after="0" w:line="286" w:lineRule="auto"/>
        <w:tabs>
          <w:tab w:leader="none" w:pos="346"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We continue to make strong progress in our </w:t>
      </w:r>
      <w:r>
        <w:rPr>
          <w:rFonts w:ascii="Arial" w:cs="Arial" w:eastAsia="Arial" w:hAnsi="Arial"/>
          <w:sz w:val="16"/>
          <w:szCs w:val="16"/>
          <w:i w:val="1"/>
          <w:iCs w:val="1"/>
          <w:color w:val="auto"/>
        </w:rPr>
        <w:t>Timeless by Design</w:t>
      </w:r>
      <w:r>
        <w:rPr>
          <w:rFonts w:ascii="Arial" w:cs="Arial" w:eastAsia="Arial" w:hAnsi="Arial"/>
          <w:sz w:val="16"/>
          <w:szCs w:val="16"/>
          <w:color w:val="auto"/>
        </w:rPr>
        <w:t xml:space="preserve"> strategy. Some key highlights and achievements that we reported in our Fiscal 2025 GC&amp;S report, released in September 2025, include:</w:t>
      </w:r>
    </w:p>
    <w:p>
      <w:pPr>
        <w:spacing w:after="0" w:line="101" w:lineRule="exact"/>
        <w:rPr>
          <w:rFonts w:ascii="Arial" w:cs="Arial" w:eastAsia="Arial" w:hAnsi="Arial"/>
          <w:sz w:val="16"/>
          <w:szCs w:val="16"/>
          <w:color w:val="auto"/>
        </w:rPr>
      </w:pPr>
    </w:p>
    <w:p>
      <w:pPr>
        <w:ind w:left="526" w:right="280" w:hanging="184"/>
        <w:spacing w:after="0" w:line="286" w:lineRule="auto"/>
        <w:tabs>
          <w:tab w:leader="none" w:pos="526" w:val="left"/>
        </w:tabs>
        <w:numPr>
          <w:ilvl w:val="2"/>
          <w:numId w:val="56"/>
        </w:numPr>
        <w:rPr>
          <w:rFonts w:ascii="Arial" w:cs="Arial" w:eastAsia="Arial" w:hAnsi="Arial"/>
          <w:sz w:val="16"/>
          <w:szCs w:val="16"/>
          <w:color w:val="auto"/>
        </w:rPr>
      </w:pPr>
      <w:r>
        <w:rPr>
          <w:rFonts w:ascii="Arial" w:cs="Arial" w:eastAsia="Arial" w:hAnsi="Arial"/>
          <w:sz w:val="16"/>
          <w:szCs w:val="16"/>
          <w:color w:val="auto"/>
        </w:rPr>
        <w:t>Creating timeless products with innovative materials and manufacturing processes including our fifth Cradle to Cradle (C2C) Certified® product.</w:t>
      </w:r>
    </w:p>
    <w:p>
      <w:pPr>
        <w:spacing w:after="0" w:line="101" w:lineRule="exact"/>
        <w:rPr>
          <w:rFonts w:ascii="Arial" w:cs="Arial" w:eastAsia="Arial" w:hAnsi="Arial"/>
          <w:sz w:val="16"/>
          <w:szCs w:val="16"/>
          <w:color w:val="auto"/>
        </w:rPr>
      </w:pPr>
    </w:p>
    <w:p>
      <w:pPr>
        <w:ind w:left="526" w:hanging="184"/>
        <w:spacing w:after="0"/>
        <w:tabs>
          <w:tab w:leader="none" w:pos="526" w:val="left"/>
        </w:tabs>
        <w:numPr>
          <w:ilvl w:val="2"/>
          <w:numId w:val="56"/>
        </w:numPr>
        <w:rPr>
          <w:rFonts w:ascii="Arial" w:cs="Arial" w:eastAsia="Arial" w:hAnsi="Arial"/>
          <w:sz w:val="16"/>
          <w:szCs w:val="16"/>
          <w:color w:val="auto"/>
        </w:rPr>
      </w:pPr>
      <w:r>
        <w:rPr>
          <w:rFonts w:ascii="Arial" w:cs="Arial" w:eastAsia="Arial" w:hAnsi="Arial"/>
          <w:sz w:val="16"/>
          <w:szCs w:val="16"/>
          <w:color w:val="auto"/>
        </w:rPr>
        <w:t>Meeting at least one of our sustainable material criteria in 98% of units produced.</w:t>
      </w:r>
    </w:p>
    <w:p>
      <w:pPr>
        <w:spacing w:after="0" w:line="167" w:lineRule="exact"/>
        <w:rPr>
          <w:rFonts w:ascii="Arial" w:cs="Arial" w:eastAsia="Arial" w:hAnsi="Arial"/>
          <w:sz w:val="16"/>
          <w:szCs w:val="16"/>
          <w:color w:val="auto"/>
        </w:rPr>
      </w:pPr>
    </w:p>
    <w:p>
      <w:pPr>
        <w:ind w:left="526" w:right="560" w:hanging="184"/>
        <w:spacing w:after="0" w:line="286" w:lineRule="auto"/>
        <w:tabs>
          <w:tab w:leader="none" w:pos="526" w:val="left"/>
        </w:tabs>
        <w:numPr>
          <w:ilvl w:val="2"/>
          <w:numId w:val="56"/>
        </w:numPr>
        <w:rPr>
          <w:rFonts w:ascii="Arial" w:cs="Arial" w:eastAsia="Arial" w:hAnsi="Arial"/>
          <w:sz w:val="16"/>
          <w:szCs w:val="16"/>
          <w:color w:val="auto"/>
        </w:rPr>
      </w:pPr>
      <w:r>
        <w:rPr>
          <w:rFonts w:ascii="Arial" w:cs="Arial" w:eastAsia="Arial" w:hAnsi="Arial"/>
          <w:sz w:val="16"/>
          <w:szCs w:val="16"/>
          <w:color w:val="auto"/>
        </w:rPr>
        <w:t>Launching a denim recycling program in North America, piloting a repair service and expanding the Ralph Lauren Vintage offering.</w:t>
      </w:r>
    </w:p>
    <w:p>
      <w:pPr>
        <w:spacing w:after="0" w:line="101" w:lineRule="exact"/>
        <w:rPr>
          <w:rFonts w:ascii="Arial" w:cs="Arial" w:eastAsia="Arial" w:hAnsi="Arial"/>
          <w:sz w:val="16"/>
          <w:szCs w:val="16"/>
          <w:color w:val="auto"/>
        </w:rPr>
      </w:pPr>
    </w:p>
    <w:p>
      <w:pPr>
        <w:ind w:left="526" w:hanging="184"/>
        <w:spacing w:after="0"/>
        <w:tabs>
          <w:tab w:leader="none" w:pos="526" w:val="left"/>
        </w:tabs>
        <w:numPr>
          <w:ilvl w:val="2"/>
          <w:numId w:val="56"/>
        </w:numPr>
        <w:rPr>
          <w:rFonts w:ascii="Arial" w:cs="Arial" w:eastAsia="Arial" w:hAnsi="Arial"/>
          <w:sz w:val="16"/>
          <w:szCs w:val="16"/>
          <w:color w:val="auto"/>
        </w:rPr>
      </w:pPr>
      <w:r>
        <w:rPr>
          <w:rFonts w:ascii="Arial" w:cs="Arial" w:eastAsia="Arial" w:hAnsi="Arial"/>
          <w:sz w:val="16"/>
          <w:szCs w:val="16"/>
          <w:color w:val="auto"/>
        </w:rPr>
        <w:t>Achieving a 34% reduction in absolute emissions from our Fiscal 2020 baseline.</w:t>
      </w:r>
    </w:p>
    <w:p>
      <w:pPr>
        <w:spacing w:after="0" w:line="167" w:lineRule="exact"/>
        <w:rPr>
          <w:rFonts w:ascii="Arial" w:cs="Arial" w:eastAsia="Arial" w:hAnsi="Arial"/>
          <w:sz w:val="16"/>
          <w:szCs w:val="16"/>
          <w:color w:val="auto"/>
        </w:rPr>
      </w:pPr>
    </w:p>
    <w:p>
      <w:pPr>
        <w:ind w:left="526" w:hanging="184"/>
        <w:spacing w:after="0"/>
        <w:tabs>
          <w:tab w:leader="none" w:pos="526" w:val="left"/>
        </w:tabs>
        <w:numPr>
          <w:ilvl w:val="2"/>
          <w:numId w:val="56"/>
        </w:numPr>
        <w:rPr>
          <w:rFonts w:ascii="Arial" w:cs="Arial" w:eastAsia="Arial" w:hAnsi="Arial"/>
          <w:sz w:val="16"/>
          <w:szCs w:val="16"/>
          <w:color w:val="auto"/>
        </w:rPr>
      </w:pPr>
      <w:r>
        <w:rPr>
          <w:rFonts w:ascii="Arial" w:cs="Arial" w:eastAsia="Arial" w:hAnsi="Arial"/>
          <w:sz w:val="16"/>
          <w:szCs w:val="16"/>
          <w:color w:val="auto"/>
        </w:rPr>
        <w:t>Reaching over 144,000 supply chain workers through our empowerment and life skills programs to date.</w:t>
      </w:r>
    </w:p>
    <w:p>
      <w:pPr>
        <w:spacing w:after="0" w:line="29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LOOKING FORWARD TO FISCAL 2027</w:t>
      </w:r>
    </w:p>
    <w:p>
      <w:pPr>
        <w:spacing w:after="0" w:line="162" w:lineRule="exact"/>
        <w:rPr>
          <w:sz w:val="20"/>
          <w:szCs w:val="20"/>
          <w:color w:val="auto"/>
        </w:rPr>
      </w:pPr>
    </w:p>
    <w:p>
      <w:pPr>
        <w:ind w:left="6" w:right="160"/>
        <w:spacing w:after="0" w:line="259" w:lineRule="auto"/>
        <w:rPr>
          <w:sz w:val="20"/>
          <w:szCs w:val="20"/>
          <w:color w:val="auto"/>
        </w:rPr>
      </w:pPr>
      <w:r>
        <w:rPr>
          <w:rFonts w:ascii="Arial" w:cs="Arial" w:eastAsia="Arial" w:hAnsi="Arial"/>
          <w:sz w:val="16"/>
          <w:szCs w:val="16"/>
          <w:color w:val="auto"/>
        </w:rPr>
        <w:t>Based on feedback received from our stockholders in Fiscal 2026, the Talent Committee, in conjunction with management and its third-party independent compensation consultant, reviewed the design of the Fiscal 2026 compensation program and made no changes to the Fiscal 2027 compensation program as it continues to align with our strategic priorities to elevate our brand and set ourselves up for long-term sustainable growth and value creation.</w:t>
      </w:r>
    </w:p>
    <w:p>
      <w:pPr>
        <w:spacing w:after="0" w:line="124" w:lineRule="exact"/>
        <w:rPr>
          <w:sz w:val="20"/>
          <w:szCs w:val="20"/>
          <w:color w:val="auto"/>
        </w:rPr>
      </w:pPr>
    </w:p>
    <w:p>
      <w:pPr>
        <w:ind w:left="6" w:right="140"/>
        <w:spacing w:after="0" w:line="256" w:lineRule="auto"/>
        <w:rPr>
          <w:sz w:val="20"/>
          <w:szCs w:val="20"/>
          <w:color w:val="auto"/>
        </w:rPr>
      </w:pPr>
      <w:r>
        <w:rPr>
          <w:rFonts w:ascii="Arial" w:cs="Arial" w:eastAsia="Arial" w:hAnsi="Arial"/>
          <w:sz w:val="16"/>
          <w:szCs w:val="16"/>
          <w:color w:val="auto"/>
        </w:rPr>
        <w:t>For our Fiscal 2027 short-term incentive plan, in addition to the financial metrics of Total Company Revenue and Adjusted Operating Profit Margin, we will again include Strategic Growth Accelerators Revenue, aligning with our Strategic Plan, and Adjusted SG&amp;A Expense metric, with focus on operational excellence. Artificial Intelligence (AI) metrics in the form of a scorecard will again be the strategic goal modifier with KPIs tied to critical business priorities designed to elevate creativity and innovation and accelerate growth and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58293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90"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68</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79" w:name="page80"/>
    <w:bookmarkEnd w:id="7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left="6" w:right="60"/>
        <w:spacing w:after="0" w:line="259" w:lineRule="auto"/>
        <w:rPr>
          <w:sz w:val="20"/>
          <w:szCs w:val="20"/>
          <w:color w:val="auto"/>
        </w:rPr>
      </w:pPr>
      <w:r>
        <w:rPr>
          <w:rFonts w:ascii="Arial" w:cs="Arial" w:eastAsia="Arial" w:hAnsi="Arial"/>
          <w:sz w:val="16"/>
          <w:szCs w:val="16"/>
          <w:color w:val="auto"/>
        </w:rPr>
        <w:t>The financial measures used in our Fiscal 2027 long-term equity PSU program will continue to be based on three-year Adjusted ROIC and three-year relative TSR for Fiscal 2027-2029. Adjusted ROIC is used to provide a clear link to value creation for stockholders over time, reward management for successful decisions on capital allocation and investments and to differentiate the measures in the bonus and equity programs to avoid overlap.</w:t>
      </w:r>
    </w:p>
    <w:p>
      <w:pPr>
        <w:spacing w:after="0" w:line="205" w:lineRule="exact"/>
        <w:rPr>
          <w:sz w:val="20"/>
          <w:szCs w:val="20"/>
          <w:color w:val="auto"/>
        </w:rPr>
      </w:pPr>
    </w:p>
    <w:p>
      <w:pPr>
        <w:ind w:left="6"/>
        <w:spacing w:after="0"/>
        <w:rPr>
          <w:sz w:val="20"/>
          <w:szCs w:val="20"/>
          <w:color w:val="auto"/>
        </w:rPr>
      </w:pPr>
      <w:r>
        <w:rPr>
          <w:rFonts w:ascii="Arial" w:cs="Arial" w:eastAsia="Arial" w:hAnsi="Arial"/>
          <w:sz w:val="16"/>
          <w:szCs w:val="16"/>
          <w:color w:val="auto"/>
        </w:rPr>
        <w:t>Our PSU Comparator Group will consist of the following companies for Fiscal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582930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9"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2420" w:type="dxa"/>
            <w:vAlign w:val="bottom"/>
          </w:tcPr>
          <w:p>
            <w:pPr>
              <w:ind w:left="160"/>
              <w:spacing w:after="0"/>
              <w:rPr>
                <w:sz w:val="20"/>
                <w:szCs w:val="20"/>
                <w:color w:val="auto"/>
              </w:rPr>
            </w:pPr>
            <w:r>
              <w:rPr>
                <w:rFonts w:ascii="Arial" w:cs="Arial" w:eastAsia="Arial" w:hAnsi="Arial"/>
                <w:sz w:val="16"/>
                <w:szCs w:val="16"/>
                <w:color w:val="001641"/>
              </w:rPr>
              <w:t>Abercrombie &amp; Fitch Co.</w:t>
            </w:r>
          </w:p>
        </w:tc>
        <w:tc>
          <w:tcPr>
            <w:tcW w:w="2360" w:type="dxa"/>
            <w:vAlign w:val="bottom"/>
          </w:tcPr>
          <w:p>
            <w:pPr>
              <w:ind w:left="500"/>
              <w:spacing w:after="0"/>
              <w:rPr>
                <w:sz w:val="20"/>
                <w:szCs w:val="20"/>
                <w:color w:val="auto"/>
              </w:rPr>
            </w:pPr>
            <w:r>
              <w:rPr>
                <w:rFonts w:ascii="Arial" w:cs="Arial" w:eastAsia="Arial" w:hAnsi="Arial"/>
                <w:sz w:val="16"/>
                <w:szCs w:val="16"/>
                <w:color w:val="001641"/>
              </w:rPr>
              <w:t>The Gap, Inc.</w:t>
            </w:r>
          </w:p>
        </w:tc>
        <w:tc>
          <w:tcPr>
            <w:tcW w:w="1840" w:type="dxa"/>
            <w:vAlign w:val="bottom"/>
          </w:tcPr>
          <w:p>
            <w:pPr>
              <w:ind w:left="240"/>
              <w:spacing w:after="0"/>
              <w:rPr>
                <w:sz w:val="20"/>
                <w:szCs w:val="20"/>
                <w:color w:val="auto"/>
              </w:rPr>
            </w:pPr>
            <w:r>
              <w:rPr>
                <w:rFonts w:ascii="Arial" w:cs="Arial" w:eastAsia="Arial" w:hAnsi="Arial"/>
                <w:sz w:val="16"/>
                <w:szCs w:val="16"/>
                <w:color w:val="001641"/>
              </w:rPr>
              <w:t>Moncler S.p.A.</w:t>
            </w:r>
          </w:p>
        </w:tc>
        <w:tc>
          <w:tcPr>
            <w:tcW w:w="2560" w:type="dxa"/>
            <w:vAlign w:val="bottom"/>
          </w:tcPr>
          <w:p>
            <w:pPr>
              <w:ind w:left="520"/>
              <w:spacing w:after="0"/>
              <w:rPr>
                <w:sz w:val="20"/>
                <w:szCs w:val="20"/>
                <w:color w:val="auto"/>
              </w:rPr>
            </w:pPr>
            <w:r>
              <w:rPr>
                <w:rFonts w:ascii="Arial" w:cs="Arial" w:eastAsia="Arial" w:hAnsi="Arial"/>
                <w:sz w:val="16"/>
                <w:szCs w:val="16"/>
                <w:color w:val="001641"/>
              </w:rPr>
              <w:t>Under Armour, Inc.</w:t>
            </w:r>
          </w:p>
        </w:tc>
      </w:tr>
      <w:tr>
        <w:trPr>
          <w:trHeight w:val="43"/>
        </w:trPr>
        <w:tc>
          <w:tcPr>
            <w:tcW w:w="2420" w:type="dxa"/>
            <w:vAlign w:val="bottom"/>
            <w:tcBorders>
              <w:bottom w:val="single" w:sz="8" w:color="BFA071"/>
            </w:tcBorders>
          </w:tcPr>
          <w:p>
            <w:pPr>
              <w:spacing w:after="0"/>
              <w:rPr>
                <w:sz w:val="3"/>
                <w:szCs w:val="3"/>
                <w:color w:val="auto"/>
              </w:rPr>
            </w:pPr>
          </w:p>
        </w:tc>
        <w:tc>
          <w:tcPr>
            <w:tcW w:w="2360" w:type="dxa"/>
            <w:vAlign w:val="bottom"/>
            <w:tcBorders>
              <w:bottom w:val="single" w:sz="8" w:color="BFA071"/>
            </w:tcBorders>
          </w:tcPr>
          <w:p>
            <w:pPr>
              <w:spacing w:after="0"/>
              <w:rPr>
                <w:sz w:val="3"/>
                <w:szCs w:val="3"/>
                <w:color w:val="auto"/>
              </w:rPr>
            </w:pPr>
          </w:p>
        </w:tc>
        <w:tc>
          <w:tcPr>
            <w:tcW w:w="1840" w:type="dxa"/>
            <w:vAlign w:val="bottom"/>
            <w:tcBorders>
              <w:bottom w:val="single" w:sz="8" w:color="BFA071"/>
            </w:tcBorders>
          </w:tcPr>
          <w:p>
            <w:pPr>
              <w:spacing w:after="0"/>
              <w:rPr>
                <w:sz w:val="3"/>
                <w:szCs w:val="3"/>
                <w:color w:val="auto"/>
              </w:rPr>
            </w:pPr>
          </w:p>
        </w:tc>
        <w:tc>
          <w:tcPr>
            <w:tcW w:w="2560" w:type="dxa"/>
            <w:vAlign w:val="bottom"/>
            <w:tcBorders>
              <w:bottom w:val="single" w:sz="8" w:color="BFA071"/>
            </w:tcBorders>
          </w:tcPr>
          <w:p>
            <w:pPr>
              <w:spacing w:after="0"/>
              <w:rPr>
                <w:sz w:val="3"/>
                <w:szCs w:val="3"/>
                <w:color w:val="auto"/>
              </w:rPr>
            </w:pPr>
          </w:p>
        </w:tc>
      </w:tr>
      <w:tr>
        <w:trPr>
          <w:trHeight w:val="234"/>
        </w:trPr>
        <w:tc>
          <w:tcPr>
            <w:tcW w:w="2420" w:type="dxa"/>
            <w:vAlign w:val="bottom"/>
          </w:tcPr>
          <w:p>
            <w:pPr>
              <w:ind w:left="160"/>
              <w:spacing w:after="0"/>
              <w:rPr>
                <w:sz w:val="20"/>
                <w:szCs w:val="20"/>
                <w:color w:val="auto"/>
              </w:rPr>
            </w:pPr>
            <w:r>
              <w:rPr>
                <w:rFonts w:ascii="Arial" w:cs="Arial" w:eastAsia="Arial" w:hAnsi="Arial"/>
                <w:sz w:val="16"/>
                <w:szCs w:val="16"/>
                <w:color w:val="001641"/>
              </w:rPr>
              <w:t>Burberry Limited</w:t>
            </w:r>
          </w:p>
        </w:tc>
        <w:tc>
          <w:tcPr>
            <w:tcW w:w="2360" w:type="dxa"/>
            <w:vAlign w:val="bottom"/>
          </w:tcPr>
          <w:p>
            <w:pPr>
              <w:ind w:left="500"/>
              <w:spacing w:after="0"/>
              <w:rPr>
                <w:sz w:val="20"/>
                <w:szCs w:val="20"/>
                <w:color w:val="auto"/>
              </w:rPr>
            </w:pPr>
            <w:r>
              <w:rPr>
                <w:rFonts w:ascii="Arial" w:cs="Arial" w:eastAsia="Arial" w:hAnsi="Arial"/>
                <w:sz w:val="16"/>
                <w:szCs w:val="16"/>
                <w:color w:val="001641"/>
              </w:rPr>
              <w:t>Hugo Boss AG</w:t>
            </w:r>
          </w:p>
        </w:tc>
        <w:tc>
          <w:tcPr>
            <w:tcW w:w="1840" w:type="dxa"/>
            <w:vAlign w:val="bottom"/>
          </w:tcPr>
          <w:p>
            <w:pPr>
              <w:ind w:left="240"/>
              <w:spacing w:after="0"/>
              <w:rPr>
                <w:sz w:val="20"/>
                <w:szCs w:val="20"/>
                <w:color w:val="auto"/>
              </w:rPr>
            </w:pPr>
            <w:r>
              <w:rPr>
                <w:rFonts w:ascii="Arial" w:cs="Arial" w:eastAsia="Arial" w:hAnsi="Arial"/>
                <w:sz w:val="16"/>
                <w:szCs w:val="16"/>
                <w:color w:val="001641"/>
              </w:rPr>
              <w:t>Nike, Inc.</w:t>
            </w:r>
          </w:p>
        </w:tc>
        <w:tc>
          <w:tcPr>
            <w:tcW w:w="2560" w:type="dxa"/>
            <w:vAlign w:val="bottom"/>
          </w:tcPr>
          <w:p>
            <w:pPr>
              <w:ind w:left="520"/>
              <w:spacing w:after="0"/>
              <w:rPr>
                <w:sz w:val="20"/>
                <w:szCs w:val="20"/>
                <w:color w:val="auto"/>
              </w:rPr>
            </w:pPr>
            <w:r>
              <w:rPr>
                <w:rFonts w:ascii="Arial" w:cs="Arial" w:eastAsia="Arial" w:hAnsi="Arial"/>
                <w:sz w:val="16"/>
                <w:szCs w:val="16"/>
                <w:color w:val="001641"/>
              </w:rPr>
              <w:t>Urban Outfitters, Inc.</w:t>
            </w:r>
          </w:p>
        </w:tc>
      </w:tr>
      <w:tr>
        <w:trPr>
          <w:trHeight w:val="43"/>
        </w:trPr>
        <w:tc>
          <w:tcPr>
            <w:tcW w:w="2420" w:type="dxa"/>
            <w:vAlign w:val="bottom"/>
            <w:tcBorders>
              <w:bottom w:val="single" w:sz="8" w:color="BFA071"/>
            </w:tcBorders>
          </w:tcPr>
          <w:p>
            <w:pPr>
              <w:spacing w:after="0"/>
              <w:rPr>
                <w:sz w:val="3"/>
                <w:szCs w:val="3"/>
                <w:color w:val="auto"/>
              </w:rPr>
            </w:pPr>
          </w:p>
        </w:tc>
        <w:tc>
          <w:tcPr>
            <w:tcW w:w="2360" w:type="dxa"/>
            <w:vAlign w:val="bottom"/>
            <w:tcBorders>
              <w:bottom w:val="single" w:sz="8" w:color="BFA071"/>
            </w:tcBorders>
          </w:tcPr>
          <w:p>
            <w:pPr>
              <w:spacing w:after="0"/>
              <w:rPr>
                <w:sz w:val="3"/>
                <w:szCs w:val="3"/>
                <w:color w:val="auto"/>
              </w:rPr>
            </w:pPr>
          </w:p>
        </w:tc>
        <w:tc>
          <w:tcPr>
            <w:tcW w:w="1840" w:type="dxa"/>
            <w:vAlign w:val="bottom"/>
            <w:tcBorders>
              <w:bottom w:val="single" w:sz="8" w:color="BFA071"/>
            </w:tcBorders>
          </w:tcPr>
          <w:p>
            <w:pPr>
              <w:spacing w:after="0"/>
              <w:rPr>
                <w:sz w:val="3"/>
                <w:szCs w:val="3"/>
                <w:color w:val="auto"/>
              </w:rPr>
            </w:pPr>
          </w:p>
        </w:tc>
        <w:tc>
          <w:tcPr>
            <w:tcW w:w="2560" w:type="dxa"/>
            <w:vAlign w:val="bottom"/>
            <w:tcBorders>
              <w:bottom w:val="single" w:sz="8" w:color="BFA071"/>
            </w:tcBorders>
          </w:tcPr>
          <w:p>
            <w:pPr>
              <w:spacing w:after="0"/>
              <w:rPr>
                <w:sz w:val="3"/>
                <w:szCs w:val="3"/>
                <w:color w:val="auto"/>
              </w:rPr>
            </w:pPr>
          </w:p>
        </w:tc>
      </w:tr>
      <w:tr>
        <w:trPr>
          <w:trHeight w:val="234"/>
        </w:trPr>
        <w:tc>
          <w:tcPr>
            <w:tcW w:w="2420" w:type="dxa"/>
            <w:vAlign w:val="bottom"/>
          </w:tcPr>
          <w:p>
            <w:pPr>
              <w:ind w:left="160"/>
              <w:spacing w:after="0"/>
              <w:rPr>
                <w:sz w:val="20"/>
                <w:szCs w:val="20"/>
                <w:color w:val="auto"/>
              </w:rPr>
            </w:pPr>
            <w:r>
              <w:rPr>
                <w:rFonts w:ascii="Arial" w:cs="Arial" w:eastAsia="Arial" w:hAnsi="Arial"/>
                <w:sz w:val="16"/>
                <w:szCs w:val="16"/>
                <w:color w:val="001641"/>
              </w:rPr>
              <w:t>Capri Holdings Ltd.</w:t>
            </w:r>
          </w:p>
        </w:tc>
        <w:tc>
          <w:tcPr>
            <w:tcW w:w="2360" w:type="dxa"/>
            <w:vAlign w:val="bottom"/>
          </w:tcPr>
          <w:p>
            <w:pPr>
              <w:ind w:left="500"/>
              <w:spacing w:after="0"/>
              <w:rPr>
                <w:sz w:val="20"/>
                <w:szCs w:val="20"/>
                <w:color w:val="auto"/>
              </w:rPr>
            </w:pPr>
            <w:r>
              <w:rPr>
                <w:rFonts w:ascii="Arial" w:cs="Arial" w:eastAsia="Arial" w:hAnsi="Arial"/>
                <w:sz w:val="16"/>
                <w:szCs w:val="16"/>
                <w:color w:val="001641"/>
              </w:rPr>
              <w:t>Levi Strauss &amp; Co.</w:t>
            </w:r>
          </w:p>
        </w:tc>
        <w:tc>
          <w:tcPr>
            <w:tcW w:w="1840" w:type="dxa"/>
            <w:vAlign w:val="bottom"/>
          </w:tcPr>
          <w:p>
            <w:pPr>
              <w:ind w:left="240"/>
              <w:spacing w:after="0"/>
              <w:rPr>
                <w:sz w:val="20"/>
                <w:szCs w:val="20"/>
                <w:color w:val="auto"/>
              </w:rPr>
            </w:pPr>
            <w:r>
              <w:rPr>
                <w:rFonts w:ascii="Arial" w:cs="Arial" w:eastAsia="Arial" w:hAnsi="Arial"/>
                <w:sz w:val="16"/>
                <w:szCs w:val="16"/>
                <w:color w:val="001641"/>
              </w:rPr>
              <w:t>PVH Corp.</w:t>
            </w:r>
          </w:p>
        </w:tc>
        <w:tc>
          <w:tcPr>
            <w:tcW w:w="2560" w:type="dxa"/>
            <w:vAlign w:val="bottom"/>
          </w:tcPr>
          <w:p>
            <w:pPr>
              <w:ind w:left="520"/>
              <w:spacing w:after="0"/>
              <w:rPr>
                <w:sz w:val="20"/>
                <w:szCs w:val="20"/>
                <w:color w:val="auto"/>
              </w:rPr>
            </w:pPr>
            <w:r>
              <w:rPr>
                <w:rFonts w:ascii="Arial" w:cs="Arial" w:eastAsia="Arial" w:hAnsi="Arial"/>
                <w:sz w:val="16"/>
                <w:szCs w:val="16"/>
                <w:color w:val="001641"/>
              </w:rPr>
              <w:t>V.F. Corporation</w:t>
            </w:r>
          </w:p>
        </w:tc>
      </w:tr>
      <w:tr>
        <w:trPr>
          <w:trHeight w:val="43"/>
        </w:trPr>
        <w:tc>
          <w:tcPr>
            <w:tcW w:w="2420" w:type="dxa"/>
            <w:vAlign w:val="bottom"/>
            <w:tcBorders>
              <w:bottom w:val="single" w:sz="8" w:color="BFA071"/>
            </w:tcBorders>
          </w:tcPr>
          <w:p>
            <w:pPr>
              <w:spacing w:after="0"/>
              <w:rPr>
                <w:sz w:val="3"/>
                <w:szCs w:val="3"/>
                <w:color w:val="auto"/>
              </w:rPr>
            </w:pPr>
          </w:p>
        </w:tc>
        <w:tc>
          <w:tcPr>
            <w:tcW w:w="2360" w:type="dxa"/>
            <w:vAlign w:val="bottom"/>
            <w:tcBorders>
              <w:bottom w:val="single" w:sz="8" w:color="BFA071"/>
            </w:tcBorders>
          </w:tcPr>
          <w:p>
            <w:pPr>
              <w:spacing w:after="0"/>
              <w:rPr>
                <w:sz w:val="3"/>
                <w:szCs w:val="3"/>
                <w:color w:val="auto"/>
              </w:rPr>
            </w:pPr>
          </w:p>
        </w:tc>
        <w:tc>
          <w:tcPr>
            <w:tcW w:w="1840" w:type="dxa"/>
            <w:vAlign w:val="bottom"/>
            <w:tcBorders>
              <w:bottom w:val="single" w:sz="8" w:color="BFA071"/>
            </w:tcBorders>
          </w:tcPr>
          <w:p>
            <w:pPr>
              <w:spacing w:after="0"/>
              <w:rPr>
                <w:sz w:val="3"/>
                <w:szCs w:val="3"/>
                <w:color w:val="auto"/>
              </w:rPr>
            </w:pPr>
          </w:p>
        </w:tc>
        <w:tc>
          <w:tcPr>
            <w:tcW w:w="2560" w:type="dxa"/>
            <w:vAlign w:val="bottom"/>
            <w:tcBorders>
              <w:bottom w:val="single" w:sz="8" w:color="BFA071"/>
            </w:tcBorders>
          </w:tcPr>
          <w:p>
            <w:pPr>
              <w:spacing w:after="0"/>
              <w:rPr>
                <w:sz w:val="3"/>
                <w:szCs w:val="3"/>
                <w:color w:val="auto"/>
              </w:rPr>
            </w:pPr>
          </w:p>
        </w:tc>
      </w:tr>
      <w:tr>
        <w:trPr>
          <w:trHeight w:val="234"/>
        </w:trPr>
        <w:tc>
          <w:tcPr>
            <w:tcW w:w="2420" w:type="dxa"/>
            <w:vAlign w:val="bottom"/>
          </w:tcPr>
          <w:p>
            <w:pPr>
              <w:ind w:left="160"/>
              <w:spacing w:after="0"/>
              <w:rPr>
                <w:sz w:val="20"/>
                <w:szCs w:val="20"/>
                <w:color w:val="auto"/>
              </w:rPr>
            </w:pPr>
            <w:r>
              <w:rPr>
                <w:rFonts w:ascii="Arial" w:cs="Arial" w:eastAsia="Arial" w:hAnsi="Arial"/>
                <w:sz w:val="16"/>
                <w:szCs w:val="16"/>
                <w:color w:val="001641"/>
              </w:rPr>
              <w:t>Dillard’s, Inc.</w:t>
            </w:r>
          </w:p>
        </w:tc>
        <w:tc>
          <w:tcPr>
            <w:tcW w:w="2360" w:type="dxa"/>
            <w:vAlign w:val="bottom"/>
          </w:tcPr>
          <w:p>
            <w:pPr>
              <w:ind w:left="500"/>
              <w:spacing w:after="0"/>
              <w:rPr>
                <w:sz w:val="20"/>
                <w:szCs w:val="20"/>
                <w:color w:val="auto"/>
              </w:rPr>
            </w:pPr>
            <w:r>
              <w:rPr>
                <w:rFonts w:ascii="Arial" w:cs="Arial" w:eastAsia="Arial" w:hAnsi="Arial"/>
                <w:sz w:val="16"/>
                <w:szCs w:val="16"/>
                <w:color w:val="001641"/>
              </w:rPr>
              <w:t>lululemon athletica inc.</w:t>
            </w:r>
          </w:p>
        </w:tc>
        <w:tc>
          <w:tcPr>
            <w:tcW w:w="1840" w:type="dxa"/>
            <w:vAlign w:val="bottom"/>
          </w:tcPr>
          <w:p>
            <w:pPr>
              <w:ind w:left="240"/>
              <w:spacing w:after="0"/>
              <w:rPr>
                <w:sz w:val="20"/>
                <w:szCs w:val="20"/>
                <w:color w:val="auto"/>
              </w:rPr>
            </w:pPr>
            <w:r>
              <w:rPr>
                <w:rFonts w:ascii="Arial" w:cs="Arial" w:eastAsia="Arial" w:hAnsi="Arial"/>
                <w:sz w:val="16"/>
                <w:szCs w:val="16"/>
                <w:color w:val="001641"/>
              </w:rPr>
              <w:t>RH</w:t>
            </w:r>
          </w:p>
        </w:tc>
        <w:tc>
          <w:tcPr>
            <w:tcW w:w="2560" w:type="dxa"/>
            <w:vAlign w:val="bottom"/>
          </w:tcPr>
          <w:p>
            <w:pPr>
              <w:ind w:left="520"/>
              <w:spacing w:after="0"/>
              <w:rPr>
                <w:sz w:val="20"/>
                <w:szCs w:val="20"/>
                <w:color w:val="auto"/>
              </w:rPr>
            </w:pPr>
            <w:r>
              <w:rPr>
                <w:rFonts w:ascii="Arial" w:cs="Arial" w:eastAsia="Arial" w:hAnsi="Arial"/>
                <w:sz w:val="16"/>
                <w:szCs w:val="16"/>
                <w:color w:val="001641"/>
              </w:rPr>
              <w:t>Williams-Sonoma, Inc.</w:t>
            </w:r>
          </w:p>
        </w:tc>
      </w:tr>
      <w:tr>
        <w:trPr>
          <w:trHeight w:val="43"/>
        </w:trPr>
        <w:tc>
          <w:tcPr>
            <w:tcW w:w="2420" w:type="dxa"/>
            <w:vAlign w:val="bottom"/>
            <w:tcBorders>
              <w:bottom w:val="single" w:sz="8" w:color="BFA071"/>
            </w:tcBorders>
          </w:tcPr>
          <w:p>
            <w:pPr>
              <w:spacing w:after="0"/>
              <w:rPr>
                <w:sz w:val="3"/>
                <w:szCs w:val="3"/>
                <w:color w:val="auto"/>
              </w:rPr>
            </w:pPr>
          </w:p>
        </w:tc>
        <w:tc>
          <w:tcPr>
            <w:tcW w:w="2360" w:type="dxa"/>
            <w:vAlign w:val="bottom"/>
            <w:tcBorders>
              <w:bottom w:val="single" w:sz="8" w:color="BFA071"/>
            </w:tcBorders>
          </w:tcPr>
          <w:p>
            <w:pPr>
              <w:spacing w:after="0"/>
              <w:rPr>
                <w:sz w:val="3"/>
                <w:szCs w:val="3"/>
                <w:color w:val="auto"/>
              </w:rPr>
            </w:pPr>
          </w:p>
        </w:tc>
        <w:tc>
          <w:tcPr>
            <w:tcW w:w="1840" w:type="dxa"/>
            <w:vAlign w:val="bottom"/>
            <w:tcBorders>
              <w:bottom w:val="single" w:sz="8" w:color="BFA071"/>
            </w:tcBorders>
          </w:tcPr>
          <w:p>
            <w:pPr>
              <w:spacing w:after="0"/>
              <w:rPr>
                <w:sz w:val="3"/>
                <w:szCs w:val="3"/>
                <w:color w:val="auto"/>
              </w:rPr>
            </w:pPr>
          </w:p>
        </w:tc>
        <w:tc>
          <w:tcPr>
            <w:tcW w:w="2560" w:type="dxa"/>
            <w:vAlign w:val="bottom"/>
            <w:tcBorders>
              <w:bottom w:val="single" w:sz="8" w:color="BFA071"/>
            </w:tcBorders>
          </w:tcPr>
          <w:p>
            <w:pPr>
              <w:spacing w:after="0"/>
              <w:rPr>
                <w:sz w:val="3"/>
                <w:szCs w:val="3"/>
                <w:color w:val="auto"/>
              </w:rPr>
            </w:pPr>
          </w:p>
        </w:tc>
      </w:tr>
      <w:tr>
        <w:trPr>
          <w:trHeight w:val="236"/>
        </w:trPr>
        <w:tc>
          <w:tcPr>
            <w:tcW w:w="2420" w:type="dxa"/>
            <w:vAlign w:val="bottom"/>
            <w:tcBorders>
              <w:bottom w:val="single" w:sz="8" w:color="BFA071"/>
            </w:tcBorders>
          </w:tcPr>
          <w:p>
            <w:pPr>
              <w:ind w:left="160"/>
              <w:spacing w:after="0"/>
              <w:rPr>
                <w:sz w:val="20"/>
                <w:szCs w:val="20"/>
                <w:color w:val="auto"/>
              </w:rPr>
            </w:pPr>
            <w:r>
              <w:rPr>
                <w:rFonts w:ascii="Arial" w:cs="Arial" w:eastAsia="Arial" w:hAnsi="Arial"/>
                <w:sz w:val="16"/>
                <w:szCs w:val="16"/>
                <w:color w:val="001641"/>
              </w:rPr>
              <w:t>G-III Apparel, Ltd.</w:t>
            </w:r>
          </w:p>
        </w:tc>
        <w:tc>
          <w:tcPr>
            <w:tcW w:w="2360" w:type="dxa"/>
            <w:vAlign w:val="bottom"/>
            <w:tcBorders>
              <w:bottom w:val="single" w:sz="8" w:color="BFA071"/>
            </w:tcBorders>
          </w:tcPr>
          <w:p>
            <w:pPr>
              <w:ind w:left="500"/>
              <w:spacing w:after="0"/>
              <w:rPr>
                <w:sz w:val="20"/>
                <w:szCs w:val="20"/>
                <w:color w:val="auto"/>
              </w:rPr>
            </w:pPr>
            <w:r>
              <w:rPr>
                <w:rFonts w:ascii="Arial" w:cs="Arial" w:eastAsia="Arial" w:hAnsi="Arial"/>
                <w:sz w:val="16"/>
                <w:szCs w:val="16"/>
                <w:color w:val="001641"/>
              </w:rPr>
              <w:t>Macy’s Inc.</w:t>
            </w:r>
          </w:p>
        </w:tc>
        <w:tc>
          <w:tcPr>
            <w:tcW w:w="1840" w:type="dxa"/>
            <w:vAlign w:val="bottom"/>
            <w:tcBorders>
              <w:bottom w:val="single" w:sz="8" w:color="BFA071"/>
            </w:tcBorders>
          </w:tcPr>
          <w:p>
            <w:pPr>
              <w:ind w:left="240"/>
              <w:spacing w:after="0"/>
              <w:rPr>
                <w:sz w:val="20"/>
                <w:szCs w:val="20"/>
                <w:color w:val="auto"/>
              </w:rPr>
            </w:pPr>
            <w:r>
              <w:rPr>
                <w:rFonts w:ascii="Arial" w:cs="Arial" w:eastAsia="Arial" w:hAnsi="Arial"/>
                <w:sz w:val="16"/>
                <w:szCs w:val="16"/>
                <w:color w:val="001641"/>
              </w:rPr>
              <w:t>Tapestry, Inc.</w:t>
            </w:r>
          </w:p>
        </w:tc>
        <w:tc>
          <w:tcPr>
            <w:tcW w:w="2560" w:type="dxa"/>
            <w:vAlign w:val="bottom"/>
            <w:tcBorders>
              <w:bottom w:val="single" w:sz="8" w:color="BFA071"/>
            </w:tcBorders>
          </w:tcPr>
          <w:p>
            <w:pPr>
              <w:spacing w:after="0"/>
              <w:rPr>
                <w:sz w:val="20"/>
                <w:szCs w:val="20"/>
                <w:color w:val="auto"/>
              </w:rPr>
            </w:pPr>
          </w:p>
        </w:tc>
      </w:tr>
    </w:tbl>
    <w:p>
      <w:pPr>
        <w:spacing w:after="0" w:line="255"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EXECUTIVE COMPENSATION GOVERNANCE</w:t>
      </w:r>
    </w:p>
    <w:p>
      <w:pPr>
        <w:spacing w:after="0" w:line="21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COMPENSATION GOAL SETTING</w:t>
      </w:r>
    </w:p>
    <w:p>
      <w:pPr>
        <w:spacing w:after="0" w:line="162" w:lineRule="exact"/>
        <w:rPr>
          <w:sz w:val="20"/>
          <w:szCs w:val="20"/>
          <w:color w:val="auto"/>
        </w:rPr>
      </w:pPr>
    </w:p>
    <w:p>
      <w:pPr>
        <w:ind w:left="6" w:right="220"/>
        <w:spacing w:after="0" w:line="266" w:lineRule="auto"/>
        <w:rPr>
          <w:sz w:val="20"/>
          <w:szCs w:val="20"/>
          <w:color w:val="auto"/>
        </w:rPr>
      </w:pPr>
      <w:r>
        <w:rPr>
          <w:rFonts w:ascii="Arial" w:cs="Arial" w:eastAsia="Arial" w:hAnsi="Arial"/>
          <w:sz w:val="16"/>
          <w:szCs w:val="16"/>
          <w:color w:val="auto"/>
        </w:rPr>
        <w:t>We are a high-performing organization, and we strive to set challenging goals for our short-term and long-term incentive compensation. The financial goals set for our Fiscal 2026 executive compensation plans were aligned with and supported our multi-year Strategic Plan.</w:t>
      </w:r>
    </w:p>
    <w:p>
      <w:pPr>
        <w:spacing w:after="0" w:line="117" w:lineRule="exact"/>
        <w:rPr>
          <w:sz w:val="20"/>
          <w:szCs w:val="20"/>
          <w:color w:val="auto"/>
        </w:rPr>
      </w:pPr>
    </w:p>
    <w:p>
      <w:pPr>
        <w:ind w:left="166" w:right="60" w:hanging="166"/>
        <w:spacing w:after="0" w:line="286" w:lineRule="auto"/>
        <w:tabs>
          <w:tab w:leader="none" w:pos="166"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senior management establishes overall parameters for growth and profitability after assessing our business opportunities and risks given the global consumer and retail landscape.</w:t>
      </w:r>
    </w:p>
    <w:p>
      <w:pPr>
        <w:spacing w:after="0" w:line="74" w:lineRule="exact"/>
        <w:rPr>
          <w:rFonts w:ascii="Arial" w:cs="Arial" w:eastAsia="Arial" w:hAnsi="Arial"/>
          <w:sz w:val="16"/>
          <w:szCs w:val="16"/>
          <w:color w:val="auto"/>
        </w:rPr>
      </w:pPr>
    </w:p>
    <w:p>
      <w:pPr>
        <w:ind w:left="166" w:right="320" w:hanging="166"/>
        <w:spacing w:after="0" w:line="286" w:lineRule="auto"/>
        <w:tabs>
          <w:tab w:leader="none" w:pos="166"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Finance Committee reviews progress against the Strategic Plan at several points throughout the fiscal year, including review of KPIs, and recommends the proposed annual and multi-year financial plans to the Board for approval.</w:t>
      </w:r>
    </w:p>
    <w:p>
      <w:pPr>
        <w:spacing w:after="0" w:line="61" w:lineRule="exact"/>
        <w:rPr>
          <w:rFonts w:ascii="Arial" w:cs="Arial" w:eastAsia="Arial" w:hAnsi="Arial"/>
          <w:sz w:val="16"/>
          <w:szCs w:val="16"/>
          <w:color w:val="auto"/>
        </w:rPr>
      </w:pPr>
    </w:p>
    <w:p>
      <w:pPr>
        <w:ind w:left="166" w:right="300" w:hanging="166"/>
        <w:spacing w:after="0" w:line="286" w:lineRule="auto"/>
        <w:tabs>
          <w:tab w:leader="none" w:pos="166"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Board oversees the strategic planning process and approves the final Strategic Plan which is subject to further review and approval by the Finance Committee of the Board.</w:t>
      </w:r>
    </w:p>
    <w:p>
      <w:pPr>
        <w:spacing w:after="0" w:line="61" w:lineRule="exact"/>
        <w:rPr>
          <w:rFonts w:ascii="Arial" w:cs="Arial" w:eastAsia="Arial" w:hAnsi="Arial"/>
          <w:sz w:val="16"/>
          <w:szCs w:val="16"/>
          <w:color w:val="auto"/>
        </w:rPr>
      </w:pPr>
    </w:p>
    <w:p>
      <w:pPr>
        <w:ind w:left="166" w:right="20" w:hanging="166"/>
        <w:spacing w:after="0" w:line="257" w:lineRule="auto"/>
        <w:tabs>
          <w:tab w:leader="none" w:pos="166"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incentive plan targets are set at levels that align with the approved Strategic Plan and the financial guidance we provide to investors. At the time the financial goals are established, the Talent Committee, in consultation with its third-party independent compensation consultant, considers a variety of qualitative and quantitative factors, including the financial impact of incentive payouts above and below targets before establishing financial goals and the corresponding payout levels for incentives.</w:t>
      </w:r>
    </w:p>
    <w:p>
      <w:pPr>
        <w:spacing w:after="0" w:line="200" w:lineRule="exact"/>
        <w:rPr>
          <w:sz w:val="20"/>
          <w:szCs w:val="20"/>
          <w:color w:val="auto"/>
        </w:rPr>
      </w:pPr>
    </w:p>
    <w:p>
      <w:pPr>
        <w:spacing w:after="0" w:line="24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DETERMINATION OF COMPENSATION FOR EXECUTIVES</w:t>
      </w:r>
    </w:p>
    <w:p>
      <w:pPr>
        <w:spacing w:after="0" w:line="162" w:lineRule="exact"/>
        <w:rPr>
          <w:sz w:val="20"/>
          <w:szCs w:val="20"/>
          <w:color w:val="auto"/>
        </w:rPr>
      </w:pPr>
    </w:p>
    <w:p>
      <w:pPr>
        <w:ind w:left="6" w:right="80"/>
        <w:spacing w:after="0" w:line="253" w:lineRule="auto"/>
        <w:rPr>
          <w:sz w:val="20"/>
          <w:szCs w:val="20"/>
          <w:color w:val="auto"/>
        </w:rPr>
      </w:pPr>
      <w:r>
        <w:rPr>
          <w:rFonts w:ascii="Arial" w:cs="Arial" w:eastAsia="Arial" w:hAnsi="Arial"/>
          <w:sz w:val="16"/>
          <w:szCs w:val="16"/>
          <w:b w:val="1"/>
          <w:bCs w:val="1"/>
          <w:color w:val="auto"/>
        </w:rPr>
        <w:t xml:space="preserve">Compensation Peer Group for Fiscal 2026. </w:t>
      </w:r>
      <w:r>
        <w:rPr>
          <w:rFonts w:ascii="Arial" w:cs="Arial" w:eastAsia="Arial" w:hAnsi="Arial"/>
          <w:sz w:val="16"/>
          <w:szCs w:val="16"/>
          <w:color w:val="auto"/>
        </w:rPr>
        <w:t>Based on a review and discussion with management and our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consultants, the Talent Committee approved a compensation peer group (the “Compensation Peer Group”), in Fiscal 2026, with no change to the Fiscal 2025 Compensation Peer Group as the companies identified continue to provide an appropriate benchmark to better understand the competitiveness of our compensation program and used as a factor in considering Fiscal 2026 pay decisions. The Compensation Peer Group is distinct from our PSU Comparator Group, which will continue to be used to assess our financial performance in determining PSU vesting. The companies in the Compensation Peer Group were approved after consideration of revenue size, industry and business focus.</w:t>
      </w:r>
    </w:p>
    <w:p>
      <w:pPr>
        <w:spacing w:after="0" w:line="208" w:lineRule="exact"/>
        <w:rPr>
          <w:sz w:val="20"/>
          <w:szCs w:val="20"/>
          <w:color w:val="auto"/>
        </w:rPr>
      </w:pPr>
    </w:p>
    <w:p>
      <w:pPr>
        <w:ind w:left="6"/>
        <w:spacing w:after="0"/>
        <w:rPr>
          <w:sz w:val="20"/>
          <w:szCs w:val="20"/>
          <w:color w:val="auto"/>
        </w:rPr>
      </w:pPr>
      <w:r>
        <w:rPr>
          <w:rFonts w:ascii="Arial" w:cs="Arial" w:eastAsia="Arial" w:hAnsi="Arial"/>
          <w:sz w:val="16"/>
          <w:szCs w:val="16"/>
          <w:color w:val="auto"/>
        </w:rPr>
        <w:t>Our Compensation Peer Group consisted of the following companies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58293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5"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2640" w:type="dxa"/>
            <w:vAlign w:val="bottom"/>
          </w:tcPr>
          <w:p>
            <w:pPr>
              <w:ind w:left="160"/>
              <w:spacing w:after="0"/>
              <w:rPr>
                <w:sz w:val="20"/>
                <w:szCs w:val="20"/>
                <w:color w:val="auto"/>
              </w:rPr>
            </w:pPr>
            <w:r>
              <w:rPr>
                <w:rFonts w:ascii="Arial" w:cs="Arial" w:eastAsia="Arial" w:hAnsi="Arial"/>
                <w:sz w:val="16"/>
                <w:szCs w:val="16"/>
                <w:color w:val="001641"/>
              </w:rPr>
              <w:t>Abercrombie &amp; Fitch Co.</w:t>
            </w:r>
          </w:p>
        </w:tc>
        <w:tc>
          <w:tcPr>
            <w:tcW w:w="1960" w:type="dxa"/>
            <w:vAlign w:val="bottom"/>
            <w:gridSpan w:val="2"/>
          </w:tcPr>
          <w:p>
            <w:pPr>
              <w:ind w:left="280"/>
              <w:spacing w:after="0"/>
              <w:rPr>
                <w:sz w:val="20"/>
                <w:szCs w:val="20"/>
                <w:color w:val="auto"/>
              </w:rPr>
            </w:pPr>
            <w:r>
              <w:rPr>
                <w:rFonts w:ascii="Arial" w:cs="Arial" w:eastAsia="Arial" w:hAnsi="Arial"/>
                <w:sz w:val="16"/>
                <w:szCs w:val="16"/>
                <w:color w:val="001641"/>
              </w:rPr>
              <w:t>G-III Apparel, Ltd.</w:t>
            </w:r>
          </w:p>
        </w:tc>
        <w:tc>
          <w:tcPr>
            <w:tcW w:w="2300" w:type="dxa"/>
            <w:vAlign w:val="bottom"/>
            <w:gridSpan w:val="2"/>
          </w:tcPr>
          <w:p>
            <w:pPr>
              <w:ind w:left="420"/>
              <w:spacing w:after="0"/>
              <w:rPr>
                <w:sz w:val="20"/>
                <w:szCs w:val="20"/>
                <w:color w:val="auto"/>
              </w:rPr>
            </w:pPr>
            <w:r>
              <w:rPr>
                <w:rFonts w:ascii="Arial" w:cs="Arial" w:eastAsia="Arial" w:hAnsi="Arial"/>
                <w:sz w:val="16"/>
                <w:szCs w:val="16"/>
                <w:color w:val="001641"/>
              </w:rPr>
              <w:t>Nike, Inc.</w:t>
            </w:r>
          </w:p>
        </w:tc>
        <w:tc>
          <w:tcPr>
            <w:tcW w:w="2280" w:type="dxa"/>
            <w:vAlign w:val="bottom"/>
          </w:tcPr>
          <w:p>
            <w:pPr>
              <w:ind w:left="240"/>
              <w:spacing w:after="0"/>
              <w:rPr>
                <w:sz w:val="20"/>
                <w:szCs w:val="20"/>
                <w:color w:val="auto"/>
              </w:rPr>
            </w:pPr>
            <w:r>
              <w:rPr>
                <w:rFonts w:ascii="Arial" w:cs="Arial" w:eastAsia="Arial" w:hAnsi="Arial"/>
                <w:sz w:val="16"/>
                <w:szCs w:val="16"/>
                <w:color w:val="001641"/>
              </w:rPr>
              <w:t>Urban Outfitters, Inc.</w:t>
            </w:r>
          </w:p>
        </w:tc>
      </w:tr>
      <w:tr>
        <w:trPr>
          <w:trHeight w:val="43"/>
        </w:trPr>
        <w:tc>
          <w:tcPr>
            <w:tcW w:w="2640" w:type="dxa"/>
            <w:vAlign w:val="bottom"/>
            <w:tcBorders>
              <w:bottom w:val="single" w:sz="8" w:color="BFA071"/>
            </w:tcBorders>
          </w:tcPr>
          <w:p>
            <w:pPr>
              <w:spacing w:after="0"/>
              <w:rPr>
                <w:sz w:val="3"/>
                <w:szCs w:val="3"/>
                <w:color w:val="auto"/>
              </w:rPr>
            </w:pPr>
          </w:p>
        </w:tc>
        <w:tc>
          <w:tcPr>
            <w:tcW w:w="1260" w:type="dxa"/>
            <w:vAlign w:val="bottom"/>
            <w:tcBorders>
              <w:bottom w:val="single" w:sz="8" w:color="BFA071"/>
            </w:tcBorders>
          </w:tcPr>
          <w:p>
            <w:pPr>
              <w:spacing w:after="0"/>
              <w:rPr>
                <w:sz w:val="3"/>
                <w:szCs w:val="3"/>
                <w:color w:val="auto"/>
              </w:rPr>
            </w:pPr>
          </w:p>
        </w:tc>
        <w:tc>
          <w:tcPr>
            <w:tcW w:w="700" w:type="dxa"/>
            <w:vAlign w:val="bottom"/>
            <w:tcBorders>
              <w:bottom w:val="single" w:sz="8" w:color="BFA071"/>
            </w:tcBorders>
          </w:tcPr>
          <w:p>
            <w:pPr>
              <w:spacing w:after="0"/>
              <w:rPr>
                <w:sz w:val="3"/>
                <w:szCs w:val="3"/>
                <w:color w:val="auto"/>
              </w:rPr>
            </w:pPr>
          </w:p>
        </w:tc>
        <w:tc>
          <w:tcPr>
            <w:tcW w:w="2300" w:type="dxa"/>
            <w:vAlign w:val="bottom"/>
            <w:tcBorders>
              <w:bottom w:val="single" w:sz="8" w:color="BFA071"/>
            </w:tcBorders>
            <w:gridSpan w:val="2"/>
          </w:tcPr>
          <w:p>
            <w:pPr>
              <w:spacing w:after="0"/>
              <w:rPr>
                <w:sz w:val="3"/>
                <w:szCs w:val="3"/>
                <w:color w:val="auto"/>
              </w:rPr>
            </w:pPr>
          </w:p>
        </w:tc>
        <w:tc>
          <w:tcPr>
            <w:tcW w:w="2280" w:type="dxa"/>
            <w:vAlign w:val="bottom"/>
            <w:tcBorders>
              <w:bottom w:val="single" w:sz="8" w:color="BFA071"/>
            </w:tcBorders>
          </w:tcPr>
          <w:p>
            <w:pPr>
              <w:spacing w:after="0"/>
              <w:rPr>
                <w:sz w:val="3"/>
                <w:szCs w:val="3"/>
                <w:color w:val="auto"/>
              </w:rPr>
            </w:pPr>
          </w:p>
        </w:tc>
      </w:tr>
      <w:tr>
        <w:trPr>
          <w:trHeight w:val="235"/>
        </w:trPr>
        <w:tc>
          <w:tcPr>
            <w:tcW w:w="2640" w:type="dxa"/>
            <w:vAlign w:val="bottom"/>
          </w:tcPr>
          <w:p>
            <w:pPr>
              <w:ind w:left="160"/>
              <w:spacing w:after="0"/>
              <w:rPr>
                <w:sz w:val="20"/>
                <w:szCs w:val="20"/>
                <w:color w:val="auto"/>
              </w:rPr>
            </w:pPr>
            <w:r>
              <w:rPr>
                <w:rFonts w:ascii="Arial" w:cs="Arial" w:eastAsia="Arial" w:hAnsi="Arial"/>
                <w:sz w:val="16"/>
                <w:szCs w:val="16"/>
                <w:color w:val="001641"/>
              </w:rPr>
              <w:t>American Eagle Outfitters, Inc.</w:t>
            </w:r>
          </w:p>
        </w:tc>
        <w:tc>
          <w:tcPr>
            <w:tcW w:w="1260" w:type="dxa"/>
            <w:vAlign w:val="bottom"/>
          </w:tcPr>
          <w:p>
            <w:pPr>
              <w:ind w:left="280"/>
              <w:spacing w:after="0"/>
              <w:rPr>
                <w:sz w:val="20"/>
                <w:szCs w:val="20"/>
                <w:color w:val="auto"/>
              </w:rPr>
            </w:pPr>
            <w:r>
              <w:rPr>
                <w:rFonts w:ascii="Arial" w:cs="Arial" w:eastAsia="Arial" w:hAnsi="Arial"/>
                <w:sz w:val="16"/>
                <w:szCs w:val="16"/>
                <w:color w:val="001641"/>
                <w:w w:val="98"/>
              </w:rPr>
              <w:t>The Gap, Inc.</w:t>
            </w:r>
          </w:p>
        </w:tc>
        <w:tc>
          <w:tcPr>
            <w:tcW w:w="700" w:type="dxa"/>
            <w:vAlign w:val="bottom"/>
          </w:tcPr>
          <w:p>
            <w:pPr>
              <w:spacing w:after="0"/>
              <w:rPr>
                <w:sz w:val="20"/>
                <w:szCs w:val="20"/>
                <w:color w:val="auto"/>
              </w:rPr>
            </w:pPr>
          </w:p>
        </w:tc>
        <w:tc>
          <w:tcPr>
            <w:tcW w:w="2300" w:type="dxa"/>
            <w:vAlign w:val="bottom"/>
            <w:gridSpan w:val="2"/>
          </w:tcPr>
          <w:p>
            <w:pPr>
              <w:ind w:left="420"/>
              <w:spacing w:after="0"/>
              <w:rPr>
                <w:sz w:val="20"/>
                <w:szCs w:val="20"/>
                <w:color w:val="auto"/>
              </w:rPr>
            </w:pPr>
            <w:r>
              <w:rPr>
                <w:rFonts w:ascii="Arial" w:cs="Arial" w:eastAsia="Arial" w:hAnsi="Arial"/>
                <w:sz w:val="16"/>
                <w:szCs w:val="16"/>
                <w:color w:val="001641"/>
              </w:rPr>
              <w:t>PVH Corp.</w:t>
            </w:r>
          </w:p>
        </w:tc>
        <w:tc>
          <w:tcPr>
            <w:tcW w:w="2280" w:type="dxa"/>
            <w:vAlign w:val="bottom"/>
          </w:tcPr>
          <w:p>
            <w:pPr>
              <w:ind w:left="240"/>
              <w:spacing w:after="0"/>
              <w:rPr>
                <w:sz w:val="20"/>
                <w:szCs w:val="20"/>
                <w:color w:val="auto"/>
              </w:rPr>
            </w:pPr>
            <w:r>
              <w:rPr>
                <w:rFonts w:ascii="Arial" w:cs="Arial" w:eastAsia="Arial" w:hAnsi="Arial"/>
                <w:sz w:val="16"/>
                <w:szCs w:val="16"/>
                <w:color w:val="001641"/>
              </w:rPr>
              <w:t>V.F. Corporation</w:t>
            </w:r>
          </w:p>
        </w:tc>
      </w:tr>
      <w:tr>
        <w:trPr>
          <w:trHeight w:val="43"/>
        </w:trPr>
        <w:tc>
          <w:tcPr>
            <w:tcW w:w="2640" w:type="dxa"/>
            <w:vAlign w:val="bottom"/>
            <w:tcBorders>
              <w:bottom w:val="single" w:sz="8" w:color="BFA071"/>
            </w:tcBorders>
          </w:tcPr>
          <w:p>
            <w:pPr>
              <w:spacing w:after="0"/>
              <w:rPr>
                <w:sz w:val="3"/>
                <w:szCs w:val="3"/>
                <w:color w:val="auto"/>
              </w:rPr>
            </w:pPr>
          </w:p>
        </w:tc>
        <w:tc>
          <w:tcPr>
            <w:tcW w:w="1260" w:type="dxa"/>
            <w:vAlign w:val="bottom"/>
            <w:tcBorders>
              <w:bottom w:val="single" w:sz="8" w:color="BFA071"/>
            </w:tcBorders>
          </w:tcPr>
          <w:p>
            <w:pPr>
              <w:spacing w:after="0"/>
              <w:rPr>
                <w:sz w:val="3"/>
                <w:szCs w:val="3"/>
                <w:color w:val="auto"/>
              </w:rPr>
            </w:pPr>
          </w:p>
        </w:tc>
        <w:tc>
          <w:tcPr>
            <w:tcW w:w="700" w:type="dxa"/>
            <w:vAlign w:val="bottom"/>
            <w:tcBorders>
              <w:bottom w:val="single" w:sz="8" w:color="BFA071"/>
            </w:tcBorders>
          </w:tcPr>
          <w:p>
            <w:pPr>
              <w:spacing w:after="0"/>
              <w:rPr>
                <w:sz w:val="3"/>
                <w:szCs w:val="3"/>
                <w:color w:val="auto"/>
              </w:rPr>
            </w:pPr>
          </w:p>
        </w:tc>
        <w:tc>
          <w:tcPr>
            <w:tcW w:w="740" w:type="dxa"/>
            <w:vAlign w:val="bottom"/>
            <w:tcBorders>
              <w:bottom w:val="single" w:sz="8" w:color="BFA071"/>
            </w:tcBorders>
          </w:tcPr>
          <w:p>
            <w:pPr>
              <w:spacing w:after="0"/>
              <w:rPr>
                <w:sz w:val="3"/>
                <w:szCs w:val="3"/>
                <w:color w:val="auto"/>
              </w:rPr>
            </w:pPr>
          </w:p>
        </w:tc>
        <w:tc>
          <w:tcPr>
            <w:tcW w:w="1560" w:type="dxa"/>
            <w:vAlign w:val="bottom"/>
            <w:tcBorders>
              <w:bottom w:val="single" w:sz="8" w:color="BFA071"/>
            </w:tcBorders>
          </w:tcPr>
          <w:p>
            <w:pPr>
              <w:spacing w:after="0"/>
              <w:rPr>
                <w:sz w:val="3"/>
                <w:szCs w:val="3"/>
                <w:color w:val="auto"/>
              </w:rPr>
            </w:pPr>
          </w:p>
        </w:tc>
        <w:tc>
          <w:tcPr>
            <w:tcW w:w="2280" w:type="dxa"/>
            <w:vAlign w:val="bottom"/>
            <w:tcBorders>
              <w:bottom w:val="single" w:sz="8" w:color="BFA071"/>
            </w:tcBorders>
          </w:tcPr>
          <w:p>
            <w:pPr>
              <w:spacing w:after="0"/>
              <w:rPr>
                <w:sz w:val="3"/>
                <w:szCs w:val="3"/>
                <w:color w:val="auto"/>
              </w:rPr>
            </w:pPr>
          </w:p>
        </w:tc>
      </w:tr>
      <w:tr>
        <w:trPr>
          <w:trHeight w:val="235"/>
        </w:trPr>
        <w:tc>
          <w:tcPr>
            <w:tcW w:w="2640" w:type="dxa"/>
            <w:vAlign w:val="bottom"/>
          </w:tcPr>
          <w:p>
            <w:pPr>
              <w:ind w:left="160"/>
              <w:spacing w:after="0"/>
              <w:rPr>
                <w:sz w:val="20"/>
                <w:szCs w:val="20"/>
                <w:color w:val="auto"/>
              </w:rPr>
            </w:pPr>
            <w:r>
              <w:rPr>
                <w:rFonts w:ascii="Arial" w:cs="Arial" w:eastAsia="Arial" w:hAnsi="Arial"/>
                <w:sz w:val="16"/>
                <w:szCs w:val="16"/>
                <w:color w:val="001641"/>
              </w:rPr>
              <w:t>Capri Holdings Ltd.</w:t>
            </w:r>
          </w:p>
        </w:tc>
        <w:tc>
          <w:tcPr>
            <w:tcW w:w="1260" w:type="dxa"/>
            <w:vAlign w:val="bottom"/>
          </w:tcPr>
          <w:p>
            <w:pPr>
              <w:ind w:left="280"/>
              <w:spacing w:after="0"/>
              <w:rPr>
                <w:sz w:val="20"/>
                <w:szCs w:val="20"/>
                <w:color w:val="auto"/>
              </w:rPr>
            </w:pPr>
            <w:r>
              <w:rPr>
                <w:rFonts w:ascii="Arial" w:cs="Arial" w:eastAsia="Arial" w:hAnsi="Arial"/>
                <w:sz w:val="16"/>
                <w:szCs w:val="16"/>
                <w:color w:val="001641"/>
              </w:rPr>
              <w:t>Hanesbrands​</w:t>
            </w:r>
          </w:p>
        </w:tc>
        <w:tc>
          <w:tcPr>
            <w:tcW w:w="700" w:type="dxa"/>
            <w:vAlign w:val="bottom"/>
          </w:tcPr>
          <w:p>
            <w:pPr>
              <w:ind w:left="20"/>
              <w:spacing w:after="0"/>
              <w:rPr>
                <w:sz w:val="20"/>
                <w:szCs w:val="20"/>
                <w:color w:val="auto"/>
              </w:rPr>
            </w:pPr>
            <w:r>
              <w:rPr>
                <w:rFonts w:ascii="Arial" w:cs="Arial" w:eastAsia="Arial" w:hAnsi="Arial"/>
                <w:sz w:val="16"/>
                <w:szCs w:val="16"/>
                <w:color w:val="001641"/>
              </w:rPr>
              <w:t>Inc.</w:t>
            </w:r>
          </w:p>
        </w:tc>
        <w:tc>
          <w:tcPr>
            <w:tcW w:w="740" w:type="dxa"/>
            <w:vAlign w:val="bottom"/>
          </w:tcPr>
          <w:p>
            <w:pPr>
              <w:ind w:left="420"/>
              <w:spacing w:after="0"/>
              <w:rPr>
                <w:sz w:val="20"/>
                <w:szCs w:val="20"/>
                <w:color w:val="auto"/>
              </w:rPr>
            </w:pPr>
            <w:r>
              <w:rPr>
                <w:rFonts w:ascii="Arial" w:cs="Arial" w:eastAsia="Arial" w:hAnsi="Arial"/>
                <w:sz w:val="16"/>
                <w:szCs w:val="16"/>
                <w:color w:val="001641"/>
              </w:rPr>
              <w:t>Levi​</w:t>
            </w:r>
          </w:p>
        </w:tc>
        <w:tc>
          <w:tcPr>
            <w:tcW w:w="1560" w:type="dxa"/>
            <w:vAlign w:val="bottom"/>
          </w:tcPr>
          <w:p>
            <w:pPr>
              <w:ind w:left="40"/>
              <w:spacing w:after="0"/>
              <w:rPr>
                <w:sz w:val="20"/>
                <w:szCs w:val="20"/>
                <w:color w:val="auto"/>
              </w:rPr>
            </w:pPr>
            <w:r>
              <w:rPr>
                <w:rFonts w:ascii="Arial" w:cs="Arial" w:eastAsia="Arial" w:hAnsi="Arial"/>
                <w:sz w:val="16"/>
                <w:szCs w:val="16"/>
                <w:color w:val="001641"/>
              </w:rPr>
              <w:t>Strauss &amp; Co.</w:t>
            </w:r>
          </w:p>
        </w:tc>
        <w:tc>
          <w:tcPr>
            <w:tcW w:w="2280" w:type="dxa"/>
            <w:vAlign w:val="bottom"/>
          </w:tcPr>
          <w:p>
            <w:pPr>
              <w:ind w:left="240"/>
              <w:spacing w:after="0"/>
              <w:rPr>
                <w:sz w:val="20"/>
                <w:szCs w:val="20"/>
                <w:color w:val="auto"/>
              </w:rPr>
            </w:pPr>
            <w:r>
              <w:rPr>
                <w:rFonts w:ascii="Arial" w:cs="Arial" w:eastAsia="Arial" w:hAnsi="Arial"/>
                <w:sz w:val="16"/>
                <w:szCs w:val="16"/>
                <w:color w:val="001641"/>
              </w:rPr>
              <w:t>Tapestry, Inc.</w:t>
            </w:r>
          </w:p>
        </w:tc>
      </w:tr>
      <w:tr>
        <w:trPr>
          <w:trHeight w:val="43"/>
        </w:trPr>
        <w:tc>
          <w:tcPr>
            <w:tcW w:w="2640" w:type="dxa"/>
            <w:vAlign w:val="bottom"/>
            <w:tcBorders>
              <w:bottom w:val="single" w:sz="8" w:color="BFA071"/>
            </w:tcBorders>
          </w:tcPr>
          <w:p>
            <w:pPr>
              <w:spacing w:after="0"/>
              <w:rPr>
                <w:sz w:val="3"/>
                <w:szCs w:val="3"/>
                <w:color w:val="auto"/>
              </w:rPr>
            </w:pPr>
          </w:p>
        </w:tc>
        <w:tc>
          <w:tcPr>
            <w:tcW w:w="1960" w:type="dxa"/>
            <w:vAlign w:val="bottom"/>
            <w:tcBorders>
              <w:bottom w:val="single" w:sz="8" w:color="BFA071"/>
            </w:tcBorders>
            <w:gridSpan w:val="2"/>
          </w:tcPr>
          <w:p>
            <w:pPr>
              <w:spacing w:after="0"/>
              <w:rPr>
                <w:sz w:val="3"/>
                <w:szCs w:val="3"/>
                <w:color w:val="auto"/>
              </w:rPr>
            </w:pPr>
          </w:p>
        </w:tc>
        <w:tc>
          <w:tcPr>
            <w:tcW w:w="2300" w:type="dxa"/>
            <w:vAlign w:val="bottom"/>
            <w:tcBorders>
              <w:bottom w:val="single" w:sz="8" w:color="BFA071"/>
            </w:tcBorders>
            <w:gridSpan w:val="2"/>
          </w:tcPr>
          <w:p>
            <w:pPr>
              <w:spacing w:after="0"/>
              <w:rPr>
                <w:sz w:val="3"/>
                <w:szCs w:val="3"/>
                <w:color w:val="auto"/>
              </w:rPr>
            </w:pPr>
          </w:p>
        </w:tc>
        <w:tc>
          <w:tcPr>
            <w:tcW w:w="2280" w:type="dxa"/>
            <w:vAlign w:val="bottom"/>
            <w:tcBorders>
              <w:bottom w:val="single" w:sz="8" w:color="BFA071"/>
            </w:tcBorders>
          </w:tcPr>
          <w:p>
            <w:pPr>
              <w:spacing w:after="0"/>
              <w:rPr>
                <w:sz w:val="3"/>
                <w:szCs w:val="3"/>
                <w:color w:val="auto"/>
              </w:rPr>
            </w:pPr>
          </w:p>
        </w:tc>
      </w:tr>
      <w:tr>
        <w:trPr>
          <w:trHeight w:val="235"/>
        </w:trPr>
        <w:tc>
          <w:tcPr>
            <w:tcW w:w="2640" w:type="dxa"/>
            <w:vAlign w:val="bottom"/>
            <w:tcBorders>
              <w:bottom w:val="single" w:sz="8" w:color="BFA071"/>
            </w:tcBorders>
          </w:tcPr>
          <w:p>
            <w:pPr>
              <w:ind w:left="160"/>
              <w:spacing w:after="0"/>
              <w:rPr>
                <w:sz w:val="20"/>
                <w:szCs w:val="20"/>
                <w:color w:val="auto"/>
              </w:rPr>
            </w:pPr>
            <w:r>
              <w:rPr>
                <w:rFonts w:ascii="Arial" w:cs="Arial" w:eastAsia="Arial" w:hAnsi="Arial"/>
                <w:sz w:val="16"/>
                <w:szCs w:val="16"/>
                <w:color w:val="001641"/>
              </w:rPr>
              <w:t>Williams-Sonoma, Inc.</w:t>
            </w:r>
          </w:p>
        </w:tc>
        <w:tc>
          <w:tcPr>
            <w:tcW w:w="1960" w:type="dxa"/>
            <w:vAlign w:val="bottom"/>
            <w:tcBorders>
              <w:bottom w:val="single" w:sz="8" w:color="BFA071"/>
            </w:tcBorders>
            <w:gridSpan w:val="2"/>
          </w:tcPr>
          <w:p>
            <w:pPr>
              <w:ind w:left="280"/>
              <w:spacing w:after="0"/>
              <w:rPr>
                <w:sz w:val="20"/>
                <w:szCs w:val="20"/>
                <w:color w:val="auto"/>
              </w:rPr>
            </w:pPr>
            <w:r>
              <w:rPr>
                <w:rFonts w:ascii="Arial" w:cs="Arial" w:eastAsia="Arial" w:hAnsi="Arial"/>
                <w:sz w:val="16"/>
                <w:szCs w:val="16"/>
                <w:color w:val="001641"/>
              </w:rPr>
              <w:t>Foot Locker, Inc.</w:t>
            </w:r>
          </w:p>
        </w:tc>
        <w:tc>
          <w:tcPr>
            <w:tcW w:w="2300" w:type="dxa"/>
            <w:vAlign w:val="bottom"/>
            <w:tcBorders>
              <w:bottom w:val="single" w:sz="8" w:color="BFA071"/>
            </w:tcBorders>
            <w:gridSpan w:val="2"/>
          </w:tcPr>
          <w:p>
            <w:pPr>
              <w:ind w:left="420"/>
              <w:spacing w:after="0"/>
              <w:rPr>
                <w:sz w:val="20"/>
                <w:szCs w:val="20"/>
                <w:color w:val="auto"/>
              </w:rPr>
            </w:pPr>
            <w:r>
              <w:rPr>
                <w:rFonts w:ascii="Arial" w:cs="Arial" w:eastAsia="Arial" w:hAnsi="Arial"/>
                <w:sz w:val="16"/>
                <w:szCs w:val="16"/>
                <w:color w:val="001641"/>
              </w:rPr>
              <w:t>lululemon athletica inc.</w:t>
            </w:r>
          </w:p>
        </w:tc>
        <w:tc>
          <w:tcPr>
            <w:tcW w:w="2280" w:type="dxa"/>
            <w:vAlign w:val="bottom"/>
            <w:tcBorders>
              <w:bottom w:val="single" w:sz="8" w:color="BFA071"/>
            </w:tcBorders>
          </w:tcPr>
          <w:p>
            <w:pPr>
              <w:ind w:left="240"/>
              <w:spacing w:after="0"/>
              <w:rPr>
                <w:sz w:val="20"/>
                <w:szCs w:val="20"/>
                <w:color w:val="auto"/>
              </w:rPr>
            </w:pPr>
            <w:r>
              <w:rPr>
                <w:rFonts w:ascii="Arial" w:cs="Arial" w:eastAsia="Arial" w:hAnsi="Arial"/>
                <w:sz w:val="16"/>
                <w:szCs w:val="16"/>
                <w:color w:val="001641"/>
              </w:rPr>
              <w:t>Under Armour, Inc.</w:t>
            </w:r>
          </w:p>
        </w:tc>
      </w:tr>
      <w:tr>
        <w:trPr>
          <w:trHeight w:val="211"/>
        </w:trPr>
        <w:tc>
          <w:tcPr>
            <w:tcW w:w="2640" w:type="dxa"/>
            <w:vAlign w:val="bottom"/>
            <w:tcBorders>
              <w:bottom w:val="single" w:sz="8" w:color="808080"/>
            </w:tcBorders>
          </w:tcPr>
          <w:p>
            <w:pPr>
              <w:spacing w:after="0"/>
              <w:rPr>
                <w:sz w:val="18"/>
                <w:szCs w:val="18"/>
                <w:color w:val="auto"/>
              </w:rPr>
            </w:pPr>
          </w:p>
        </w:tc>
        <w:tc>
          <w:tcPr>
            <w:tcW w:w="12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128905" cy="11176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18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80" w:name="page81"/>
    <w:bookmarkEnd w:id="8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left="6" w:right="160"/>
        <w:spacing w:after="0" w:line="266"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While the Talent Committee considers competitive market compensation paid by our Compensation Peer Group</w:t>
      </w:r>
      <w:r>
        <w:rPr>
          <w:rFonts w:ascii="Arial" w:cs="Arial" w:eastAsia="Arial" w:hAnsi="Arial"/>
          <w:sz w:val="16"/>
          <w:szCs w:val="16"/>
          <w:b w:val="1"/>
          <w:bCs w:val="1"/>
          <w:color w:val="auto"/>
        </w:rPr>
        <w:t xml:space="preserve"> </w:t>
      </w:r>
      <w:r>
        <w:rPr>
          <w:rFonts w:ascii="Arial" w:cs="Arial" w:eastAsia="Arial" w:hAnsi="Arial"/>
          <w:sz w:val="16"/>
          <w:szCs w:val="16"/>
          <w:color w:val="auto"/>
        </w:rPr>
        <w:t>for our NEO pay and in establishing compensation programs, the Talent Committee considers several other factors in determining executive compensation levels and pay positioning to market, including:</w:t>
      </w:r>
    </w:p>
    <w:p>
      <w:pPr>
        <w:spacing w:after="0" w:line="117" w:lineRule="exact"/>
        <w:rPr>
          <w:sz w:val="20"/>
          <w:szCs w:val="20"/>
          <w:color w:val="auto"/>
        </w:rPr>
      </w:pPr>
    </w:p>
    <w:p>
      <w:pPr>
        <w:ind w:left="166" w:hanging="166"/>
        <w:spacing w:after="0"/>
        <w:tabs>
          <w:tab w:leader="none" w:pos="166"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Internal pay equity</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58"/>
        </w:numPr>
        <w:rPr>
          <w:rFonts w:ascii="Arial" w:cs="Arial" w:eastAsia="Arial" w:hAnsi="Arial"/>
          <w:sz w:val="16"/>
          <w:szCs w:val="16"/>
          <w:color w:val="auto"/>
        </w:rPr>
      </w:pPr>
      <w:r>
        <w:rPr>
          <w:rFonts w:ascii="Arial" w:cs="Arial" w:eastAsia="Arial" w:hAnsi="Arial"/>
          <w:sz w:val="16"/>
          <w:szCs w:val="16"/>
          <w:color w:val="auto"/>
        </w:rPr>
        <w:t>Role proficiency</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58"/>
        </w:numPr>
        <w:rPr>
          <w:rFonts w:ascii="Arial" w:cs="Arial" w:eastAsia="Arial" w:hAnsi="Arial"/>
          <w:sz w:val="16"/>
          <w:szCs w:val="16"/>
          <w:color w:val="auto"/>
        </w:rPr>
      </w:pPr>
      <w:r>
        <w:rPr>
          <w:rFonts w:ascii="Arial" w:cs="Arial" w:eastAsia="Arial" w:hAnsi="Arial"/>
          <w:sz w:val="16"/>
          <w:szCs w:val="16"/>
          <w:color w:val="auto"/>
        </w:rPr>
        <w:t>Nature and scope of responsibility</w:t>
      </w:r>
    </w:p>
    <w:p>
      <w:pPr>
        <w:spacing w:after="0" w:line="140" w:lineRule="exact"/>
        <w:rPr>
          <w:rFonts w:ascii="Arial" w:cs="Arial" w:eastAsia="Arial" w:hAnsi="Arial"/>
          <w:sz w:val="16"/>
          <w:szCs w:val="16"/>
          <w:color w:val="auto"/>
        </w:rPr>
      </w:pPr>
    </w:p>
    <w:p>
      <w:pPr>
        <w:ind w:left="166" w:hanging="166"/>
        <w:spacing w:after="0"/>
        <w:tabs>
          <w:tab w:leader="none" w:pos="166"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Individual executive’s current performance and expected future contributions</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Succession planning considerations relative to development and retention</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performance, financial plans, and budget</w:t>
      </w:r>
    </w:p>
    <w:p>
      <w:pPr>
        <w:spacing w:after="0" w:line="140" w:lineRule="exact"/>
        <w:rPr>
          <w:rFonts w:ascii="Arial" w:cs="Arial" w:eastAsia="Arial" w:hAnsi="Arial"/>
          <w:sz w:val="16"/>
          <w:szCs w:val="16"/>
          <w:color w:val="auto"/>
        </w:rPr>
      </w:pPr>
    </w:p>
    <w:p>
      <w:pPr>
        <w:ind w:left="166" w:hanging="166"/>
        <w:spacing w:after="0"/>
        <w:tabs>
          <w:tab w:leader="none" w:pos="166"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Surveys or other relevant lifestyle or retail peer companies</w:t>
      </w:r>
    </w:p>
    <w:p>
      <w:pPr>
        <w:spacing w:after="0" w:line="29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ROLE OF THE TALENT COMMITTEE</w:t>
      </w:r>
    </w:p>
    <w:p>
      <w:pPr>
        <w:spacing w:after="0" w:line="162" w:lineRule="exact"/>
        <w:rPr>
          <w:sz w:val="20"/>
          <w:szCs w:val="20"/>
          <w:color w:val="auto"/>
        </w:rPr>
      </w:pPr>
    </w:p>
    <w:p>
      <w:pPr>
        <w:ind w:left="6"/>
        <w:spacing w:after="0" w:line="266" w:lineRule="auto"/>
        <w:rPr>
          <w:sz w:val="20"/>
          <w:szCs w:val="20"/>
          <w:color w:val="auto"/>
        </w:rPr>
      </w:pPr>
      <w:r>
        <w:rPr>
          <w:rFonts w:ascii="Arial" w:cs="Arial" w:eastAsia="Arial" w:hAnsi="Arial"/>
          <w:sz w:val="16"/>
          <w:szCs w:val="16"/>
          <w:color w:val="auto"/>
        </w:rPr>
        <w:t>The primary responsibility of the Talent Committee is to, among other things, review and administer our compensation plans and to maintain oversight of the development of succession plans for certain key executive positions of senior management (“Executives”). Key responsibilities include, among others:</w:t>
      </w:r>
    </w:p>
    <w:p>
      <w:pPr>
        <w:spacing w:after="0" w:line="77" w:lineRule="exact"/>
        <w:rPr>
          <w:sz w:val="20"/>
          <w:szCs w:val="20"/>
          <w:color w:val="auto"/>
        </w:rPr>
      </w:pPr>
    </w:p>
    <w:p>
      <w:pPr>
        <w:ind w:left="166" w:hanging="166"/>
        <w:spacing w:after="0"/>
        <w:tabs>
          <w:tab w:leader="none" w:pos="166"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 and approve the compensation and succession planning of the Executives</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 and approve the design and goals of the incentive plans</w:t>
      </w:r>
    </w:p>
    <w:p>
      <w:pPr>
        <w:spacing w:after="0" w:line="140" w:lineRule="exact"/>
        <w:rPr>
          <w:rFonts w:ascii="Arial" w:cs="Arial" w:eastAsia="Arial" w:hAnsi="Arial"/>
          <w:sz w:val="16"/>
          <w:szCs w:val="16"/>
          <w:color w:val="auto"/>
        </w:rPr>
      </w:pPr>
    </w:p>
    <w:p>
      <w:pPr>
        <w:ind w:left="166" w:hanging="166"/>
        <w:spacing w:after="0"/>
        <w:tabs>
          <w:tab w:leader="none" w:pos="166"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 and report to the Board the organizational development of the Executives</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 and approve our stock ownership guidelines</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 and make recommendations to the Nominating Committee on Board compensation</w:t>
      </w:r>
    </w:p>
    <w:p>
      <w:pPr>
        <w:spacing w:after="0" w:line="140" w:lineRule="exact"/>
        <w:rPr>
          <w:rFonts w:ascii="Arial" w:cs="Arial" w:eastAsia="Arial" w:hAnsi="Arial"/>
          <w:sz w:val="16"/>
          <w:szCs w:val="16"/>
          <w:color w:val="auto"/>
        </w:rPr>
      </w:pPr>
    </w:p>
    <w:p>
      <w:pPr>
        <w:ind w:left="166" w:hanging="166"/>
        <w:spacing w:after="0"/>
        <w:tabs>
          <w:tab w:leader="none" w:pos="166"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Consult the Nominating Committee in its annual review of succession planning for the CEO and the Chairman of the Board</w:t>
      </w:r>
    </w:p>
    <w:p>
      <w:pPr>
        <w:spacing w:after="0" w:line="167" w:lineRule="exact"/>
        <w:rPr>
          <w:sz w:val="20"/>
          <w:szCs w:val="20"/>
          <w:color w:val="auto"/>
        </w:rPr>
      </w:pPr>
    </w:p>
    <w:p>
      <w:pPr>
        <w:jc w:val="both"/>
        <w:ind w:left="6" w:right="540"/>
        <w:spacing w:after="0" w:line="266" w:lineRule="auto"/>
        <w:rPr>
          <w:sz w:val="20"/>
          <w:szCs w:val="20"/>
          <w:color w:val="auto"/>
        </w:rPr>
      </w:pPr>
      <w:r>
        <w:rPr>
          <w:rFonts w:ascii="Arial" w:cs="Arial" w:eastAsia="Arial" w:hAnsi="Arial"/>
          <w:sz w:val="16"/>
          <w:szCs w:val="16"/>
          <w:color w:val="auto"/>
        </w:rPr>
        <w:t>The Talent Committee oversees the Company’s strategies and programs for talent development and retention, employee engagement and other human capital management strategies and initiatives as well as reviews executive compensation disclosures for the proxy statement and human capital disclosure for our Annual Report on Form 10-K.</w:t>
      </w:r>
    </w:p>
    <w:p>
      <w:pPr>
        <w:spacing w:after="0" w:line="117" w:lineRule="exact"/>
        <w:rPr>
          <w:sz w:val="20"/>
          <w:szCs w:val="20"/>
          <w:color w:val="auto"/>
        </w:rPr>
      </w:pPr>
    </w:p>
    <w:p>
      <w:pPr>
        <w:ind w:left="6" w:right="40"/>
        <w:spacing w:after="0" w:line="250" w:lineRule="auto"/>
        <w:rPr>
          <w:sz w:val="20"/>
          <w:szCs w:val="20"/>
          <w:color w:val="auto"/>
        </w:rPr>
      </w:pPr>
      <w:r>
        <w:rPr>
          <w:rFonts w:ascii="Arial" w:cs="Arial" w:eastAsia="Arial" w:hAnsi="Arial"/>
          <w:sz w:val="16"/>
          <w:szCs w:val="16"/>
          <w:color w:val="auto"/>
        </w:rPr>
        <w:t>The Talent Committee is also responsible for reviewing and approving employment agreements, as applicable, for each of our NEOs, which include their salary, bonus, and certain other compensation terms. For Fiscal 2026, in determining each NEO’s long-term incentive compensation pursuant to each of their employment agreements, as applicable, the Talent Committee considered our performance, long-term stockholder returns, the value of similar incentive awards to executive officers at comparable companies and the awards given to each of our NEOs in prior years among such other factors as it deemed relevant. On an annual basis, the Talent Committee also reviews and approves the corporate performance goals and objectives relevant to the compensation payable to our NEOs. In addition, the Talent Committee regularly reviews the design and structure of our executive compensation programs to ensure that management’s interests are closely aligned with stockholders’ interests and that the compensation programs are designed to further our strategic priorities, including regarding citizenship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582930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400"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70</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81" w:name="page82"/>
    <w:bookmarkEnd w:id="81"/>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ROLE OF COMPENSATION CONSULTANTS</w:t>
      </w:r>
    </w:p>
    <w:p>
      <w:pPr>
        <w:spacing w:after="0" w:line="162" w:lineRule="exact"/>
        <w:rPr>
          <w:sz w:val="20"/>
          <w:szCs w:val="20"/>
          <w:color w:val="auto"/>
        </w:rPr>
      </w:pPr>
    </w:p>
    <w:p>
      <w:pPr>
        <w:ind w:left="6" w:right="40"/>
        <w:spacing w:after="0" w:line="254" w:lineRule="auto"/>
        <w:rPr>
          <w:sz w:val="20"/>
          <w:szCs w:val="20"/>
          <w:color w:val="auto"/>
        </w:rPr>
      </w:pPr>
      <w:r>
        <w:rPr>
          <w:rFonts w:ascii="Arial" w:cs="Arial" w:eastAsia="Arial" w:hAnsi="Arial"/>
          <w:sz w:val="16"/>
          <w:szCs w:val="16"/>
          <w:color w:val="auto"/>
        </w:rPr>
        <w:t>We engage compensation consultants to assist in reviewing our overall compensation strategy and total compensation package and to provide input on the competitive market for executive talent, evolving executive and director compensation market practices, program design and regulatory compliance. The Talent Committee retains an independent outside compensation consulting firm, Korn Ferry, to provide guidance in connection with the development and evaluation of compensation philosophy, policies and practices and significant executive compensation decisions. The Talent Committee has the sole authority to retain and terminate the independent compensation consulting firm and approve the firm’s fees and other retention terms.</w:t>
      </w:r>
    </w:p>
    <w:p>
      <w:pPr>
        <w:spacing w:after="0" w:line="128" w:lineRule="exact"/>
        <w:rPr>
          <w:sz w:val="20"/>
          <w:szCs w:val="20"/>
          <w:color w:val="auto"/>
        </w:rPr>
      </w:pPr>
    </w:p>
    <w:p>
      <w:pPr>
        <w:ind w:left="6" w:right="140"/>
        <w:spacing w:after="0" w:line="266" w:lineRule="auto"/>
        <w:rPr>
          <w:sz w:val="20"/>
          <w:szCs w:val="20"/>
          <w:color w:val="auto"/>
        </w:rPr>
      </w:pPr>
      <w:r>
        <w:rPr>
          <w:rFonts w:ascii="Arial" w:cs="Arial" w:eastAsia="Arial" w:hAnsi="Arial"/>
          <w:sz w:val="16"/>
          <w:szCs w:val="16"/>
          <w:color w:val="auto"/>
        </w:rPr>
        <w:t>In Fiscal 2026, the Talent Committee engaged Korn Ferry to provide independent advisory services. The Talent Committee meets with Korn Ferry regularly and as needed, in the Talent Committee’s sole discretion, and the consultant assists the Talent Committee by:</w:t>
      </w:r>
    </w:p>
    <w:p>
      <w:pPr>
        <w:spacing w:after="0" w:line="117" w:lineRule="exact"/>
        <w:rPr>
          <w:sz w:val="20"/>
          <w:szCs w:val="20"/>
          <w:color w:val="auto"/>
        </w:rPr>
      </w:pPr>
    </w:p>
    <w:p>
      <w:pPr>
        <w:ind w:left="166" w:hanging="166"/>
        <w:spacing w:after="0"/>
        <w:tabs>
          <w:tab w:leader="none" w:pos="166" w:val="left"/>
        </w:tabs>
        <w:numPr>
          <w:ilvl w:val="0"/>
          <w:numId w:val="60"/>
        </w:numPr>
        <w:rPr>
          <w:rFonts w:ascii="Arial" w:cs="Arial" w:eastAsia="Arial" w:hAnsi="Arial"/>
          <w:sz w:val="16"/>
          <w:szCs w:val="16"/>
          <w:color w:val="auto"/>
        </w:rPr>
      </w:pPr>
      <w:r>
        <w:rPr>
          <w:rFonts w:ascii="Arial" w:cs="Arial" w:eastAsia="Arial" w:hAnsi="Arial"/>
          <w:sz w:val="16"/>
          <w:szCs w:val="16"/>
          <w:color w:val="auto"/>
        </w:rPr>
        <w:t>Attending Talent Committee meetings</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60"/>
        </w:numPr>
        <w:rPr>
          <w:rFonts w:ascii="Arial" w:cs="Arial" w:eastAsia="Arial" w:hAnsi="Arial"/>
          <w:sz w:val="16"/>
          <w:szCs w:val="16"/>
          <w:color w:val="auto"/>
        </w:rPr>
      </w:pPr>
      <w:r>
        <w:rPr>
          <w:rFonts w:ascii="Arial" w:cs="Arial" w:eastAsia="Arial" w:hAnsi="Arial"/>
          <w:sz w:val="16"/>
          <w:szCs w:val="16"/>
          <w:color w:val="auto"/>
        </w:rPr>
        <w:t>Meeting with the Talent Committee without management present</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Providing third-party data, advice and expertise on proposed executive compensation and awards and plan designs</w:t>
      </w:r>
    </w:p>
    <w:p>
      <w:pPr>
        <w:spacing w:after="0" w:line="140" w:lineRule="exact"/>
        <w:rPr>
          <w:rFonts w:ascii="Arial" w:cs="Arial" w:eastAsia="Arial" w:hAnsi="Arial"/>
          <w:sz w:val="16"/>
          <w:szCs w:val="16"/>
          <w:color w:val="auto"/>
        </w:rPr>
      </w:pPr>
    </w:p>
    <w:p>
      <w:pPr>
        <w:ind w:left="166" w:right="540" w:hanging="166"/>
        <w:spacing w:after="0" w:line="266" w:lineRule="auto"/>
        <w:tabs>
          <w:tab w:leader="none" w:pos="166"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Reviewing briefing materials prepared by management and outside advisers and advising the Talent Committee on the matters included in these materials, including the consistency of proposals with the Talent Committee’s compensation philosophy and comparisons to programs at other companies</w:t>
      </w:r>
    </w:p>
    <w:p>
      <w:pPr>
        <w:spacing w:after="0" w:line="76" w:lineRule="exact"/>
        <w:rPr>
          <w:rFonts w:ascii="Arial" w:cs="Arial" w:eastAsia="Arial" w:hAnsi="Arial"/>
          <w:sz w:val="16"/>
          <w:szCs w:val="16"/>
          <w:color w:val="auto"/>
        </w:rPr>
      </w:pPr>
    </w:p>
    <w:p>
      <w:pPr>
        <w:ind w:left="166" w:right="440" w:hanging="166"/>
        <w:spacing w:after="0" w:line="286" w:lineRule="auto"/>
        <w:tabs>
          <w:tab w:leader="none" w:pos="166"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Preparing its own analysis of compensation matters, including positioning of programs in the competitive market and the design of plans consistent with the Talent Committee’s compensation philosophy</w:t>
      </w:r>
    </w:p>
    <w:p>
      <w:pPr>
        <w:spacing w:after="0" w:line="61" w:lineRule="exact"/>
        <w:rPr>
          <w:rFonts w:ascii="Arial" w:cs="Arial" w:eastAsia="Arial" w:hAnsi="Arial"/>
          <w:sz w:val="16"/>
          <w:szCs w:val="16"/>
          <w:color w:val="auto"/>
        </w:rPr>
      </w:pPr>
    </w:p>
    <w:p>
      <w:pPr>
        <w:ind w:left="166" w:hanging="166"/>
        <w:spacing w:after="0"/>
        <w:tabs>
          <w:tab w:leader="none" w:pos="166"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Providing review and guidance on market trends, regulatory/legislative changes, and corporate governance trends</w:t>
      </w:r>
    </w:p>
    <w:p>
      <w:pPr>
        <w:spacing w:after="0" w:line="167" w:lineRule="exact"/>
        <w:rPr>
          <w:sz w:val="20"/>
          <w:szCs w:val="20"/>
          <w:color w:val="auto"/>
        </w:rPr>
      </w:pPr>
    </w:p>
    <w:p>
      <w:pPr>
        <w:ind w:left="6" w:right="20"/>
        <w:spacing w:after="0" w:line="253" w:lineRule="auto"/>
        <w:rPr>
          <w:sz w:val="20"/>
          <w:szCs w:val="20"/>
          <w:color w:val="auto"/>
        </w:rPr>
      </w:pPr>
      <w:r>
        <w:rPr>
          <w:rFonts w:ascii="Arial" w:cs="Arial" w:eastAsia="Arial" w:hAnsi="Arial"/>
          <w:sz w:val="16"/>
          <w:szCs w:val="16"/>
          <w:color w:val="auto"/>
        </w:rPr>
        <w:t>Fees for executive compensation services provided to the Talent Committee during Fiscal 2026 were $245,250. Korn Ferry also provides other services to the Company which must be approved by the Talent Committee. Fees for these other corporate services collected during Fiscal 2026 were $1,184,376 which included fees collected related to leadership and talent consulting services, digital products and services, and executive search services. The Talent Committee has made an assessment under the factors set forth in the NYSE rules and concluded that Korn Ferry is independent and that Korn Ferry’s work for the Talent Committee does not raise any conflicts of interest. In making this assessment, the Committee considered the other services that Korn Ferry provides to management and other Korn Ferry policies and processes in place.</w:t>
      </w:r>
    </w:p>
    <w:p>
      <w:pPr>
        <w:spacing w:after="0" w:line="127" w:lineRule="exact"/>
        <w:rPr>
          <w:sz w:val="20"/>
          <w:szCs w:val="20"/>
          <w:color w:val="auto"/>
        </w:rPr>
      </w:pPr>
    </w:p>
    <w:p>
      <w:pPr>
        <w:ind w:left="6"/>
        <w:spacing w:after="0"/>
        <w:rPr>
          <w:sz w:val="20"/>
          <w:szCs w:val="20"/>
          <w:color w:val="auto"/>
        </w:rPr>
      </w:pPr>
      <w:r>
        <w:rPr>
          <w:rFonts w:ascii="Arial" w:cs="Arial" w:eastAsia="Arial" w:hAnsi="Arial"/>
          <w:sz w:val="16"/>
          <w:szCs w:val="16"/>
          <w:color w:val="auto"/>
        </w:rPr>
        <w:t>Management continued to retain the services of Compensation Advisory Partners, LLC (“CAP”), as its compensation consultant.</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6"/>
          <w:szCs w:val="16"/>
          <w:color w:val="auto"/>
        </w:rPr>
        <w:t>CAP’s role is to assist management in the development and analysis of 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582930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276225</wp:posOffset>
            </wp:positionV>
            <wp:extent cx="128905" cy="11112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126365</wp:posOffset>
            </wp:positionV>
            <wp:extent cx="6995160"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FACTORS IN DETERMINING COMPENSATION FOR EXECUTIVES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Determining Compensation for Mr. R. Lauren, our Executive Chairman and Chief Creative Officer</w:t>
      </w:r>
    </w:p>
    <w:p>
      <w:pPr>
        <w:spacing w:after="0" w:line="17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Talent Committee, in consultation with its independent compensation consultant and independent outside counsel, determined the compensation structure under Mr. R. Lauren’s employment agreement effective as of the beginning of Fiscal 2018 which was amended June 16, 2021, to extend the term for five years with no adjustment to compensation. Mr. R. Lauren serves as both Chief Creative Officer and Executive Chairman. Mr. R. Lauren’s role and his responsibilities were considered when setting Mr. R. Lauren’s compensation opportunity during Fiscal 2026 in accordance with the terms set forth in his employment agreement.</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Mr. R. Lauren’s role is unique and critical, in particular given his dual role, which is not typical for our peers in our industry, and which we believe have very highly compensated individuals serving in chief creative capacities. Mr. R. Lauren is included in this Proxy Statement as one of our NEOs because he serves as our Executive Chairman, an executive officer, which we believe is not the general practice of other public companies with chief creative officers. As a result, we believe it is harder to compare our NEOs as a group with our peers. The Talent Committee believes that Mr. R. Lauren’s leadership, vision and contributions to the Company are aligned with his compensation package, which is based on several factors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149860</wp:posOffset>
            </wp:positionV>
            <wp:extent cx="4963160" cy="498030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963160" cy="498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58293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72</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760"/>
            <wp:effectExtent l="0" t="0" r="0" b="0"/>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Determining Compensation for Mr. Louvet, our President and Chief Executive Officer</w:t>
      </w:r>
    </w:p>
    <w:p>
      <w:pPr>
        <w:spacing w:after="0" w:line="125"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color w:val="auto"/>
        </w:rPr>
        <w:t>Our CEO evaluation and succession planning process is led by our Lead Independent Director in partnership with the independent Chairs of our Nominating Committee and Talent Committee, and we conduct a concurrent review of the CEO annual performance evaluation and succession planning.</w:t>
      </w:r>
    </w:p>
    <w:p>
      <w:pPr>
        <w:spacing w:after="0" w:line="64"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auto"/>
        </w:rPr>
        <w:t>In determining the compensation for Mr. Louvet in Fiscal 2026, the Talent Committee, in consultation with its independent compensation consultant,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5837555" cy="58889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837555" cy="588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582930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286385</wp:posOffset>
            </wp:positionV>
            <wp:extent cx="128905" cy="11112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84" w:name="page85"/>
    <w:bookmarkEnd w:id="84"/>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53340</wp:posOffset>
            </wp:positionV>
            <wp:extent cx="582930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Determining Compensation for our Other NEOs</w:t>
      </w:r>
    </w:p>
    <w:p>
      <w:pPr>
        <w:spacing w:after="0" w:line="165" w:lineRule="exact"/>
        <w:rPr>
          <w:sz w:val="20"/>
          <w:szCs w:val="20"/>
          <w:color w:val="auto"/>
        </w:rPr>
      </w:pPr>
    </w:p>
    <w:p>
      <w:pPr>
        <w:ind w:left="920" w:right="1020"/>
        <w:spacing w:after="0" w:line="286" w:lineRule="auto"/>
        <w:rPr>
          <w:sz w:val="20"/>
          <w:szCs w:val="20"/>
          <w:color w:val="auto"/>
        </w:rPr>
      </w:pPr>
      <w:r>
        <w:rPr>
          <w:rFonts w:ascii="Arial" w:cs="Arial" w:eastAsia="Arial" w:hAnsi="Arial"/>
          <w:sz w:val="16"/>
          <w:szCs w:val="16"/>
          <w:color w:val="auto"/>
        </w:rPr>
        <w:t>In determining the compensation of our other NEOs, the Talent Committee also considered the impact and leadership structure required to support the ongoing global transformation and long-term growth of our business in a complex global environment.</w:t>
      </w:r>
    </w:p>
    <w:p>
      <w:pPr>
        <w:spacing w:after="0" w:line="23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001641"/>
        </w:rPr>
        <w:t>EMPLOYMENT AGREEMENTS</w:t>
      </w:r>
    </w:p>
    <w:p>
      <w:pPr>
        <w:spacing w:after="0" w:line="162" w:lineRule="exact"/>
        <w:rPr>
          <w:sz w:val="20"/>
          <w:szCs w:val="20"/>
          <w:color w:val="auto"/>
        </w:rPr>
      </w:pPr>
    </w:p>
    <w:p>
      <w:pPr>
        <w:ind w:left="920" w:right="1000"/>
        <w:spacing w:after="0" w:line="256" w:lineRule="auto"/>
        <w:rPr>
          <w:sz w:val="20"/>
          <w:szCs w:val="20"/>
          <w:color w:val="auto"/>
        </w:rPr>
      </w:pPr>
      <w:r>
        <w:rPr>
          <w:rFonts w:ascii="Arial" w:cs="Arial" w:eastAsia="Arial" w:hAnsi="Arial"/>
          <w:sz w:val="16"/>
          <w:szCs w:val="16"/>
          <w:color w:val="auto"/>
        </w:rPr>
        <w:t>All of our NEOs are party to employment agreements, other than Mr. D. Lauren, that were reviewed and approved by the Talent Committee, in consultation with its independent compensation consultant and the Talent Committee’s independently retained legal advisors, when requested, and reviewed and approved with Mr. Louvet’s input, with respect to NEOs other than himself and Mr. R. Lauren. The terms of Mr. D. Lauren’s compensation arrangement were determined based on his role in the organization and were also reviewed and approved by the Talent Committee.</w:t>
      </w:r>
    </w:p>
    <w:p>
      <w:pPr>
        <w:spacing w:after="0" w:line="126" w:lineRule="exact"/>
        <w:rPr>
          <w:sz w:val="20"/>
          <w:szCs w:val="20"/>
          <w:color w:val="auto"/>
        </w:rPr>
      </w:pPr>
    </w:p>
    <w:p>
      <w:pPr>
        <w:ind w:left="920" w:right="1060"/>
        <w:spacing w:after="0" w:line="256" w:lineRule="auto"/>
        <w:rPr>
          <w:sz w:val="20"/>
          <w:szCs w:val="20"/>
          <w:color w:val="auto"/>
        </w:rPr>
      </w:pPr>
      <w:r>
        <w:rPr>
          <w:rFonts w:ascii="Arial" w:cs="Arial" w:eastAsia="Arial" w:hAnsi="Arial"/>
          <w:sz w:val="16"/>
          <w:szCs w:val="16"/>
          <w:color w:val="auto"/>
        </w:rPr>
        <w:t>The guidelines for salary, bonus, and certain other compensation components for each NEO with an employment agreement are set forth in such NEO’s respective employment agreement. The employment agreements also provide for certain benefits, including those in the event of various termination or change in control situations. We believe that providing for certain benefits in change in control situations enhances the value of the business by preserving the continuity of management during these potential situations and by focusing our senior executives on our long-term priorities.</w:t>
      </w:r>
    </w:p>
    <w:p>
      <w:pPr>
        <w:spacing w:after="0" w:line="126" w:lineRule="exact"/>
        <w:rPr>
          <w:sz w:val="20"/>
          <w:szCs w:val="20"/>
          <w:color w:val="auto"/>
        </w:rPr>
      </w:pPr>
    </w:p>
    <w:p>
      <w:pPr>
        <w:ind w:left="920" w:right="1000"/>
        <w:spacing w:after="0" w:line="266" w:lineRule="auto"/>
        <w:rPr>
          <w:sz w:val="20"/>
          <w:szCs w:val="20"/>
          <w:color w:val="auto"/>
        </w:rPr>
      </w:pPr>
      <w:r>
        <w:rPr>
          <w:rFonts w:ascii="Arial" w:cs="Arial" w:eastAsia="Arial" w:hAnsi="Arial"/>
          <w:sz w:val="16"/>
          <w:szCs w:val="16"/>
          <w:color w:val="auto"/>
        </w:rPr>
        <w:t>See “Executive Employment Agreements and Compensatory Arrangements,” “Summary Compensation Table” and “Potential Payments Upon Termination or Change in Control” below for a more detailed description of the payments and benefits provided under each NEO’s employment agreement and other compensatory arrangements.</w:t>
      </w:r>
    </w:p>
    <w:p>
      <w:pPr>
        <w:spacing w:after="0" w:line="29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BFA071"/>
        </w:rPr>
        <w:t>KEY COMPONENTS OF EXECUTIVE COMPENSATION</w:t>
      </w:r>
    </w:p>
    <w:p>
      <w:pPr>
        <w:spacing w:after="0" w:line="139" w:lineRule="exact"/>
        <w:rPr>
          <w:sz w:val="20"/>
          <w:szCs w:val="20"/>
          <w:color w:val="auto"/>
        </w:rPr>
      </w:pPr>
    </w:p>
    <w:p>
      <w:pPr>
        <w:ind w:left="920" w:right="1060"/>
        <w:spacing w:after="0" w:line="286" w:lineRule="auto"/>
        <w:rPr>
          <w:sz w:val="20"/>
          <w:szCs w:val="20"/>
          <w:color w:val="auto"/>
        </w:rPr>
      </w:pPr>
      <w:r>
        <w:rPr>
          <w:rFonts w:ascii="Arial" w:cs="Arial" w:eastAsia="Arial" w:hAnsi="Arial"/>
          <w:sz w:val="16"/>
          <w:szCs w:val="16"/>
          <w:color w:val="auto"/>
        </w:rPr>
        <w:t>The principal elements of our senior executive compensation programs are summarized in the following table and described in more detail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920" w:type="dxa"/>
            <w:vAlign w:val="bottom"/>
          </w:tcPr>
          <w:p>
            <w:pPr>
              <w:spacing w:after="0"/>
              <w:rPr>
                <w:sz w:val="24"/>
                <w:szCs w:val="24"/>
                <w:color w:val="auto"/>
              </w:rPr>
            </w:pPr>
          </w:p>
        </w:tc>
        <w:tc>
          <w:tcPr>
            <w:tcW w:w="2360" w:type="dxa"/>
            <w:vAlign w:val="bottom"/>
            <w:tcBorders>
              <w:bottom w:val="single" w:sz="8" w:color="001641"/>
            </w:tcBorders>
            <w:shd w:val="clear" w:color="auto" w:fill="001641"/>
          </w:tcPr>
          <w:p>
            <w:pPr>
              <w:ind w:left="160"/>
              <w:spacing w:after="0"/>
              <w:rPr>
                <w:sz w:val="20"/>
                <w:szCs w:val="20"/>
                <w:color w:val="auto"/>
              </w:rPr>
            </w:pPr>
            <w:r>
              <w:rPr>
                <w:rFonts w:ascii="Arial" w:cs="Arial" w:eastAsia="Arial" w:hAnsi="Arial"/>
                <w:sz w:val="14"/>
                <w:szCs w:val="14"/>
                <w:b w:val="1"/>
                <w:bCs w:val="1"/>
                <w:color w:val="FFFFFF"/>
              </w:rPr>
              <w:t>Compensation Element</w:t>
            </w:r>
          </w:p>
        </w:tc>
        <w:tc>
          <w:tcPr>
            <w:tcW w:w="660" w:type="dxa"/>
            <w:vAlign w:val="bottom"/>
            <w:tcBorders>
              <w:bottom w:val="single" w:sz="8" w:color="BFA071"/>
            </w:tcBorders>
            <w:shd w:val="clear" w:color="auto" w:fill="BFA071"/>
          </w:tcPr>
          <w:p>
            <w:pPr>
              <w:spacing w:after="0"/>
              <w:rPr>
                <w:sz w:val="24"/>
                <w:szCs w:val="24"/>
                <w:color w:val="auto"/>
              </w:rPr>
            </w:pPr>
          </w:p>
        </w:tc>
        <w:tc>
          <w:tcPr>
            <w:tcW w:w="6160" w:type="dxa"/>
            <w:vAlign w:val="bottom"/>
            <w:tcBorders>
              <w:bottom w:val="single" w:sz="8" w:color="001641"/>
            </w:tcBorders>
            <w:shd w:val="clear" w:color="auto" w:fill="001641"/>
          </w:tcPr>
          <w:p>
            <w:pPr>
              <w:ind w:left="100"/>
              <w:spacing w:after="0"/>
              <w:rPr>
                <w:sz w:val="20"/>
                <w:szCs w:val="20"/>
                <w:color w:val="auto"/>
              </w:rPr>
            </w:pPr>
            <w:r>
              <w:rPr>
                <w:rFonts w:ascii="Arial" w:cs="Arial" w:eastAsia="Arial" w:hAnsi="Arial"/>
                <w:sz w:val="14"/>
                <w:szCs w:val="14"/>
                <w:b w:val="1"/>
                <w:bCs w:val="1"/>
                <w:color w:val="FFFFFF"/>
              </w:rPr>
              <w:t>Fiscal 2026 Objective</w:t>
            </w:r>
          </w:p>
        </w:tc>
        <w:tc>
          <w:tcPr>
            <w:tcW w:w="920" w:type="dxa"/>
            <w:vAlign w:val="bottom"/>
          </w:tcPr>
          <w:p>
            <w:pPr>
              <w:spacing w:after="0"/>
              <w:rPr>
                <w:sz w:val="24"/>
                <w:szCs w:val="24"/>
                <w:color w:val="auto"/>
              </w:rPr>
            </w:pPr>
          </w:p>
        </w:tc>
      </w:tr>
      <w:tr>
        <w:trPr>
          <w:trHeight w:val="220"/>
        </w:trPr>
        <w:tc>
          <w:tcPr>
            <w:tcW w:w="920" w:type="dxa"/>
            <w:vAlign w:val="bottom"/>
          </w:tcPr>
          <w:p>
            <w:pPr>
              <w:spacing w:after="0"/>
              <w:rPr>
                <w:sz w:val="19"/>
                <w:szCs w:val="19"/>
                <w:color w:val="auto"/>
              </w:rPr>
            </w:pPr>
          </w:p>
        </w:tc>
        <w:tc>
          <w:tcPr>
            <w:tcW w:w="2360" w:type="dxa"/>
            <w:vAlign w:val="bottom"/>
          </w:tcPr>
          <w:p>
            <w:pPr>
              <w:ind w:left="160"/>
              <w:spacing w:after="0"/>
              <w:rPr>
                <w:sz w:val="20"/>
                <w:szCs w:val="20"/>
                <w:color w:val="auto"/>
              </w:rPr>
            </w:pPr>
            <w:r>
              <w:rPr>
                <w:rFonts w:ascii="Arial" w:cs="Arial" w:eastAsia="Arial" w:hAnsi="Arial"/>
                <w:sz w:val="14"/>
                <w:szCs w:val="14"/>
                <w:b w:val="1"/>
                <w:bCs w:val="1"/>
                <w:color w:val="001641"/>
              </w:rPr>
              <w:t>Base Salary</w:t>
            </w:r>
          </w:p>
        </w:tc>
        <w:tc>
          <w:tcPr>
            <w:tcW w:w="660" w:type="dxa"/>
            <w:vAlign w:val="bottom"/>
            <w:shd w:val="clear" w:color="auto" w:fill="EBE1D2"/>
          </w:tcPr>
          <w:p>
            <w:pPr>
              <w:spacing w:after="0"/>
              <w:rPr>
                <w:sz w:val="19"/>
                <w:szCs w:val="19"/>
                <w:color w:val="auto"/>
              </w:rPr>
            </w:pPr>
          </w:p>
        </w:tc>
        <w:tc>
          <w:tcPr>
            <w:tcW w:w="6160" w:type="dxa"/>
            <w:vAlign w:val="bottom"/>
          </w:tcPr>
          <w:p>
            <w:pPr>
              <w:ind w:left="100"/>
              <w:spacing w:after="0"/>
              <w:rPr>
                <w:sz w:val="20"/>
                <w:szCs w:val="20"/>
                <w:color w:val="auto"/>
              </w:rPr>
            </w:pPr>
            <w:r>
              <w:rPr>
                <w:rFonts w:ascii="Arial" w:cs="Arial" w:eastAsia="Arial" w:hAnsi="Arial"/>
                <w:sz w:val="14"/>
                <w:szCs w:val="14"/>
                <w:color w:val="001641"/>
              </w:rPr>
              <w:t>Provide a competitive, fixed level of cash compensation to attract and retain talented and</w:t>
            </w:r>
          </w:p>
        </w:tc>
        <w:tc>
          <w:tcPr>
            <w:tcW w:w="920" w:type="dxa"/>
            <w:vAlign w:val="bottom"/>
          </w:tcPr>
          <w:p>
            <w:pPr>
              <w:spacing w:after="0"/>
              <w:rPr>
                <w:sz w:val="19"/>
                <w:szCs w:val="19"/>
                <w:color w:val="auto"/>
              </w:rPr>
            </w:pPr>
          </w:p>
        </w:tc>
      </w:tr>
      <w:tr>
        <w:trPr>
          <w:trHeight w:val="239"/>
        </w:trPr>
        <w:tc>
          <w:tcPr>
            <w:tcW w:w="9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60" w:type="dxa"/>
            <w:vAlign w:val="bottom"/>
            <w:tcBorders>
              <w:bottom w:val="single" w:sz="8" w:color="EBE1D2"/>
            </w:tcBorders>
            <w:shd w:val="clear" w:color="auto" w:fill="EBE1D2"/>
          </w:tcPr>
          <w:p>
            <w:pPr>
              <w:spacing w:after="0"/>
              <w:rPr>
                <w:sz w:val="20"/>
                <w:szCs w:val="20"/>
                <w:color w:val="auto"/>
              </w:rPr>
            </w:pPr>
          </w:p>
        </w:tc>
        <w:tc>
          <w:tcPr>
            <w:tcW w:w="6160" w:type="dxa"/>
            <w:vAlign w:val="bottom"/>
          </w:tcPr>
          <w:p>
            <w:pPr>
              <w:ind w:left="100"/>
              <w:spacing w:after="0"/>
              <w:rPr>
                <w:sz w:val="20"/>
                <w:szCs w:val="20"/>
                <w:color w:val="auto"/>
              </w:rPr>
            </w:pPr>
            <w:r>
              <w:rPr>
                <w:rFonts w:ascii="Arial" w:cs="Arial" w:eastAsia="Arial" w:hAnsi="Arial"/>
                <w:sz w:val="14"/>
                <w:szCs w:val="14"/>
                <w:color w:val="001641"/>
              </w:rPr>
              <w:t>skilled employees.</w:t>
            </w:r>
          </w:p>
        </w:tc>
        <w:tc>
          <w:tcPr>
            <w:tcW w:w="920" w:type="dxa"/>
            <w:vAlign w:val="bottom"/>
          </w:tcPr>
          <w:p>
            <w:pPr>
              <w:spacing w:after="0"/>
              <w:rPr>
                <w:sz w:val="20"/>
                <w:szCs w:val="20"/>
                <w:color w:val="auto"/>
              </w:rPr>
            </w:pPr>
          </w:p>
        </w:tc>
      </w:tr>
      <w:tr>
        <w:trPr>
          <w:trHeight w:val="214"/>
        </w:trPr>
        <w:tc>
          <w:tcPr>
            <w:tcW w:w="920" w:type="dxa"/>
            <w:vAlign w:val="bottom"/>
          </w:tcPr>
          <w:p>
            <w:pPr>
              <w:spacing w:after="0"/>
              <w:rPr>
                <w:sz w:val="18"/>
                <w:szCs w:val="18"/>
                <w:color w:val="auto"/>
              </w:rPr>
            </w:pPr>
          </w:p>
        </w:tc>
        <w:tc>
          <w:tcPr>
            <w:tcW w:w="2360" w:type="dxa"/>
            <w:vAlign w:val="bottom"/>
            <w:tcBorders>
              <w:top w:val="single" w:sz="8" w:color="BFA071"/>
            </w:tcBorders>
          </w:tcPr>
          <w:p>
            <w:pPr>
              <w:ind w:left="160"/>
              <w:spacing w:after="0"/>
              <w:rPr>
                <w:sz w:val="20"/>
                <w:szCs w:val="20"/>
                <w:color w:val="auto"/>
              </w:rPr>
            </w:pPr>
            <w:r>
              <w:rPr>
                <w:rFonts w:ascii="Arial" w:cs="Arial" w:eastAsia="Arial" w:hAnsi="Arial"/>
                <w:sz w:val="14"/>
                <w:szCs w:val="14"/>
                <w:b w:val="1"/>
                <w:bCs w:val="1"/>
                <w:color w:val="001641"/>
              </w:rPr>
              <w:t>Annual Cash Incentive Awards</w:t>
            </w:r>
          </w:p>
        </w:tc>
        <w:tc>
          <w:tcPr>
            <w:tcW w:w="660" w:type="dxa"/>
            <w:vAlign w:val="bottom"/>
            <w:tcBorders>
              <w:top w:val="single" w:sz="8" w:color="BFA071"/>
            </w:tcBorders>
            <w:shd w:val="clear" w:color="auto" w:fill="EBE1D2"/>
          </w:tcPr>
          <w:p>
            <w:pPr>
              <w:spacing w:after="0"/>
              <w:rPr>
                <w:sz w:val="18"/>
                <w:szCs w:val="18"/>
                <w:color w:val="auto"/>
              </w:rPr>
            </w:pPr>
          </w:p>
        </w:tc>
        <w:tc>
          <w:tcPr>
            <w:tcW w:w="6160" w:type="dxa"/>
            <w:vAlign w:val="bottom"/>
            <w:tcBorders>
              <w:top w:val="single" w:sz="8" w:color="BFA071"/>
            </w:tcBorders>
          </w:tcPr>
          <w:p>
            <w:pPr>
              <w:ind w:left="100"/>
              <w:spacing w:after="0"/>
              <w:rPr>
                <w:sz w:val="20"/>
                <w:szCs w:val="20"/>
                <w:color w:val="auto"/>
              </w:rPr>
            </w:pPr>
            <w:r>
              <w:rPr>
                <w:rFonts w:ascii="Arial" w:cs="Arial" w:eastAsia="Arial" w:hAnsi="Arial"/>
                <w:sz w:val="14"/>
                <w:szCs w:val="14"/>
                <w:color w:val="001641"/>
              </w:rPr>
              <w:t>Motivate and reward employees to achieve or exceed current-year financial and other</w:t>
            </w:r>
          </w:p>
        </w:tc>
        <w:tc>
          <w:tcPr>
            <w:tcW w:w="920" w:type="dxa"/>
            <w:vAlign w:val="bottom"/>
          </w:tcPr>
          <w:p>
            <w:pPr>
              <w:spacing w:after="0"/>
              <w:rPr>
                <w:sz w:val="18"/>
                <w:szCs w:val="18"/>
                <w:color w:val="auto"/>
              </w:rPr>
            </w:pPr>
          </w:p>
        </w:tc>
      </w:tr>
      <w:tr>
        <w:trPr>
          <w:trHeight w:val="162"/>
        </w:trPr>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60" w:type="dxa"/>
            <w:vAlign w:val="bottom"/>
            <w:shd w:val="clear" w:color="auto" w:fill="EBE1D2"/>
          </w:tcPr>
          <w:p>
            <w:pPr>
              <w:spacing w:after="0"/>
              <w:rPr>
                <w:sz w:val="14"/>
                <w:szCs w:val="14"/>
                <w:color w:val="auto"/>
              </w:rPr>
            </w:pPr>
          </w:p>
        </w:tc>
        <w:tc>
          <w:tcPr>
            <w:tcW w:w="6160" w:type="dxa"/>
            <w:vAlign w:val="bottom"/>
          </w:tcPr>
          <w:p>
            <w:pPr>
              <w:ind w:left="100"/>
              <w:spacing w:after="0"/>
              <w:rPr>
                <w:sz w:val="20"/>
                <w:szCs w:val="20"/>
                <w:color w:val="auto"/>
              </w:rPr>
            </w:pPr>
            <w:r>
              <w:rPr>
                <w:rFonts w:ascii="Arial" w:cs="Arial" w:eastAsia="Arial" w:hAnsi="Arial"/>
                <w:sz w:val="14"/>
                <w:szCs w:val="14"/>
                <w:color w:val="001641"/>
              </w:rPr>
              <w:t>strategic goals with variable cash compensation earned based on achieving pre-established</w:t>
            </w:r>
          </w:p>
        </w:tc>
        <w:tc>
          <w:tcPr>
            <w:tcW w:w="920" w:type="dxa"/>
            <w:vAlign w:val="bottom"/>
          </w:tcPr>
          <w:p>
            <w:pPr>
              <w:spacing w:after="0"/>
              <w:rPr>
                <w:sz w:val="14"/>
                <w:szCs w:val="14"/>
                <w:color w:val="auto"/>
              </w:rPr>
            </w:pPr>
          </w:p>
        </w:tc>
      </w:tr>
      <w:tr>
        <w:trPr>
          <w:trHeight w:val="239"/>
        </w:trPr>
        <w:tc>
          <w:tcPr>
            <w:tcW w:w="9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60" w:type="dxa"/>
            <w:vAlign w:val="bottom"/>
            <w:tcBorders>
              <w:bottom w:val="single" w:sz="8" w:color="EBE1D2"/>
            </w:tcBorders>
            <w:shd w:val="clear" w:color="auto" w:fill="EBE1D2"/>
          </w:tcPr>
          <w:p>
            <w:pPr>
              <w:spacing w:after="0"/>
              <w:rPr>
                <w:sz w:val="20"/>
                <w:szCs w:val="20"/>
                <w:color w:val="auto"/>
              </w:rPr>
            </w:pPr>
          </w:p>
        </w:tc>
        <w:tc>
          <w:tcPr>
            <w:tcW w:w="6160" w:type="dxa"/>
            <w:vAlign w:val="bottom"/>
          </w:tcPr>
          <w:p>
            <w:pPr>
              <w:ind w:left="100"/>
              <w:spacing w:after="0"/>
              <w:rPr>
                <w:sz w:val="20"/>
                <w:szCs w:val="20"/>
                <w:color w:val="auto"/>
              </w:rPr>
            </w:pPr>
            <w:r>
              <w:rPr>
                <w:rFonts w:ascii="Arial" w:cs="Arial" w:eastAsia="Arial" w:hAnsi="Arial"/>
                <w:sz w:val="14"/>
                <w:szCs w:val="14"/>
                <w:color w:val="001641"/>
              </w:rPr>
              <w:t>annual goals.</w:t>
            </w:r>
          </w:p>
        </w:tc>
        <w:tc>
          <w:tcPr>
            <w:tcW w:w="920" w:type="dxa"/>
            <w:vAlign w:val="bottom"/>
          </w:tcPr>
          <w:p>
            <w:pPr>
              <w:spacing w:after="0"/>
              <w:rPr>
                <w:sz w:val="20"/>
                <w:szCs w:val="20"/>
                <w:color w:val="auto"/>
              </w:rPr>
            </w:pPr>
          </w:p>
        </w:tc>
      </w:tr>
      <w:tr>
        <w:trPr>
          <w:trHeight w:val="214"/>
        </w:trPr>
        <w:tc>
          <w:tcPr>
            <w:tcW w:w="920" w:type="dxa"/>
            <w:vAlign w:val="bottom"/>
          </w:tcPr>
          <w:p>
            <w:pPr>
              <w:spacing w:after="0"/>
              <w:rPr>
                <w:sz w:val="18"/>
                <w:szCs w:val="18"/>
                <w:color w:val="auto"/>
              </w:rPr>
            </w:pPr>
          </w:p>
        </w:tc>
        <w:tc>
          <w:tcPr>
            <w:tcW w:w="2360" w:type="dxa"/>
            <w:vAlign w:val="bottom"/>
            <w:tcBorders>
              <w:top w:val="single" w:sz="8" w:color="BFA071"/>
            </w:tcBorders>
          </w:tcPr>
          <w:p>
            <w:pPr>
              <w:ind w:left="160"/>
              <w:spacing w:after="0"/>
              <w:rPr>
                <w:sz w:val="20"/>
                <w:szCs w:val="20"/>
                <w:color w:val="auto"/>
              </w:rPr>
            </w:pPr>
            <w:r>
              <w:rPr>
                <w:rFonts w:ascii="Arial" w:cs="Arial" w:eastAsia="Arial" w:hAnsi="Arial"/>
                <w:sz w:val="14"/>
                <w:szCs w:val="14"/>
                <w:b w:val="1"/>
                <w:bCs w:val="1"/>
                <w:color w:val="001641"/>
              </w:rPr>
              <w:t>Long-Term Equity-Based</w:t>
            </w:r>
          </w:p>
        </w:tc>
        <w:tc>
          <w:tcPr>
            <w:tcW w:w="660" w:type="dxa"/>
            <w:vAlign w:val="bottom"/>
            <w:tcBorders>
              <w:top w:val="single" w:sz="8" w:color="BFA071"/>
            </w:tcBorders>
            <w:shd w:val="clear" w:color="auto" w:fill="EBE1D2"/>
          </w:tcPr>
          <w:p>
            <w:pPr>
              <w:spacing w:after="0"/>
              <w:rPr>
                <w:sz w:val="18"/>
                <w:szCs w:val="18"/>
                <w:color w:val="auto"/>
              </w:rPr>
            </w:pPr>
          </w:p>
        </w:tc>
        <w:tc>
          <w:tcPr>
            <w:tcW w:w="6160" w:type="dxa"/>
            <w:vAlign w:val="bottom"/>
            <w:tcBorders>
              <w:top w:val="single" w:sz="8" w:color="BFA071"/>
            </w:tcBorders>
          </w:tcPr>
          <w:p>
            <w:pPr>
              <w:ind w:left="100"/>
              <w:spacing w:after="0"/>
              <w:rPr>
                <w:sz w:val="20"/>
                <w:szCs w:val="20"/>
                <w:color w:val="auto"/>
              </w:rPr>
            </w:pPr>
            <w:r>
              <w:rPr>
                <w:rFonts w:ascii="Arial" w:cs="Arial" w:eastAsia="Arial" w:hAnsi="Arial"/>
                <w:sz w:val="14"/>
                <w:szCs w:val="14"/>
                <w:color w:val="001641"/>
              </w:rPr>
              <w:t>Align each employee’s interest with those of our stockholders and encourage executive</w:t>
            </w:r>
          </w:p>
        </w:tc>
        <w:tc>
          <w:tcPr>
            <w:tcW w:w="920" w:type="dxa"/>
            <w:vAlign w:val="bottom"/>
          </w:tcPr>
          <w:p>
            <w:pPr>
              <w:spacing w:after="0"/>
              <w:rPr>
                <w:sz w:val="18"/>
                <w:szCs w:val="18"/>
                <w:color w:val="auto"/>
              </w:rPr>
            </w:pPr>
          </w:p>
        </w:tc>
      </w:tr>
      <w:tr>
        <w:trPr>
          <w:trHeight w:val="162"/>
        </w:trPr>
        <w:tc>
          <w:tcPr>
            <w:tcW w:w="920" w:type="dxa"/>
            <w:vAlign w:val="bottom"/>
          </w:tcPr>
          <w:p>
            <w:pPr>
              <w:spacing w:after="0"/>
              <w:rPr>
                <w:sz w:val="14"/>
                <w:szCs w:val="14"/>
                <w:color w:val="auto"/>
              </w:rPr>
            </w:pPr>
          </w:p>
        </w:tc>
        <w:tc>
          <w:tcPr>
            <w:tcW w:w="2360" w:type="dxa"/>
            <w:vAlign w:val="bottom"/>
          </w:tcPr>
          <w:p>
            <w:pPr>
              <w:ind w:left="160"/>
              <w:spacing w:after="0"/>
              <w:rPr>
                <w:sz w:val="20"/>
                <w:szCs w:val="20"/>
                <w:color w:val="auto"/>
              </w:rPr>
            </w:pPr>
            <w:r>
              <w:rPr>
                <w:rFonts w:ascii="Arial" w:cs="Arial" w:eastAsia="Arial" w:hAnsi="Arial"/>
                <w:sz w:val="14"/>
                <w:szCs w:val="14"/>
                <w:b w:val="1"/>
                <w:bCs w:val="1"/>
                <w:color w:val="001641"/>
              </w:rPr>
              <w:t>Incentive Awards</w:t>
            </w:r>
          </w:p>
        </w:tc>
        <w:tc>
          <w:tcPr>
            <w:tcW w:w="660" w:type="dxa"/>
            <w:vAlign w:val="bottom"/>
            <w:shd w:val="clear" w:color="auto" w:fill="EBE1D2"/>
          </w:tcPr>
          <w:p>
            <w:pPr>
              <w:spacing w:after="0"/>
              <w:rPr>
                <w:sz w:val="14"/>
                <w:szCs w:val="14"/>
                <w:color w:val="auto"/>
              </w:rPr>
            </w:pPr>
          </w:p>
        </w:tc>
        <w:tc>
          <w:tcPr>
            <w:tcW w:w="6160" w:type="dxa"/>
            <w:vAlign w:val="bottom"/>
          </w:tcPr>
          <w:p>
            <w:pPr>
              <w:ind w:left="100"/>
              <w:spacing w:after="0"/>
              <w:rPr>
                <w:sz w:val="20"/>
                <w:szCs w:val="20"/>
                <w:color w:val="auto"/>
              </w:rPr>
            </w:pPr>
            <w:r>
              <w:rPr>
                <w:rFonts w:ascii="Arial" w:cs="Arial" w:eastAsia="Arial" w:hAnsi="Arial"/>
                <w:sz w:val="14"/>
                <w:szCs w:val="14"/>
                <w:color w:val="001641"/>
              </w:rPr>
              <w:t>decision-making that maximizes value creation over the long term with variable equity</w:t>
            </w:r>
          </w:p>
        </w:tc>
        <w:tc>
          <w:tcPr>
            <w:tcW w:w="920" w:type="dxa"/>
            <w:vAlign w:val="bottom"/>
          </w:tcPr>
          <w:p>
            <w:pPr>
              <w:spacing w:after="0"/>
              <w:rPr>
                <w:sz w:val="14"/>
                <w:szCs w:val="14"/>
                <w:color w:val="auto"/>
              </w:rPr>
            </w:pPr>
          </w:p>
        </w:tc>
      </w:tr>
      <w:tr>
        <w:trPr>
          <w:trHeight w:val="225"/>
        </w:trPr>
        <w:tc>
          <w:tcPr>
            <w:tcW w:w="9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60" w:type="dxa"/>
            <w:vAlign w:val="bottom"/>
            <w:tcBorders>
              <w:bottom w:val="single" w:sz="8" w:color="EBE1D2"/>
            </w:tcBorders>
            <w:shd w:val="clear" w:color="auto" w:fill="EBE1D2"/>
          </w:tcPr>
          <w:p>
            <w:pPr>
              <w:spacing w:after="0"/>
              <w:rPr>
                <w:sz w:val="19"/>
                <w:szCs w:val="19"/>
                <w:color w:val="auto"/>
              </w:rPr>
            </w:pPr>
          </w:p>
        </w:tc>
        <w:tc>
          <w:tcPr>
            <w:tcW w:w="6160" w:type="dxa"/>
            <w:vAlign w:val="bottom"/>
          </w:tcPr>
          <w:p>
            <w:pPr>
              <w:ind w:left="100"/>
              <w:spacing w:after="0"/>
              <w:rPr>
                <w:sz w:val="20"/>
                <w:szCs w:val="20"/>
                <w:color w:val="auto"/>
              </w:rPr>
            </w:pPr>
            <w:r>
              <w:rPr>
                <w:rFonts w:ascii="Arial" w:cs="Arial" w:eastAsia="Arial" w:hAnsi="Arial"/>
                <w:sz w:val="14"/>
                <w:szCs w:val="14"/>
                <w:color w:val="001641"/>
              </w:rPr>
              <w:t>compensation earned based on achieving pre-established long-term goals.</w:t>
            </w:r>
          </w:p>
        </w:tc>
        <w:tc>
          <w:tcPr>
            <w:tcW w:w="920" w:type="dxa"/>
            <w:vAlign w:val="bottom"/>
          </w:tcPr>
          <w:p>
            <w:pPr>
              <w:spacing w:after="0"/>
              <w:rPr>
                <w:sz w:val="19"/>
                <w:szCs w:val="19"/>
                <w:color w:val="auto"/>
              </w:rPr>
            </w:pPr>
          </w:p>
        </w:tc>
      </w:tr>
      <w:tr>
        <w:trPr>
          <w:trHeight w:val="210"/>
        </w:trPr>
        <w:tc>
          <w:tcPr>
            <w:tcW w:w="920" w:type="dxa"/>
            <w:vAlign w:val="bottom"/>
          </w:tcPr>
          <w:p>
            <w:pPr>
              <w:spacing w:after="0"/>
              <w:rPr>
                <w:sz w:val="18"/>
                <w:szCs w:val="18"/>
                <w:color w:val="auto"/>
              </w:rPr>
            </w:pPr>
          </w:p>
        </w:tc>
        <w:tc>
          <w:tcPr>
            <w:tcW w:w="3020" w:type="dxa"/>
            <w:vAlign w:val="bottom"/>
            <w:tcBorders>
              <w:top w:val="single" w:sz="8" w:color="001641"/>
              <w:bottom w:val="single" w:sz="8" w:color="808080"/>
            </w:tcBorders>
            <w:gridSpan w:val="2"/>
          </w:tcPr>
          <w:p>
            <w:pPr>
              <w:spacing w:after="0"/>
              <w:rPr>
                <w:sz w:val="18"/>
                <w:szCs w:val="18"/>
                <w:color w:val="auto"/>
              </w:rPr>
            </w:pPr>
          </w:p>
        </w:tc>
        <w:tc>
          <w:tcPr>
            <w:tcW w:w="6160" w:type="dxa"/>
            <w:vAlign w:val="bottom"/>
            <w:tcBorders>
              <w:top w:val="single" w:sz="8" w:color="001641"/>
              <w:bottom w:val="single" w:sz="8" w:color="808080"/>
            </w:tcBorders>
          </w:tcPr>
          <w:p>
            <w:pPr>
              <w:spacing w:after="0"/>
              <w:rPr>
                <w:sz w:val="18"/>
                <w:szCs w:val="18"/>
                <w:color w:val="auto"/>
              </w:rPr>
            </w:pPr>
          </w:p>
        </w:tc>
        <w:tc>
          <w:tcPr>
            <w:tcW w:w="920" w:type="dxa"/>
            <w:vAlign w:val="bottom"/>
          </w:tcPr>
          <w:p>
            <w:pPr>
              <w:spacing w:after="0"/>
              <w:rPr>
                <w:sz w:val="18"/>
                <w:szCs w:val="18"/>
                <w:color w:val="auto"/>
              </w:rPr>
            </w:pPr>
          </w:p>
        </w:tc>
      </w:tr>
      <w:tr>
        <w:trPr>
          <w:trHeight w:val="423"/>
        </w:trPr>
        <w:tc>
          <w:tcPr>
            <w:tcW w:w="9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color w:val="001641"/>
              </w:rPr>
              <w:t xml:space="preserve">74  </w:t>
            </w:r>
            <w:r>
              <w:rPr>
                <w:rFonts w:ascii="Arial" w:cs="Arial" w:eastAsia="Arial" w:hAnsi="Arial"/>
                <w:sz w:val="14"/>
                <w:szCs w:val="14"/>
                <w:color w:val="808080"/>
              </w:rPr>
              <w:t>Ralph Lauren 2026 Proxy Statement</w:t>
            </w:r>
          </w:p>
        </w:tc>
        <w:tc>
          <w:tcPr>
            <w:tcW w:w="6160" w:type="dxa"/>
            <w:vAlign w:val="bottom"/>
          </w:tcPr>
          <w:p>
            <w:pPr>
              <w:ind w:left="5940"/>
              <w:spacing w:after="0"/>
              <w:rPr>
                <w:sz w:val="20"/>
                <w:szCs w:val="20"/>
                <w:color w:val="auto"/>
              </w:rPr>
            </w:pPr>
            <w:r>
              <w:rPr>
                <w:rFonts w:ascii="Arial" w:cs="Arial" w:eastAsia="Arial" w:hAnsi="Arial"/>
                <w:sz w:val="14"/>
                <w:szCs w:val="14"/>
                <w:color w:val="808080"/>
              </w:rPr>
              <w:t xml:space="preserve">    </w:t>
            </w:r>
          </w:p>
        </w:tc>
        <w:tc>
          <w:tcPr>
            <w:tcW w:w="920" w:type="dxa"/>
            <w:vAlign w:val="bottom"/>
          </w:tcPr>
          <w:p>
            <w:pPr>
              <w:spacing w:after="0"/>
              <w:rPr>
                <w:sz w:val="24"/>
                <w:szCs w:val="24"/>
                <w:color w:val="auto"/>
              </w:rPr>
            </w:pPr>
          </w:p>
        </w:tc>
      </w:tr>
      <w:tr>
        <w:trPr>
          <w:trHeight w:val="158"/>
        </w:trPr>
        <w:tc>
          <w:tcPr>
            <w:tcW w:w="9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-256540</wp:posOffset>
            </wp:positionV>
            <wp:extent cx="128905" cy="11112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85" w:name="page86"/>
    <w:bookmarkEnd w:id="8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COMPENSATION PROGRAMS PAY MIX</w:t>
      </w:r>
    </w:p>
    <w:p>
      <w:pPr>
        <w:spacing w:after="0" w:line="162" w:lineRule="exact"/>
        <w:rPr>
          <w:sz w:val="20"/>
          <w:szCs w:val="20"/>
          <w:color w:val="auto"/>
        </w:rPr>
      </w:pPr>
    </w:p>
    <w:p>
      <w:pPr>
        <w:ind w:left="6" w:right="220"/>
        <w:spacing w:after="0" w:line="266" w:lineRule="auto"/>
        <w:rPr>
          <w:sz w:val="20"/>
          <w:szCs w:val="20"/>
          <w:color w:val="auto"/>
        </w:rPr>
      </w:pPr>
      <w:r>
        <w:rPr>
          <w:rFonts w:ascii="Arial" w:cs="Arial" w:eastAsia="Arial" w:hAnsi="Arial"/>
          <w:sz w:val="16"/>
          <w:szCs w:val="16"/>
          <w:color w:val="auto"/>
        </w:rPr>
        <w:t>The charts below reflect the components and allocation of the variable and fixed elements that comprise the target total direct compensation for our NEOs at the end of Fiscal 2026. Total direct annual compensation represents base salary plus target bonus and target annual equity in place at the end of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203200</wp:posOffset>
            </wp:positionV>
            <wp:extent cx="4603115" cy="219456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60311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  </w:t>
      </w:r>
    </w:p>
    <w:p>
      <w:pPr>
        <w:spacing w:after="0" w:line="29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COMPENSATION ELEMENT: BASE SALARY</w:t>
      </w:r>
    </w:p>
    <w:p>
      <w:pPr>
        <w:spacing w:after="0" w:line="162" w:lineRule="exact"/>
        <w:rPr>
          <w:sz w:val="20"/>
          <w:szCs w:val="20"/>
          <w:color w:val="auto"/>
        </w:rPr>
      </w:pPr>
    </w:p>
    <w:p>
      <w:pPr>
        <w:ind w:left="6" w:right="100"/>
        <w:spacing w:after="0" w:line="259" w:lineRule="auto"/>
        <w:rPr>
          <w:sz w:val="20"/>
          <w:szCs w:val="20"/>
          <w:color w:val="auto"/>
        </w:rPr>
      </w:pPr>
      <w:r>
        <w:rPr>
          <w:rFonts w:ascii="Arial" w:cs="Arial" w:eastAsia="Arial" w:hAnsi="Arial"/>
          <w:sz w:val="16"/>
          <w:szCs w:val="16"/>
          <w:color w:val="auto"/>
        </w:rPr>
        <w:t>We pay base salaries to attract and retain talented executives and to provide a fixed base of cash compensation. Base salaries for each of our NEOs are determined and approved by the Talent Committee. In general, base salaries may be reviewed periodically by the Talent Committee and are provided in each NEO’s employment agreement and any changes thereto as approved by the Talent Committee are communicated to the NEO and reported in our annual reports.</w:t>
      </w:r>
    </w:p>
    <w:p>
      <w:pPr>
        <w:spacing w:after="0" w:line="205" w:lineRule="exact"/>
        <w:rPr>
          <w:sz w:val="20"/>
          <w:szCs w:val="20"/>
          <w:color w:val="auto"/>
        </w:rPr>
      </w:pPr>
    </w:p>
    <w:p>
      <w:pPr>
        <w:ind w:left="6"/>
        <w:spacing w:after="0"/>
        <w:rPr>
          <w:sz w:val="20"/>
          <w:szCs w:val="20"/>
          <w:color w:val="auto"/>
        </w:rPr>
      </w:pPr>
      <w:r>
        <w:rPr>
          <w:rFonts w:ascii="Arial" w:cs="Arial" w:eastAsia="Arial" w:hAnsi="Arial"/>
          <w:sz w:val="16"/>
          <w:szCs w:val="16"/>
          <w:color w:val="auto"/>
        </w:rPr>
        <w:t>As of the end of Fiscal 2025 and Fiscal 2026, the annual base salaries for our NEOs were as follows:</w:t>
      </w:r>
    </w:p>
    <w:p>
      <w:pPr>
        <w:spacing w:after="0" w:line="195" w:lineRule="exact"/>
        <w:rPr>
          <w:sz w:val="20"/>
          <w:szCs w:val="20"/>
          <w:color w:val="auto"/>
        </w:rPr>
      </w:pPr>
    </w:p>
    <w:tbl>
      <w:tblPr>
        <w:tblLayout w:type="fixed"/>
        <w:tblInd w:w="6" w:type="dxa"/>
        <w:tblCellMar>
          <w:top w:w="0" w:type="dxa"/>
          <w:left w:w="0" w:type="dxa"/>
          <w:bottom w:w="0" w:type="dxa"/>
          <w:right w:w="0" w:type="dxa"/>
        </w:tblCellMar>
      </w:tblPr>
      <w:tr>
        <w:trPr>
          <w:trHeight w:val="261"/>
        </w:trPr>
        <w:tc>
          <w:tcPr>
            <w:tcW w:w="4460" w:type="dxa"/>
            <w:vAlign w:val="bottom"/>
            <w:shd w:val="clear" w:color="auto" w:fill="001641"/>
          </w:tcPr>
          <w:p>
            <w:pPr>
              <w:spacing w:after="0"/>
              <w:rPr>
                <w:sz w:val="22"/>
                <w:szCs w:val="22"/>
                <w:color w:val="auto"/>
              </w:rPr>
            </w:pPr>
          </w:p>
        </w:tc>
        <w:tc>
          <w:tcPr>
            <w:tcW w:w="2380" w:type="dxa"/>
            <w:vAlign w:val="bottom"/>
            <w:shd w:val="clear" w:color="auto" w:fill="001641"/>
          </w:tcPr>
          <w:p>
            <w:pPr>
              <w:jc w:val="right"/>
              <w:ind w:right="168"/>
              <w:spacing w:after="0"/>
              <w:rPr>
                <w:sz w:val="20"/>
                <w:szCs w:val="20"/>
                <w:color w:val="auto"/>
              </w:rPr>
            </w:pPr>
            <w:r>
              <w:rPr>
                <w:rFonts w:ascii="Arial" w:cs="Arial" w:eastAsia="Arial" w:hAnsi="Arial"/>
                <w:sz w:val="14"/>
                <w:szCs w:val="14"/>
                <w:b w:val="1"/>
                <w:bCs w:val="1"/>
                <w:color w:val="FFFFFF"/>
              </w:rPr>
              <w:t>Fiscal 2025</w:t>
            </w:r>
          </w:p>
        </w:tc>
        <w:tc>
          <w:tcPr>
            <w:tcW w:w="1260" w:type="dxa"/>
            <w:vAlign w:val="bottom"/>
            <w:shd w:val="clear" w:color="auto" w:fill="BFA071"/>
          </w:tcPr>
          <w:p>
            <w:pPr>
              <w:jc w:val="right"/>
              <w:ind w:right="168"/>
              <w:spacing w:after="0"/>
              <w:rPr>
                <w:sz w:val="20"/>
                <w:szCs w:val="20"/>
                <w:color w:val="auto"/>
              </w:rPr>
            </w:pPr>
            <w:r>
              <w:rPr>
                <w:rFonts w:ascii="Arial" w:cs="Arial" w:eastAsia="Arial" w:hAnsi="Arial"/>
                <w:sz w:val="14"/>
                <w:szCs w:val="14"/>
                <w:b w:val="1"/>
                <w:bCs w:val="1"/>
                <w:color w:val="FFFFFF"/>
              </w:rPr>
              <w:t>Fiscal 2026</w:t>
            </w:r>
          </w:p>
        </w:tc>
        <w:tc>
          <w:tcPr>
            <w:tcW w:w="1080" w:type="dxa"/>
            <w:vAlign w:val="bottom"/>
            <w:shd w:val="clear" w:color="auto" w:fill="001641"/>
          </w:tcPr>
          <w:p>
            <w:pPr>
              <w:spacing w:after="0"/>
              <w:rPr>
                <w:sz w:val="22"/>
                <w:szCs w:val="22"/>
                <w:color w:val="auto"/>
              </w:rPr>
            </w:pPr>
          </w:p>
        </w:tc>
      </w:tr>
      <w:tr>
        <w:trPr>
          <w:trHeight w:val="162"/>
        </w:trPr>
        <w:tc>
          <w:tcPr>
            <w:tcW w:w="4460" w:type="dxa"/>
            <w:vAlign w:val="bottom"/>
            <w:shd w:val="clear" w:color="auto" w:fill="001641"/>
          </w:tcPr>
          <w:p>
            <w:pPr>
              <w:spacing w:after="0"/>
              <w:rPr>
                <w:sz w:val="14"/>
                <w:szCs w:val="14"/>
                <w:color w:val="auto"/>
              </w:rPr>
            </w:pPr>
          </w:p>
        </w:tc>
        <w:tc>
          <w:tcPr>
            <w:tcW w:w="2380" w:type="dxa"/>
            <w:vAlign w:val="bottom"/>
            <w:shd w:val="clear" w:color="auto" w:fill="001641"/>
          </w:tcPr>
          <w:p>
            <w:pPr>
              <w:jc w:val="right"/>
              <w:ind w:right="168"/>
              <w:spacing w:after="0"/>
              <w:rPr>
                <w:sz w:val="20"/>
                <w:szCs w:val="20"/>
                <w:color w:val="auto"/>
              </w:rPr>
            </w:pPr>
            <w:r>
              <w:rPr>
                <w:rFonts w:ascii="Arial" w:cs="Arial" w:eastAsia="Arial" w:hAnsi="Arial"/>
                <w:sz w:val="14"/>
                <w:szCs w:val="14"/>
                <w:b w:val="1"/>
                <w:bCs w:val="1"/>
                <w:color w:val="FFFFFF"/>
              </w:rPr>
              <w:t>Base Salary</w:t>
            </w:r>
          </w:p>
        </w:tc>
        <w:tc>
          <w:tcPr>
            <w:tcW w:w="1260" w:type="dxa"/>
            <w:vAlign w:val="bottom"/>
            <w:shd w:val="clear" w:color="auto" w:fill="BFA071"/>
          </w:tcPr>
          <w:p>
            <w:pPr>
              <w:jc w:val="right"/>
              <w:ind w:right="168"/>
              <w:spacing w:after="0"/>
              <w:rPr>
                <w:sz w:val="20"/>
                <w:szCs w:val="20"/>
                <w:color w:val="auto"/>
              </w:rPr>
            </w:pPr>
            <w:r>
              <w:rPr>
                <w:rFonts w:ascii="Arial" w:cs="Arial" w:eastAsia="Arial" w:hAnsi="Arial"/>
                <w:sz w:val="14"/>
                <w:szCs w:val="14"/>
                <w:b w:val="1"/>
                <w:bCs w:val="1"/>
                <w:color w:val="FFFFFF"/>
              </w:rPr>
              <w:t>Base Salary</w:t>
            </w:r>
          </w:p>
        </w:tc>
        <w:tc>
          <w:tcPr>
            <w:tcW w:w="1080" w:type="dxa"/>
            <w:vAlign w:val="bottom"/>
            <w:shd w:val="clear" w:color="auto" w:fill="001641"/>
          </w:tcPr>
          <w:p>
            <w:pPr>
              <w:spacing w:after="0"/>
              <w:rPr>
                <w:sz w:val="14"/>
                <w:szCs w:val="14"/>
                <w:color w:val="auto"/>
              </w:rPr>
            </w:pPr>
          </w:p>
        </w:tc>
      </w:tr>
      <w:tr>
        <w:trPr>
          <w:trHeight w:val="205"/>
        </w:trPr>
        <w:tc>
          <w:tcPr>
            <w:tcW w:w="4460" w:type="dxa"/>
            <w:vAlign w:val="bottom"/>
            <w:tcBorders>
              <w:bottom w:val="single" w:sz="8" w:color="001641"/>
            </w:tcBorders>
            <w:shd w:val="clear" w:color="auto" w:fill="001641"/>
          </w:tcPr>
          <w:p>
            <w:pPr>
              <w:ind w:left="140"/>
              <w:spacing w:after="0"/>
              <w:rPr>
                <w:sz w:val="20"/>
                <w:szCs w:val="20"/>
                <w:color w:val="auto"/>
              </w:rPr>
            </w:pPr>
            <w:r>
              <w:rPr>
                <w:rFonts w:ascii="Arial" w:cs="Arial" w:eastAsia="Arial" w:hAnsi="Arial"/>
                <w:sz w:val="14"/>
                <w:szCs w:val="14"/>
                <w:b w:val="1"/>
                <w:bCs w:val="1"/>
                <w:color w:val="FFFFFF"/>
              </w:rPr>
              <w:t>Name / Title</w:t>
            </w:r>
          </w:p>
        </w:tc>
        <w:tc>
          <w:tcPr>
            <w:tcW w:w="2380" w:type="dxa"/>
            <w:vAlign w:val="bottom"/>
            <w:tcBorders>
              <w:bottom w:val="single" w:sz="8" w:color="001641"/>
            </w:tcBorders>
            <w:shd w:val="clear" w:color="auto" w:fill="00164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260" w:type="dxa"/>
            <w:vAlign w:val="bottom"/>
            <w:tcBorders>
              <w:bottom w:val="single" w:sz="8" w:color="BFA071"/>
            </w:tcBorders>
            <w:shd w:val="clear" w:color="auto" w:fill="BFA07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001641"/>
            </w:tcBorders>
            <w:shd w:val="clear" w:color="auto" w:fill="001641"/>
          </w:tcPr>
          <w:p>
            <w:pPr>
              <w:jc w:val="center"/>
              <w:ind w:left="28"/>
              <w:spacing w:after="0"/>
              <w:rPr>
                <w:sz w:val="20"/>
                <w:szCs w:val="20"/>
                <w:color w:val="auto"/>
              </w:rPr>
            </w:pPr>
            <w:r>
              <w:rPr>
                <w:rFonts w:ascii="Arial" w:cs="Arial" w:eastAsia="Arial" w:hAnsi="Arial"/>
                <w:sz w:val="14"/>
                <w:szCs w:val="14"/>
                <w:b w:val="1"/>
                <w:bCs w:val="1"/>
                <w:color w:val="FFFFFF"/>
              </w:rPr>
              <w:t>% Increase</w:t>
            </w:r>
          </w:p>
        </w:tc>
      </w:tr>
      <w:tr>
        <w:trPr>
          <w:trHeight w:val="209"/>
        </w:trPr>
        <w:tc>
          <w:tcPr>
            <w:tcW w:w="4460" w:type="dxa"/>
            <w:vAlign w:val="bottom"/>
          </w:tcPr>
          <w:p>
            <w:pPr>
              <w:ind w:left="140"/>
              <w:spacing w:after="0"/>
              <w:rPr>
                <w:sz w:val="20"/>
                <w:szCs w:val="20"/>
                <w:color w:val="auto"/>
              </w:rPr>
            </w:pPr>
            <w:r>
              <w:rPr>
                <w:rFonts w:ascii="Arial" w:cs="Arial" w:eastAsia="Arial" w:hAnsi="Arial"/>
                <w:sz w:val="14"/>
                <w:szCs w:val="14"/>
                <w:b w:val="1"/>
                <w:bCs w:val="1"/>
                <w:color w:val="001641"/>
              </w:rPr>
              <w:t>Ralph Lauren</w:t>
            </w:r>
          </w:p>
        </w:tc>
        <w:tc>
          <w:tcPr>
            <w:tcW w:w="2380" w:type="dxa"/>
            <w:vAlign w:val="bottom"/>
          </w:tcPr>
          <w:p>
            <w:pPr>
              <w:jc w:val="right"/>
              <w:ind w:right="208"/>
              <w:spacing w:after="0"/>
              <w:rPr>
                <w:sz w:val="20"/>
                <w:szCs w:val="20"/>
                <w:color w:val="auto"/>
              </w:rPr>
            </w:pPr>
            <w:r>
              <w:rPr>
                <w:rFonts w:ascii="Arial" w:cs="Arial" w:eastAsia="Arial" w:hAnsi="Arial"/>
                <w:sz w:val="14"/>
                <w:szCs w:val="14"/>
                <w:color w:val="001641"/>
              </w:rPr>
              <w:t>1,750,000</w:t>
            </w:r>
          </w:p>
        </w:tc>
        <w:tc>
          <w:tcPr>
            <w:tcW w:w="1260" w:type="dxa"/>
            <w:vAlign w:val="bottom"/>
            <w:shd w:val="clear" w:color="auto" w:fill="EBE1D2"/>
          </w:tcPr>
          <w:p>
            <w:pPr>
              <w:jc w:val="right"/>
              <w:ind w:right="228"/>
              <w:spacing w:after="0"/>
              <w:rPr>
                <w:sz w:val="20"/>
                <w:szCs w:val="20"/>
                <w:color w:val="auto"/>
              </w:rPr>
            </w:pPr>
            <w:r>
              <w:rPr>
                <w:rFonts w:ascii="Arial" w:cs="Arial" w:eastAsia="Arial" w:hAnsi="Arial"/>
                <w:sz w:val="14"/>
                <w:szCs w:val="14"/>
                <w:color w:val="001641"/>
              </w:rPr>
              <w:t>1,750,000</w:t>
            </w:r>
          </w:p>
        </w:tc>
        <w:tc>
          <w:tcPr>
            <w:tcW w:w="1080" w:type="dxa"/>
            <w:vAlign w:val="bottom"/>
          </w:tcPr>
          <w:p>
            <w:pPr>
              <w:jc w:val="center"/>
              <w:ind w:left="28"/>
              <w:spacing w:after="0"/>
              <w:rPr>
                <w:sz w:val="20"/>
                <w:szCs w:val="20"/>
                <w:color w:val="auto"/>
              </w:rPr>
            </w:pPr>
            <w:r>
              <w:rPr>
                <w:rFonts w:ascii="Arial" w:cs="Arial" w:eastAsia="Arial" w:hAnsi="Arial"/>
                <w:sz w:val="14"/>
                <w:szCs w:val="14"/>
                <w:color w:val="001641"/>
              </w:rPr>
              <w:t>0%</w:t>
            </w:r>
          </w:p>
        </w:tc>
      </w:tr>
      <w:tr>
        <w:trPr>
          <w:trHeight w:val="223"/>
        </w:trPr>
        <w:tc>
          <w:tcPr>
            <w:tcW w:w="4460" w:type="dxa"/>
            <w:vAlign w:val="bottom"/>
          </w:tcPr>
          <w:p>
            <w:pPr>
              <w:ind w:left="140"/>
              <w:spacing w:after="0"/>
              <w:rPr>
                <w:sz w:val="20"/>
                <w:szCs w:val="20"/>
                <w:color w:val="auto"/>
              </w:rPr>
            </w:pPr>
            <w:r>
              <w:rPr>
                <w:rFonts w:ascii="Arial" w:cs="Arial" w:eastAsia="Arial" w:hAnsi="Arial"/>
                <w:sz w:val="14"/>
                <w:szCs w:val="14"/>
                <w:i w:val="1"/>
                <w:iCs w:val="1"/>
                <w:color w:val="001641"/>
              </w:rPr>
              <w:t>Executive Chairman and Chief Creative Officer</w:t>
            </w:r>
          </w:p>
        </w:tc>
        <w:tc>
          <w:tcPr>
            <w:tcW w:w="2380" w:type="dxa"/>
            <w:vAlign w:val="bottom"/>
          </w:tcPr>
          <w:p>
            <w:pPr>
              <w:spacing w:after="0"/>
              <w:rPr>
                <w:sz w:val="19"/>
                <w:szCs w:val="19"/>
                <w:color w:val="auto"/>
              </w:rPr>
            </w:pPr>
          </w:p>
        </w:tc>
        <w:tc>
          <w:tcPr>
            <w:tcW w:w="1260" w:type="dxa"/>
            <w:vAlign w:val="bottom"/>
            <w:tcBorders>
              <w:bottom w:val="single" w:sz="8" w:color="EBE1D2"/>
            </w:tcBorders>
            <w:shd w:val="clear" w:color="auto" w:fill="EBE1D2"/>
          </w:tcPr>
          <w:p>
            <w:pPr>
              <w:spacing w:after="0"/>
              <w:rPr>
                <w:sz w:val="19"/>
                <w:szCs w:val="19"/>
                <w:color w:val="auto"/>
              </w:rPr>
            </w:pPr>
          </w:p>
        </w:tc>
        <w:tc>
          <w:tcPr>
            <w:tcW w:w="1080" w:type="dxa"/>
            <w:vAlign w:val="bottom"/>
          </w:tcPr>
          <w:p>
            <w:pPr>
              <w:spacing w:after="0"/>
              <w:rPr>
                <w:sz w:val="19"/>
                <w:szCs w:val="19"/>
                <w:color w:val="auto"/>
              </w:rPr>
            </w:pPr>
          </w:p>
        </w:tc>
      </w:tr>
      <w:tr>
        <w:trPr>
          <w:trHeight w:val="202"/>
        </w:trPr>
        <w:tc>
          <w:tcPr>
            <w:tcW w:w="4460" w:type="dxa"/>
            <w:vAlign w:val="bottom"/>
            <w:tcBorders>
              <w:top w:val="single" w:sz="8" w:color="BFA071"/>
            </w:tcBorders>
          </w:tcPr>
          <w:p>
            <w:pPr>
              <w:ind w:left="140"/>
              <w:spacing w:after="0"/>
              <w:rPr>
                <w:sz w:val="20"/>
                <w:szCs w:val="20"/>
                <w:color w:val="auto"/>
              </w:rPr>
            </w:pPr>
            <w:r>
              <w:rPr>
                <w:rFonts w:ascii="Arial" w:cs="Arial" w:eastAsia="Arial" w:hAnsi="Arial"/>
                <w:sz w:val="14"/>
                <w:szCs w:val="14"/>
                <w:b w:val="1"/>
                <w:bCs w:val="1"/>
                <w:color w:val="001641"/>
              </w:rPr>
              <w:t>Patrice Louvet</w:t>
            </w:r>
          </w:p>
        </w:tc>
        <w:tc>
          <w:tcPr>
            <w:tcW w:w="2380" w:type="dxa"/>
            <w:vAlign w:val="bottom"/>
            <w:tcBorders>
              <w:top w:val="single" w:sz="8" w:color="BFA071"/>
            </w:tcBorders>
          </w:tcPr>
          <w:p>
            <w:pPr>
              <w:jc w:val="right"/>
              <w:ind w:right="208"/>
              <w:spacing w:after="0"/>
              <w:rPr>
                <w:sz w:val="20"/>
                <w:szCs w:val="20"/>
                <w:color w:val="auto"/>
              </w:rPr>
            </w:pPr>
            <w:r>
              <w:rPr>
                <w:rFonts w:ascii="Arial" w:cs="Arial" w:eastAsia="Arial" w:hAnsi="Arial"/>
                <w:sz w:val="14"/>
                <w:szCs w:val="14"/>
                <w:color w:val="001641"/>
              </w:rPr>
              <w:t>1,350,000</w:t>
            </w:r>
          </w:p>
        </w:tc>
        <w:tc>
          <w:tcPr>
            <w:tcW w:w="1260" w:type="dxa"/>
            <w:vAlign w:val="bottom"/>
            <w:tcBorders>
              <w:top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1,350,000</w:t>
            </w:r>
          </w:p>
        </w:tc>
        <w:tc>
          <w:tcPr>
            <w:tcW w:w="1080" w:type="dxa"/>
            <w:vAlign w:val="bottom"/>
            <w:tcBorders>
              <w:top w:val="single" w:sz="8" w:color="BFA071"/>
            </w:tcBorders>
          </w:tcPr>
          <w:p>
            <w:pPr>
              <w:jc w:val="center"/>
              <w:ind w:left="28"/>
              <w:spacing w:after="0"/>
              <w:rPr>
                <w:sz w:val="20"/>
                <w:szCs w:val="20"/>
                <w:color w:val="auto"/>
              </w:rPr>
            </w:pPr>
            <w:r>
              <w:rPr>
                <w:rFonts w:ascii="Arial" w:cs="Arial" w:eastAsia="Arial" w:hAnsi="Arial"/>
                <w:sz w:val="14"/>
                <w:szCs w:val="14"/>
                <w:color w:val="001641"/>
              </w:rPr>
              <w:t>0%</w:t>
            </w:r>
          </w:p>
        </w:tc>
      </w:tr>
      <w:tr>
        <w:trPr>
          <w:trHeight w:val="223"/>
        </w:trPr>
        <w:tc>
          <w:tcPr>
            <w:tcW w:w="4460" w:type="dxa"/>
            <w:vAlign w:val="bottom"/>
          </w:tcPr>
          <w:p>
            <w:pPr>
              <w:ind w:left="140"/>
              <w:spacing w:after="0"/>
              <w:rPr>
                <w:sz w:val="20"/>
                <w:szCs w:val="20"/>
                <w:color w:val="auto"/>
              </w:rPr>
            </w:pPr>
            <w:r>
              <w:rPr>
                <w:rFonts w:ascii="Arial" w:cs="Arial" w:eastAsia="Arial" w:hAnsi="Arial"/>
                <w:sz w:val="14"/>
                <w:szCs w:val="14"/>
                <w:i w:val="1"/>
                <w:iCs w:val="1"/>
                <w:color w:val="001641"/>
              </w:rPr>
              <w:t>CEO</w:t>
            </w:r>
          </w:p>
        </w:tc>
        <w:tc>
          <w:tcPr>
            <w:tcW w:w="2380" w:type="dxa"/>
            <w:vAlign w:val="bottom"/>
          </w:tcPr>
          <w:p>
            <w:pPr>
              <w:spacing w:after="0"/>
              <w:rPr>
                <w:sz w:val="19"/>
                <w:szCs w:val="19"/>
                <w:color w:val="auto"/>
              </w:rPr>
            </w:pPr>
          </w:p>
        </w:tc>
        <w:tc>
          <w:tcPr>
            <w:tcW w:w="1260" w:type="dxa"/>
            <w:vAlign w:val="bottom"/>
            <w:tcBorders>
              <w:bottom w:val="single" w:sz="8" w:color="EBE1D2"/>
            </w:tcBorders>
            <w:shd w:val="clear" w:color="auto" w:fill="EBE1D2"/>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460" w:type="dxa"/>
            <w:vAlign w:val="bottom"/>
            <w:tcBorders>
              <w:top w:val="single" w:sz="8" w:color="BFA071"/>
            </w:tcBorders>
          </w:tcPr>
          <w:p>
            <w:pPr>
              <w:ind w:left="140"/>
              <w:spacing w:after="0" w:line="230" w:lineRule="exact"/>
              <w:rPr>
                <w:sz w:val="20"/>
                <w:szCs w:val="20"/>
                <w:color w:val="auto"/>
              </w:rPr>
            </w:pPr>
            <w:r>
              <w:rPr>
                <w:rFonts w:ascii="Arial" w:cs="Arial" w:eastAsia="Arial" w:hAnsi="Arial"/>
                <w:sz w:val="14"/>
                <w:szCs w:val="14"/>
                <w:b w:val="1"/>
                <w:bCs w:val="1"/>
                <w:color w:val="001641"/>
              </w:rPr>
              <w:t>Robert Ranftl</w:t>
            </w:r>
            <w:r>
              <w:rPr>
                <w:rFonts w:ascii="Arial" w:cs="Arial" w:eastAsia="Arial" w:hAnsi="Arial"/>
                <w:sz w:val="23"/>
                <w:szCs w:val="23"/>
                <w:b w:val="1"/>
                <w:bCs w:val="1"/>
                <w:color w:val="001641"/>
                <w:vertAlign w:val="superscript"/>
              </w:rPr>
              <w:t>1</w:t>
            </w:r>
          </w:p>
        </w:tc>
        <w:tc>
          <w:tcPr>
            <w:tcW w:w="2380" w:type="dxa"/>
            <w:vAlign w:val="bottom"/>
            <w:tcBorders>
              <w:top w:val="single" w:sz="8" w:color="BFA071"/>
            </w:tcBorders>
          </w:tcPr>
          <w:p>
            <w:pPr>
              <w:jc w:val="right"/>
              <w:ind w:right="208"/>
              <w:spacing w:after="0"/>
              <w:rPr>
                <w:sz w:val="20"/>
                <w:szCs w:val="20"/>
                <w:color w:val="auto"/>
              </w:rPr>
            </w:pPr>
            <w:r>
              <w:rPr>
                <w:rFonts w:ascii="Arial" w:cs="Arial" w:eastAsia="Arial" w:hAnsi="Arial"/>
                <w:sz w:val="14"/>
                <w:szCs w:val="14"/>
                <w:color w:val="001641"/>
              </w:rPr>
              <w:t>950,000</w:t>
            </w:r>
          </w:p>
        </w:tc>
        <w:tc>
          <w:tcPr>
            <w:tcW w:w="1260" w:type="dxa"/>
            <w:vAlign w:val="bottom"/>
            <w:tcBorders>
              <w:top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1,000,000</w:t>
            </w:r>
          </w:p>
        </w:tc>
        <w:tc>
          <w:tcPr>
            <w:tcW w:w="1080" w:type="dxa"/>
            <w:vAlign w:val="bottom"/>
            <w:tcBorders>
              <w:top w:val="single" w:sz="8" w:color="BFA071"/>
            </w:tcBorders>
          </w:tcPr>
          <w:p>
            <w:pPr>
              <w:jc w:val="center"/>
              <w:ind w:left="28"/>
              <w:spacing w:after="0"/>
              <w:rPr>
                <w:sz w:val="20"/>
                <w:szCs w:val="20"/>
                <w:color w:val="auto"/>
              </w:rPr>
            </w:pPr>
            <w:r>
              <w:rPr>
                <w:rFonts w:ascii="Arial" w:cs="Arial" w:eastAsia="Arial" w:hAnsi="Arial"/>
                <w:sz w:val="14"/>
                <w:szCs w:val="14"/>
                <w:color w:val="001641"/>
              </w:rPr>
              <w:t>5%</w:t>
            </w:r>
          </w:p>
        </w:tc>
      </w:tr>
      <w:tr>
        <w:trPr>
          <w:trHeight w:val="223"/>
        </w:trPr>
        <w:tc>
          <w:tcPr>
            <w:tcW w:w="4460" w:type="dxa"/>
            <w:vAlign w:val="bottom"/>
          </w:tcPr>
          <w:p>
            <w:pPr>
              <w:ind w:left="140"/>
              <w:spacing w:after="0"/>
              <w:rPr>
                <w:sz w:val="20"/>
                <w:szCs w:val="20"/>
                <w:color w:val="auto"/>
              </w:rPr>
            </w:pPr>
            <w:r>
              <w:rPr>
                <w:rFonts w:ascii="Arial" w:cs="Arial" w:eastAsia="Arial" w:hAnsi="Arial"/>
                <w:sz w:val="14"/>
                <w:szCs w:val="14"/>
                <w:i w:val="1"/>
                <w:iCs w:val="1"/>
                <w:color w:val="001641"/>
              </w:rPr>
              <w:t>COO</w:t>
            </w:r>
          </w:p>
        </w:tc>
        <w:tc>
          <w:tcPr>
            <w:tcW w:w="2380" w:type="dxa"/>
            <w:vAlign w:val="bottom"/>
          </w:tcPr>
          <w:p>
            <w:pPr>
              <w:spacing w:after="0"/>
              <w:rPr>
                <w:sz w:val="19"/>
                <w:szCs w:val="19"/>
                <w:color w:val="auto"/>
              </w:rPr>
            </w:pPr>
          </w:p>
        </w:tc>
        <w:tc>
          <w:tcPr>
            <w:tcW w:w="1260" w:type="dxa"/>
            <w:vAlign w:val="bottom"/>
            <w:tcBorders>
              <w:bottom w:val="single" w:sz="8" w:color="EBE1D2"/>
            </w:tcBorders>
            <w:shd w:val="clear" w:color="auto" w:fill="EBE1D2"/>
          </w:tcPr>
          <w:p>
            <w:pPr>
              <w:spacing w:after="0"/>
              <w:rPr>
                <w:sz w:val="19"/>
                <w:szCs w:val="19"/>
                <w:color w:val="auto"/>
              </w:rPr>
            </w:pPr>
          </w:p>
        </w:tc>
        <w:tc>
          <w:tcPr>
            <w:tcW w:w="1080" w:type="dxa"/>
            <w:vAlign w:val="bottom"/>
          </w:tcPr>
          <w:p>
            <w:pPr>
              <w:spacing w:after="0"/>
              <w:rPr>
                <w:sz w:val="19"/>
                <w:szCs w:val="19"/>
                <w:color w:val="auto"/>
              </w:rPr>
            </w:pPr>
          </w:p>
        </w:tc>
      </w:tr>
      <w:tr>
        <w:trPr>
          <w:trHeight w:val="202"/>
        </w:trPr>
        <w:tc>
          <w:tcPr>
            <w:tcW w:w="4460" w:type="dxa"/>
            <w:vAlign w:val="bottom"/>
            <w:tcBorders>
              <w:top w:val="single" w:sz="8" w:color="BFA071"/>
            </w:tcBorders>
          </w:tcPr>
          <w:p>
            <w:pPr>
              <w:ind w:left="140"/>
              <w:spacing w:after="0"/>
              <w:rPr>
                <w:sz w:val="20"/>
                <w:szCs w:val="20"/>
                <w:color w:val="auto"/>
              </w:rPr>
            </w:pPr>
            <w:r>
              <w:rPr>
                <w:rFonts w:ascii="Arial" w:cs="Arial" w:eastAsia="Arial" w:hAnsi="Arial"/>
                <w:sz w:val="14"/>
                <w:szCs w:val="14"/>
                <w:b w:val="1"/>
                <w:bCs w:val="1"/>
                <w:color w:val="001641"/>
              </w:rPr>
              <w:t>Justin Picicci</w:t>
            </w:r>
          </w:p>
        </w:tc>
        <w:tc>
          <w:tcPr>
            <w:tcW w:w="2380" w:type="dxa"/>
            <w:vAlign w:val="bottom"/>
            <w:tcBorders>
              <w:top w:val="single" w:sz="8" w:color="BFA071"/>
            </w:tcBorders>
          </w:tcPr>
          <w:p>
            <w:pPr>
              <w:jc w:val="right"/>
              <w:ind w:right="208"/>
              <w:spacing w:after="0"/>
              <w:rPr>
                <w:sz w:val="20"/>
                <w:szCs w:val="20"/>
                <w:color w:val="auto"/>
              </w:rPr>
            </w:pPr>
            <w:r>
              <w:rPr>
                <w:rFonts w:ascii="Arial" w:cs="Arial" w:eastAsia="Arial" w:hAnsi="Arial"/>
                <w:sz w:val="14"/>
                <w:szCs w:val="14"/>
                <w:color w:val="001641"/>
              </w:rPr>
              <w:t>700,000</w:t>
            </w:r>
          </w:p>
        </w:tc>
        <w:tc>
          <w:tcPr>
            <w:tcW w:w="1260" w:type="dxa"/>
            <w:vAlign w:val="bottom"/>
            <w:tcBorders>
              <w:top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700,000</w:t>
            </w:r>
          </w:p>
        </w:tc>
        <w:tc>
          <w:tcPr>
            <w:tcW w:w="1080" w:type="dxa"/>
            <w:vAlign w:val="bottom"/>
            <w:tcBorders>
              <w:top w:val="single" w:sz="8" w:color="BFA071"/>
            </w:tcBorders>
          </w:tcPr>
          <w:p>
            <w:pPr>
              <w:jc w:val="center"/>
              <w:ind w:left="28"/>
              <w:spacing w:after="0"/>
              <w:rPr>
                <w:sz w:val="20"/>
                <w:szCs w:val="20"/>
                <w:color w:val="auto"/>
              </w:rPr>
            </w:pPr>
            <w:r>
              <w:rPr>
                <w:rFonts w:ascii="Arial" w:cs="Arial" w:eastAsia="Arial" w:hAnsi="Arial"/>
                <w:sz w:val="14"/>
                <w:szCs w:val="14"/>
                <w:color w:val="001641"/>
              </w:rPr>
              <w:t>0%</w:t>
            </w:r>
          </w:p>
        </w:tc>
      </w:tr>
      <w:tr>
        <w:trPr>
          <w:trHeight w:val="223"/>
        </w:trPr>
        <w:tc>
          <w:tcPr>
            <w:tcW w:w="4460" w:type="dxa"/>
            <w:vAlign w:val="bottom"/>
          </w:tcPr>
          <w:p>
            <w:pPr>
              <w:ind w:left="140"/>
              <w:spacing w:after="0"/>
              <w:rPr>
                <w:sz w:val="20"/>
                <w:szCs w:val="20"/>
                <w:color w:val="auto"/>
              </w:rPr>
            </w:pPr>
            <w:r>
              <w:rPr>
                <w:rFonts w:ascii="Arial" w:cs="Arial" w:eastAsia="Arial" w:hAnsi="Arial"/>
                <w:sz w:val="14"/>
                <w:szCs w:val="14"/>
                <w:i w:val="1"/>
                <w:iCs w:val="1"/>
                <w:color w:val="001641"/>
              </w:rPr>
              <w:t>CFO</w:t>
            </w:r>
          </w:p>
        </w:tc>
        <w:tc>
          <w:tcPr>
            <w:tcW w:w="2380" w:type="dxa"/>
            <w:vAlign w:val="bottom"/>
          </w:tcPr>
          <w:p>
            <w:pPr>
              <w:spacing w:after="0"/>
              <w:rPr>
                <w:sz w:val="19"/>
                <w:szCs w:val="19"/>
                <w:color w:val="auto"/>
              </w:rPr>
            </w:pPr>
          </w:p>
        </w:tc>
        <w:tc>
          <w:tcPr>
            <w:tcW w:w="1260" w:type="dxa"/>
            <w:vAlign w:val="bottom"/>
            <w:tcBorders>
              <w:bottom w:val="single" w:sz="8" w:color="EBE1D2"/>
            </w:tcBorders>
            <w:shd w:val="clear" w:color="auto" w:fill="EBE1D2"/>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460" w:type="dxa"/>
            <w:vAlign w:val="bottom"/>
            <w:tcBorders>
              <w:top w:val="single" w:sz="8" w:color="BFA071"/>
            </w:tcBorders>
          </w:tcPr>
          <w:p>
            <w:pPr>
              <w:ind w:left="140"/>
              <w:spacing w:after="0" w:line="230" w:lineRule="exact"/>
              <w:rPr>
                <w:sz w:val="20"/>
                <w:szCs w:val="20"/>
                <w:color w:val="auto"/>
              </w:rPr>
            </w:pPr>
            <w:r>
              <w:rPr>
                <w:rFonts w:ascii="Arial" w:cs="Arial" w:eastAsia="Arial" w:hAnsi="Arial"/>
                <w:sz w:val="14"/>
                <w:szCs w:val="14"/>
                <w:b w:val="1"/>
                <w:bCs w:val="1"/>
                <w:color w:val="001641"/>
              </w:rPr>
              <w:t>Halide Alagoz</w:t>
            </w:r>
            <w:r>
              <w:rPr>
                <w:rFonts w:ascii="Arial" w:cs="Arial" w:eastAsia="Arial" w:hAnsi="Arial"/>
                <w:sz w:val="23"/>
                <w:szCs w:val="23"/>
                <w:b w:val="1"/>
                <w:bCs w:val="1"/>
                <w:color w:val="001641"/>
                <w:vertAlign w:val="superscript"/>
              </w:rPr>
              <w:t>2</w:t>
            </w:r>
          </w:p>
        </w:tc>
        <w:tc>
          <w:tcPr>
            <w:tcW w:w="2380" w:type="dxa"/>
            <w:vAlign w:val="bottom"/>
            <w:tcBorders>
              <w:top w:val="single" w:sz="8" w:color="BFA071"/>
            </w:tcBorders>
          </w:tcPr>
          <w:p>
            <w:pPr>
              <w:jc w:val="right"/>
              <w:ind w:right="208"/>
              <w:spacing w:after="0"/>
              <w:rPr>
                <w:sz w:val="20"/>
                <w:szCs w:val="20"/>
                <w:color w:val="auto"/>
              </w:rPr>
            </w:pPr>
            <w:r>
              <w:rPr>
                <w:rFonts w:ascii="Arial" w:cs="Arial" w:eastAsia="Arial" w:hAnsi="Arial"/>
                <w:sz w:val="14"/>
                <w:szCs w:val="14"/>
                <w:color w:val="001641"/>
              </w:rPr>
              <w:t>950,000</w:t>
            </w:r>
          </w:p>
        </w:tc>
        <w:tc>
          <w:tcPr>
            <w:tcW w:w="1260" w:type="dxa"/>
            <w:vAlign w:val="bottom"/>
            <w:tcBorders>
              <w:top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1,000,000</w:t>
            </w:r>
          </w:p>
        </w:tc>
        <w:tc>
          <w:tcPr>
            <w:tcW w:w="1080" w:type="dxa"/>
            <w:vAlign w:val="bottom"/>
            <w:tcBorders>
              <w:top w:val="single" w:sz="8" w:color="BFA071"/>
            </w:tcBorders>
          </w:tcPr>
          <w:p>
            <w:pPr>
              <w:jc w:val="center"/>
              <w:ind w:left="28"/>
              <w:spacing w:after="0"/>
              <w:rPr>
                <w:sz w:val="20"/>
                <w:szCs w:val="20"/>
                <w:color w:val="auto"/>
              </w:rPr>
            </w:pPr>
            <w:r>
              <w:rPr>
                <w:rFonts w:ascii="Arial" w:cs="Arial" w:eastAsia="Arial" w:hAnsi="Arial"/>
                <w:sz w:val="14"/>
                <w:szCs w:val="14"/>
                <w:color w:val="001641"/>
              </w:rPr>
              <w:t>5%</w:t>
            </w:r>
          </w:p>
        </w:tc>
      </w:tr>
      <w:tr>
        <w:trPr>
          <w:trHeight w:val="223"/>
        </w:trPr>
        <w:tc>
          <w:tcPr>
            <w:tcW w:w="4460" w:type="dxa"/>
            <w:vAlign w:val="bottom"/>
          </w:tcPr>
          <w:p>
            <w:pPr>
              <w:ind w:left="140"/>
              <w:spacing w:after="0"/>
              <w:rPr>
                <w:sz w:val="20"/>
                <w:szCs w:val="20"/>
                <w:color w:val="auto"/>
              </w:rPr>
            </w:pPr>
            <w:r>
              <w:rPr>
                <w:rFonts w:ascii="Arial" w:cs="Arial" w:eastAsia="Arial" w:hAnsi="Arial"/>
                <w:sz w:val="14"/>
                <w:szCs w:val="14"/>
                <w:i w:val="1"/>
                <w:iCs w:val="1"/>
                <w:color w:val="001641"/>
              </w:rPr>
              <w:t>Chief Product &amp; Merchandising Officer</w:t>
            </w:r>
          </w:p>
        </w:tc>
        <w:tc>
          <w:tcPr>
            <w:tcW w:w="2380" w:type="dxa"/>
            <w:vAlign w:val="bottom"/>
          </w:tcPr>
          <w:p>
            <w:pPr>
              <w:spacing w:after="0"/>
              <w:rPr>
                <w:sz w:val="19"/>
                <w:szCs w:val="19"/>
                <w:color w:val="auto"/>
              </w:rPr>
            </w:pPr>
          </w:p>
        </w:tc>
        <w:tc>
          <w:tcPr>
            <w:tcW w:w="1260" w:type="dxa"/>
            <w:vAlign w:val="bottom"/>
            <w:tcBorders>
              <w:bottom w:val="single" w:sz="8" w:color="EBE1D2"/>
            </w:tcBorders>
            <w:shd w:val="clear" w:color="auto" w:fill="EBE1D2"/>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460" w:type="dxa"/>
            <w:vAlign w:val="bottom"/>
            <w:tcBorders>
              <w:top w:val="single" w:sz="8" w:color="BFA071"/>
            </w:tcBorders>
          </w:tcPr>
          <w:p>
            <w:pPr>
              <w:ind w:left="140"/>
              <w:spacing w:after="0" w:line="230" w:lineRule="exact"/>
              <w:rPr>
                <w:sz w:val="20"/>
                <w:szCs w:val="20"/>
                <w:color w:val="auto"/>
              </w:rPr>
            </w:pPr>
            <w:r>
              <w:rPr>
                <w:rFonts w:ascii="Arial" w:cs="Arial" w:eastAsia="Arial" w:hAnsi="Arial"/>
                <w:sz w:val="14"/>
                <w:szCs w:val="14"/>
                <w:b w:val="1"/>
                <w:bCs w:val="1"/>
                <w:color w:val="001641"/>
              </w:rPr>
              <w:t>David Lauren</w:t>
            </w:r>
            <w:r>
              <w:rPr>
                <w:rFonts w:ascii="Arial" w:cs="Arial" w:eastAsia="Arial" w:hAnsi="Arial"/>
                <w:sz w:val="23"/>
                <w:szCs w:val="23"/>
                <w:b w:val="1"/>
                <w:bCs w:val="1"/>
                <w:color w:val="001641"/>
                <w:vertAlign w:val="superscript"/>
              </w:rPr>
              <w:t>3</w:t>
            </w:r>
          </w:p>
        </w:tc>
        <w:tc>
          <w:tcPr>
            <w:tcW w:w="2380" w:type="dxa"/>
            <w:vAlign w:val="bottom"/>
            <w:tcBorders>
              <w:top w:val="single" w:sz="8" w:color="BFA071"/>
            </w:tcBorders>
          </w:tcPr>
          <w:p>
            <w:pPr>
              <w:jc w:val="right"/>
              <w:ind w:right="208"/>
              <w:spacing w:after="0"/>
              <w:rPr>
                <w:sz w:val="20"/>
                <w:szCs w:val="20"/>
                <w:color w:val="auto"/>
              </w:rPr>
            </w:pPr>
            <w:r>
              <w:rPr>
                <w:rFonts w:ascii="Arial" w:cs="Arial" w:eastAsia="Arial" w:hAnsi="Arial"/>
                <w:sz w:val="14"/>
                <w:szCs w:val="14"/>
                <w:color w:val="001641"/>
              </w:rPr>
              <w:t>950,000</w:t>
            </w:r>
          </w:p>
        </w:tc>
        <w:tc>
          <w:tcPr>
            <w:tcW w:w="1260" w:type="dxa"/>
            <w:vAlign w:val="bottom"/>
            <w:tcBorders>
              <w:top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1,000,000</w:t>
            </w:r>
          </w:p>
        </w:tc>
        <w:tc>
          <w:tcPr>
            <w:tcW w:w="1080" w:type="dxa"/>
            <w:vAlign w:val="bottom"/>
            <w:tcBorders>
              <w:top w:val="single" w:sz="8" w:color="BFA071"/>
            </w:tcBorders>
          </w:tcPr>
          <w:p>
            <w:pPr>
              <w:jc w:val="center"/>
              <w:ind w:left="28"/>
              <w:spacing w:after="0"/>
              <w:rPr>
                <w:sz w:val="20"/>
                <w:szCs w:val="20"/>
                <w:color w:val="auto"/>
              </w:rPr>
            </w:pPr>
            <w:r>
              <w:rPr>
                <w:rFonts w:ascii="Arial" w:cs="Arial" w:eastAsia="Arial" w:hAnsi="Arial"/>
                <w:sz w:val="14"/>
                <w:szCs w:val="14"/>
                <w:color w:val="001641"/>
              </w:rPr>
              <w:t>5%</w:t>
            </w:r>
          </w:p>
        </w:tc>
      </w:tr>
      <w:tr>
        <w:trPr>
          <w:trHeight w:val="203"/>
        </w:trPr>
        <w:tc>
          <w:tcPr>
            <w:tcW w:w="4460" w:type="dxa"/>
            <w:vAlign w:val="bottom"/>
          </w:tcPr>
          <w:p>
            <w:pPr>
              <w:ind w:left="140"/>
              <w:spacing w:after="0"/>
              <w:rPr>
                <w:sz w:val="20"/>
                <w:szCs w:val="20"/>
                <w:color w:val="auto"/>
              </w:rPr>
            </w:pPr>
            <w:r>
              <w:rPr>
                <w:rFonts w:ascii="Arial" w:cs="Arial" w:eastAsia="Arial" w:hAnsi="Arial"/>
                <w:sz w:val="14"/>
                <w:szCs w:val="14"/>
                <w:i w:val="1"/>
                <w:iCs w:val="1"/>
                <w:color w:val="001641"/>
              </w:rPr>
              <w:t>Chief Branding and Innovation Officer</w:t>
            </w:r>
          </w:p>
        </w:tc>
        <w:tc>
          <w:tcPr>
            <w:tcW w:w="2380" w:type="dxa"/>
            <w:vAlign w:val="bottom"/>
          </w:tcPr>
          <w:p>
            <w:pPr>
              <w:spacing w:after="0"/>
              <w:rPr>
                <w:sz w:val="17"/>
                <w:szCs w:val="17"/>
                <w:color w:val="auto"/>
              </w:rPr>
            </w:pPr>
          </w:p>
        </w:tc>
        <w:tc>
          <w:tcPr>
            <w:tcW w:w="1260" w:type="dxa"/>
            <w:vAlign w:val="bottom"/>
            <w:tcBorders>
              <w:bottom w:val="single" w:sz="8" w:color="EBE1D2"/>
            </w:tcBorders>
            <w:shd w:val="clear" w:color="auto" w:fill="EBE1D2"/>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4460" w:type="dxa"/>
            <w:vAlign w:val="bottom"/>
            <w:shd w:val="clear" w:color="auto" w:fill="001641"/>
          </w:tcPr>
          <w:p>
            <w:pPr>
              <w:spacing w:after="0" w:line="20" w:lineRule="exact"/>
              <w:rPr>
                <w:sz w:val="1"/>
                <w:szCs w:val="1"/>
                <w:color w:val="auto"/>
              </w:rPr>
            </w:pPr>
          </w:p>
        </w:tc>
        <w:tc>
          <w:tcPr>
            <w:tcW w:w="2380" w:type="dxa"/>
            <w:vAlign w:val="bottom"/>
            <w:shd w:val="clear" w:color="auto" w:fill="001641"/>
          </w:tcPr>
          <w:p>
            <w:pPr>
              <w:spacing w:after="0" w:line="20" w:lineRule="exact"/>
              <w:rPr>
                <w:sz w:val="1"/>
                <w:szCs w:val="1"/>
                <w:color w:val="auto"/>
              </w:rPr>
            </w:pPr>
          </w:p>
        </w:tc>
        <w:tc>
          <w:tcPr>
            <w:tcW w:w="1260" w:type="dxa"/>
            <w:vAlign w:val="bottom"/>
            <w:shd w:val="clear" w:color="auto" w:fill="001641"/>
          </w:tcPr>
          <w:p>
            <w:pPr>
              <w:spacing w:after="0" w:line="20" w:lineRule="exact"/>
              <w:rPr>
                <w:sz w:val="1"/>
                <w:szCs w:val="1"/>
                <w:color w:val="auto"/>
              </w:rPr>
            </w:pPr>
          </w:p>
        </w:tc>
        <w:tc>
          <w:tcPr>
            <w:tcW w:w="1080" w:type="dxa"/>
            <w:vAlign w:val="bottom"/>
            <w:shd w:val="clear" w:color="auto" w:fill="001641"/>
          </w:tcPr>
          <w:p>
            <w:pPr>
              <w:spacing w:after="0" w:line="20" w:lineRule="exact"/>
              <w:rPr>
                <w:sz w:val="1"/>
                <w:szCs w:val="1"/>
                <w:color w:val="auto"/>
              </w:rPr>
            </w:pPr>
          </w:p>
        </w:tc>
      </w:tr>
    </w:tbl>
    <w:p>
      <w:pPr>
        <w:spacing w:after="0" w:line="153" w:lineRule="exact"/>
        <w:rPr>
          <w:sz w:val="20"/>
          <w:szCs w:val="20"/>
          <w:color w:val="auto"/>
        </w:rPr>
      </w:pPr>
    </w:p>
    <w:p>
      <w:pPr>
        <w:ind w:left="246" w:hanging="246"/>
        <w:spacing w:after="0"/>
        <w:tabs>
          <w:tab w:leader="none" w:pos="246" w:val="left"/>
        </w:tabs>
        <w:numPr>
          <w:ilvl w:val="0"/>
          <w:numId w:val="61"/>
        </w:numPr>
        <w:rPr>
          <w:rFonts w:ascii="Arial" w:cs="Arial" w:eastAsia="Arial" w:hAnsi="Arial"/>
          <w:sz w:val="14"/>
          <w:szCs w:val="14"/>
          <w:color w:val="4C4C4C"/>
        </w:rPr>
      </w:pPr>
      <w:r>
        <w:rPr>
          <w:rFonts w:ascii="Arial" w:cs="Arial" w:eastAsia="Arial" w:hAnsi="Arial"/>
          <w:sz w:val="14"/>
          <w:szCs w:val="14"/>
          <w:color w:val="4C4C4C"/>
        </w:rPr>
        <w:t>Mr. Ranftl was appointed COO effective March 30, 2025, with a salary increase commensurate with his new role.</w:t>
      </w:r>
    </w:p>
    <w:p>
      <w:pPr>
        <w:spacing w:after="0" w:line="55" w:lineRule="exact"/>
        <w:rPr>
          <w:sz w:val="20"/>
          <w:szCs w:val="20"/>
          <w:color w:val="auto"/>
        </w:rPr>
      </w:pPr>
    </w:p>
    <w:p>
      <w:pPr>
        <w:ind w:left="246" w:right="300" w:hanging="246"/>
        <w:spacing w:after="0" w:line="281" w:lineRule="auto"/>
        <w:tabs>
          <w:tab w:leader="none" w:pos="246" w:val="left"/>
        </w:tabs>
        <w:numPr>
          <w:ilvl w:val="0"/>
          <w:numId w:val="62"/>
        </w:numPr>
        <w:rPr>
          <w:rFonts w:ascii="Arial" w:cs="Arial" w:eastAsia="Arial" w:hAnsi="Arial"/>
          <w:sz w:val="14"/>
          <w:szCs w:val="14"/>
          <w:color w:val="4C4C4C"/>
        </w:rPr>
      </w:pPr>
      <w:r>
        <w:rPr>
          <w:rFonts w:ascii="Arial" w:cs="Arial" w:eastAsia="Arial" w:hAnsi="Arial"/>
          <w:sz w:val="14"/>
          <w:szCs w:val="14"/>
          <w:color w:val="4C4C4C"/>
        </w:rPr>
        <w:t>Ms. Alagoz’s role expanded effective March 30, 2025 to include oversight of Brand Image and Purple Label brand merchandising, with a salary increase commensurate with her expanded role.</w:t>
      </w:r>
    </w:p>
    <w:p>
      <w:pPr>
        <w:spacing w:after="0" w:line="1" w:lineRule="exact"/>
        <w:rPr>
          <w:rFonts w:ascii="Arial" w:cs="Arial" w:eastAsia="Arial" w:hAnsi="Arial"/>
          <w:sz w:val="14"/>
          <w:szCs w:val="14"/>
          <w:color w:val="4C4C4C"/>
        </w:rPr>
      </w:pPr>
    </w:p>
    <w:p>
      <w:pPr>
        <w:ind w:left="246" w:hanging="246"/>
        <w:spacing w:after="0"/>
        <w:tabs>
          <w:tab w:leader="none" w:pos="246" w:val="left"/>
        </w:tabs>
        <w:numPr>
          <w:ilvl w:val="0"/>
          <w:numId w:val="62"/>
        </w:numPr>
        <w:rPr>
          <w:rFonts w:ascii="Arial" w:cs="Arial" w:eastAsia="Arial" w:hAnsi="Arial"/>
          <w:sz w:val="14"/>
          <w:szCs w:val="14"/>
          <w:color w:val="4C4C4C"/>
        </w:rPr>
      </w:pPr>
      <w:r>
        <w:rPr>
          <w:rFonts w:ascii="Arial" w:cs="Arial" w:eastAsia="Arial" w:hAnsi="Arial"/>
          <w:sz w:val="14"/>
          <w:szCs w:val="14"/>
          <w:color w:val="4C4C4C"/>
        </w:rPr>
        <w:t>Mr. D. Lauren’s base salary increased effective June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82930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128905" cy="11176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6546"/>
        <w:spacing w:after="0"/>
        <w:tabs>
          <w:tab w:leader="none" w:pos="9006"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86" w:name="page87"/>
    <w:bookmarkEnd w:id="8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COMPENSATION ELEMENT: SHORT-TERM ANNUAL INCENTIVE PLAN</w:t>
      </w:r>
    </w:p>
    <w:p>
      <w:pPr>
        <w:spacing w:after="0" w:line="162" w:lineRule="exact"/>
        <w:rPr>
          <w:sz w:val="20"/>
          <w:szCs w:val="20"/>
          <w:color w:val="auto"/>
        </w:rPr>
      </w:pPr>
    </w:p>
    <w:p>
      <w:pPr>
        <w:ind w:left="6" w:right="20"/>
        <w:spacing w:after="0" w:line="259" w:lineRule="auto"/>
        <w:rPr>
          <w:sz w:val="20"/>
          <w:szCs w:val="20"/>
          <w:color w:val="auto"/>
        </w:rPr>
      </w:pPr>
      <w:r>
        <w:rPr>
          <w:rFonts w:ascii="Arial" w:cs="Arial" w:eastAsia="Arial" w:hAnsi="Arial"/>
          <w:sz w:val="16"/>
          <w:szCs w:val="16"/>
          <w:color w:val="auto"/>
        </w:rPr>
        <w:t>In Fiscal 2026, all our NEOs participated in the Executive Officer Annual Incentive Plan (the “EOAIP”), a stockholder-approved, short-term cash incentive bonus plan, in which the Talent Committee determines the eligible EOAIP participants from among our executive officers. The EOAIP is designed to promote strong executive decision-making and achievement that supports the realization of significant overall Company financial goals. Key features of the EOAIP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58293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3"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1060" w:type="dxa"/>
            <w:vAlign w:val="bottom"/>
          </w:tcPr>
          <w:p>
            <w:pPr>
              <w:ind w:left="140"/>
              <w:spacing w:after="0"/>
              <w:rPr>
                <w:sz w:val="20"/>
                <w:szCs w:val="20"/>
                <w:color w:val="auto"/>
              </w:rPr>
            </w:pPr>
            <w:r>
              <w:rPr>
                <w:rFonts w:ascii="Arial" w:cs="Arial" w:eastAsia="Arial" w:hAnsi="Arial"/>
                <w:sz w:val="14"/>
                <w:szCs w:val="14"/>
                <w:b w:val="1"/>
                <w:bCs w:val="1"/>
                <w:color w:val="001641"/>
              </w:rPr>
              <w:t>Payouts</w:t>
            </w:r>
          </w:p>
        </w:tc>
        <w:tc>
          <w:tcPr>
            <w:tcW w:w="8120" w:type="dxa"/>
            <w:vAlign w:val="bottom"/>
            <w:gridSpan w:val="3"/>
          </w:tcPr>
          <w:p>
            <w:pPr>
              <w:ind w:left="100"/>
              <w:spacing w:after="0"/>
              <w:rPr>
                <w:sz w:val="20"/>
                <w:szCs w:val="20"/>
                <w:color w:val="auto"/>
              </w:rPr>
            </w:pPr>
            <w:r>
              <w:rPr>
                <w:rFonts w:ascii="Arial" w:cs="Arial" w:eastAsia="Arial" w:hAnsi="Arial"/>
                <w:sz w:val="14"/>
                <w:szCs w:val="14"/>
                <w:color w:val="001641"/>
              </w:rPr>
              <w:t>Payouts are based on distinct levels of achievement, which include threshold, target and maximum levels, established by</w:t>
            </w:r>
          </w:p>
        </w:tc>
      </w:tr>
      <w:tr>
        <w:trPr>
          <w:trHeight w:val="162"/>
        </w:trPr>
        <w:tc>
          <w:tcPr>
            <w:tcW w:w="1060" w:type="dxa"/>
            <w:vAlign w:val="bottom"/>
          </w:tcPr>
          <w:p>
            <w:pPr>
              <w:spacing w:after="0"/>
              <w:rPr>
                <w:sz w:val="14"/>
                <w:szCs w:val="14"/>
                <w:color w:val="auto"/>
              </w:rPr>
            </w:pPr>
          </w:p>
        </w:tc>
        <w:tc>
          <w:tcPr>
            <w:tcW w:w="8120" w:type="dxa"/>
            <w:vAlign w:val="bottom"/>
            <w:gridSpan w:val="3"/>
          </w:tcPr>
          <w:p>
            <w:pPr>
              <w:ind w:left="100"/>
              <w:spacing w:after="0"/>
              <w:rPr>
                <w:sz w:val="20"/>
                <w:szCs w:val="20"/>
                <w:color w:val="auto"/>
              </w:rPr>
            </w:pPr>
            <w:r>
              <w:rPr>
                <w:rFonts w:ascii="Arial" w:cs="Arial" w:eastAsia="Arial" w:hAnsi="Arial"/>
                <w:sz w:val="14"/>
                <w:szCs w:val="14"/>
                <w:color w:val="001641"/>
              </w:rPr>
              <w:t>the Talent Committee each year. In Fiscal 2026, the Talent Committee determined that the following performance levels</w:t>
            </w:r>
          </w:p>
        </w:tc>
      </w:tr>
      <w:tr>
        <w:trPr>
          <w:trHeight w:val="190"/>
        </w:trPr>
        <w:tc>
          <w:tcPr>
            <w:tcW w:w="1060" w:type="dxa"/>
            <w:vAlign w:val="bottom"/>
          </w:tcPr>
          <w:p>
            <w:pPr>
              <w:spacing w:after="0"/>
              <w:rPr>
                <w:sz w:val="16"/>
                <w:szCs w:val="16"/>
                <w:color w:val="auto"/>
              </w:rPr>
            </w:pPr>
          </w:p>
        </w:tc>
        <w:tc>
          <w:tcPr>
            <w:tcW w:w="8120" w:type="dxa"/>
            <w:vAlign w:val="bottom"/>
            <w:gridSpan w:val="3"/>
          </w:tcPr>
          <w:p>
            <w:pPr>
              <w:ind w:left="100"/>
              <w:spacing w:after="0"/>
              <w:rPr>
                <w:sz w:val="20"/>
                <w:szCs w:val="20"/>
                <w:color w:val="auto"/>
              </w:rPr>
            </w:pPr>
            <w:r>
              <w:rPr>
                <w:rFonts w:ascii="Arial" w:cs="Arial" w:eastAsia="Arial" w:hAnsi="Arial"/>
                <w:sz w:val="14"/>
                <w:szCs w:val="14"/>
                <w:color w:val="001641"/>
              </w:rPr>
              <w:t>were applicable to EOAIP participants:</w:t>
            </w:r>
          </w:p>
        </w:tc>
      </w:tr>
      <w:tr>
        <w:trPr>
          <w:trHeight w:val="143"/>
        </w:trPr>
        <w:tc>
          <w:tcPr>
            <w:tcW w:w="1060" w:type="dxa"/>
            <w:vAlign w:val="bottom"/>
          </w:tcPr>
          <w:p>
            <w:pPr>
              <w:spacing w:after="0"/>
              <w:rPr>
                <w:sz w:val="12"/>
                <w:szCs w:val="12"/>
                <w:color w:val="auto"/>
              </w:rPr>
            </w:pPr>
          </w:p>
        </w:tc>
        <w:tc>
          <w:tcPr>
            <w:tcW w:w="920" w:type="dxa"/>
            <w:vAlign w:val="bottom"/>
            <w:tcBorders>
              <w:bottom w:val="single" w:sz="8" w:color="BFA071"/>
            </w:tcBorders>
            <w:gridSpan w:val="2"/>
          </w:tcPr>
          <w:p>
            <w:pPr>
              <w:spacing w:after="0"/>
              <w:rPr>
                <w:sz w:val="12"/>
                <w:szCs w:val="12"/>
                <w:color w:val="auto"/>
              </w:rPr>
            </w:pPr>
          </w:p>
        </w:tc>
        <w:tc>
          <w:tcPr>
            <w:tcW w:w="7200" w:type="dxa"/>
            <w:vAlign w:val="bottom"/>
            <w:tcBorders>
              <w:bottom w:val="single" w:sz="8" w:color="BFA071"/>
            </w:tcBorders>
          </w:tcPr>
          <w:p>
            <w:pPr>
              <w:spacing w:after="0"/>
              <w:rPr>
                <w:sz w:val="12"/>
                <w:szCs w:val="12"/>
                <w:color w:val="auto"/>
              </w:rPr>
            </w:pPr>
          </w:p>
        </w:tc>
      </w:tr>
      <w:tr>
        <w:trPr>
          <w:trHeight w:val="217"/>
        </w:trPr>
        <w:tc>
          <w:tcPr>
            <w:tcW w:w="1060" w:type="dxa"/>
            <w:vAlign w:val="bottom"/>
          </w:tcPr>
          <w:p>
            <w:pPr>
              <w:spacing w:after="0"/>
              <w:rPr>
                <w:sz w:val="18"/>
                <w:szCs w:val="18"/>
                <w:color w:val="auto"/>
              </w:rPr>
            </w:pPr>
          </w:p>
        </w:tc>
        <w:tc>
          <w:tcPr>
            <w:tcW w:w="920" w:type="dxa"/>
            <w:vAlign w:val="bottom"/>
            <w:tcBorders>
              <w:bottom w:val="single" w:sz="8" w:color="BFA071"/>
            </w:tcBorders>
            <w:gridSpan w:val="2"/>
            <w:shd w:val="clear" w:color="auto" w:fill="EBE1D2"/>
          </w:tcPr>
          <w:p>
            <w:pPr>
              <w:ind w:left="100"/>
              <w:spacing w:after="0"/>
              <w:rPr>
                <w:sz w:val="20"/>
                <w:szCs w:val="20"/>
                <w:color w:val="auto"/>
              </w:rPr>
            </w:pPr>
            <w:r>
              <w:rPr>
                <w:rFonts w:ascii="Arial" w:cs="Arial" w:eastAsia="Arial" w:hAnsi="Arial"/>
                <w:sz w:val="14"/>
                <w:szCs w:val="14"/>
                <w:b w:val="1"/>
                <w:bCs w:val="1"/>
                <w:color w:val="001641"/>
              </w:rPr>
              <w:t>Threshold</w:t>
            </w:r>
          </w:p>
        </w:tc>
        <w:tc>
          <w:tcPr>
            <w:tcW w:w="7200" w:type="dxa"/>
            <w:vAlign w:val="bottom"/>
            <w:tcBorders>
              <w:bottom w:val="single" w:sz="8" w:color="BFA071"/>
            </w:tcBorders>
          </w:tcPr>
          <w:p>
            <w:pPr>
              <w:ind w:left="100"/>
              <w:spacing w:after="0"/>
              <w:rPr>
                <w:sz w:val="20"/>
                <w:szCs w:val="20"/>
                <w:color w:val="auto"/>
              </w:rPr>
            </w:pPr>
            <w:r>
              <w:rPr>
                <w:rFonts w:ascii="Arial" w:cs="Arial" w:eastAsia="Arial" w:hAnsi="Arial"/>
                <w:sz w:val="14"/>
                <w:szCs w:val="14"/>
                <w:color w:val="001641"/>
              </w:rPr>
              <w:t>The minimum level of performance that is required before the bonus plan pays out at 50% of the target level.</w:t>
            </w:r>
          </w:p>
        </w:tc>
      </w:tr>
      <w:tr>
        <w:trPr>
          <w:trHeight w:val="223"/>
        </w:trPr>
        <w:tc>
          <w:tcPr>
            <w:tcW w:w="1060" w:type="dxa"/>
            <w:vAlign w:val="bottom"/>
          </w:tcPr>
          <w:p>
            <w:pPr>
              <w:spacing w:after="0"/>
              <w:rPr>
                <w:sz w:val="19"/>
                <w:szCs w:val="19"/>
                <w:color w:val="auto"/>
              </w:rPr>
            </w:pPr>
          </w:p>
        </w:tc>
        <w:tc>
          <w:tcPr>
            <w:tcW w:w="920" w:type="dxa"/>
            <w:vAlign w:val="bottom"/>
            <w:tcBorders>
              <w:bottom w:val="single" w:sz="8" w:color="BFA071"/>
            </w:tcBorders>
            <w:gridSpan w:val="2"/>
            <w:shd w:val="clear" w:color="auto" w:fill="EBE1D2"/>
          </w:tcPr>
          <w:p>
            <w:pPr>
              <w:ind w:left="100"/>
              <w:spacing w:after="0"/>
              <w:rPr>
                <w:sz w:val="20"/>
                <w:szCs w:val="20"/>
                <w:color w:val="auto"/>
              </w:rPr>
            </w:pPr>
            <w:r>
              <w:rPr>
                <w:rFonts w:ascii="Arial" w:cs="Arial" w:eastAsia="Arial" w:hAnsi="Arial"/>
                <w:sz w:val="14"/>
                <w:szCs w:val="14"/>
                <w:b w:val="1"/>
                <w:bCs w:val="1"/>
                <w:color w:val="001641"/>
              </w:rPr>
              <w:t>Target</w:t>
            </w:r>
          </w:p>
        </w:tc>
        <w:tc>
          <w:tcPr>
            <w:tcW w:w="7200" w:type="dxa"/>
            <w:vAlign w:val="bottom"/>
            <w:tcBorders>
              <w:bottom w:val="single" w:sz="8" w:color="BFA071"/>
            </w:tcBorders>
          </w:tcPr>
          <w:p>
            <w:pPr>
              <w:ind w:left="100"/>
              <w:spacing w:after="0"/>
              <w:rPr>
                <w:sz w:val="20"/>
                <w:szCs w:val="20"/>
                <w:color w:val="auto"/>
              </w:rPr>
            </w:pPr>
            <w:r>
              <w:rPr>
                <w:rFonts w:ascii="Arial" w:cs="Arial" w:eastAsia="Arial" w:hAnsi="Arial"/>
                <w:sz w:val="14"/>
                <w:szCs w:val="14"/>
                <w:color w:val="001641"/>
              </w:rPr>
              <w:t>100% payment upon achievement of financial goals and strategic goals at the target level.</w:t>
            </w:r>
          </w:p>
        </w:tc>
      </w:tr>
      <w:tr>
        <w:trPr>
          <w:trHeight w:val="223"/>
        </w:trPr>
        <w:tc>
          <w:tcPr>
            <w:tcW w:w="1060" w:type="dxa"/>
            <w:vAlign w:val="bottom"/>
            <w:tcBorders>
              <w:bottom w:val="single" w:sz="8" w:color="BFA071"/>
            </w:tcBorders>
          </w:tcPr>
          <w:p>
            <w:pPr>
              <w:spacing w:after="0"/>
              <w:rPr>
                <w:sz w:val="19"/>
                <w:szCs w:val="19"/>
                <w:color w:val="auto"/>
              </w:rPr>
            </w:pPr>
          </w:p>
        </w:tc>
        <w:tc>
          <w:tcPr>
            <w:tcW w:w="920" w:type="dxa"/>
            <w:vAlign w:val="bottom"/>
            <w:tcBorders>
              <w:bottom w:val="single" w:sz="8" w:color="BFA071"/>
            </w:tcBorders>
            <w:gridSpan w:val="2"/>
            <w:shd w:val="clear" w:color="auto" w:fill="EBE1D2"/>
          </w:tcPr>
          <w:p>
            <w:pPr>
              <w:ind w:left="100"/>
              <w:spacing w:after="0"/>
              <w:rPr>
                <w:sz w:val="20"/>
                <w:szCs w:val="20"/>
                <w:color w:val="auto"/>
              </w:rPr>
            </w:pPr>
            <w:r>
              <w:rPr>
                <w:rFonts w:ascii="Arial" w:cs="Arial" w:eastAsia="Arial" w:hAnsi="Arial"/>
                <w:sz w:val="14"/>
                <w:szCs w:val="14"/>
                <w:b w:val="1"/>
                <w:bCs w:val="1"/>
                <w:color w:val="001641"/>
              </w:rPr>
              <w:t>Maximum</w:t>
            </w:r>
          </w:p>
        </w:tc>
        <w:tc>
          <w:tcPr>
            <w:tcW w:w="7200" w:type="dxa"/>
            <w:vAlign w:val="bottom"/>
            <w:tcBorders>
              <w:bottom w:val="single" w:sz="8" w:color="BFA071"/>
            </w:tcBorders>
          </w:tcPr>
          <w:p>
            <w:pPr>
              <w:ind w:left="100"/>
              <w:spacing w:after="0"/>
              <w:rPr>
                <w:sz w:val="20"/>
                <w:szCs w:val="20"/>
                <w:color w:val="auto"/>
              </w:rPr>
            </w:pPr>
            <w:r>
              <w:rPr>
                <w:rFonts w:ascii="Arial" w:cs="Arial" w:eastAsia="Arial" w:hAnsi="Arial"/>
                <w:sz w:val="14"/>
                <w:szCs w:val="14"/>
                <w:color w:val="001641"/>
              </w:rPr>
              <w:t>200% payment upon achievement at a superior level of performance.</w:t>
            </w:r>
          </w:p>
        </w:tc>
      </w:tr>
      <w:tr>
        <w:trPr>
          <w:trHeight w:val="180"/>
        </w:trPr>
        <w:tc>
          <w:tcPr>
            <w:tcW w:w="1060" w:type="dxa"/>
            <w:vAlign w:val="bottom"/>
          </w:tcPr>
          <w:p>
            <w:pPr>
              <w:ind w:left="140"/>
              <w:spacing w:after="0"/>
              <w:rPr>
                <w:sz w:val="20"/>
                <w:szCs w:val="20"/>
                <w:color w:val="auto"/>
              </w:rPr>
            </w:pPr>
            <w:r>
              <w:rPr>
                <w:rFonts w:ascii="Arial" w:cs="Arial" w:eastAsia="Arial" w:hAnsi="Arial"/>
                <w:sz w:val="14"/>
                <w:szCs w:val="14"/>
                <w:b w:val="1"/>
                <w:bCs w:val="1"/>
                <w:color w:val="001641"/>
              </w:rPr>
              <w:t>Talent</w:t>
            </w:r>
          </w:p>
        </w:tc>
        <w:tc>
          <w:tcPr>
            <w:tcW w:w="8120" w:type="dxa"/>
            <w:vAlign w:val="bottom"/>
            <w:gridSpan w:val="3"/>
          </w:tcPr>
          <w:p>
            <w:pPr>
              <w:ind w:left="100"/>
              <w:spacing w:after="0"/>
              <w:rPr>
                <w:sz w:val="20"/>
                <w:szCs w:val="20"/>
                <w:color w:val="auto"/>
              </w:rPr>
            </w:pPr>
            <w:r>
              <w:rPr>
                <w:rFonts w:ascii="Arial" w:cs="Arial" w:eastAsia="Arial" w:hAnsi="Arial"/>
                <w:sz w:val="14"/>
                <w:szCs w:val="14"/>
                <w:color w:val="001641"/>
              </w:rPr>
              <w:t>Process: Each year, we engage in an extensive and deliberate process to establish our performance measures and</w:t>
            </w:r>
          </w:p>
        </w:tc>
      </w:tr>
      <w:tr>
        <w:trPr>
          <w:trHeight w:val="162"/>
        </w:trPr>
        <w:tc>
          <w:tcPr>
            <w:tcW w:w="1060" w:type="dxa"/>
            <w:vAlign w:val="bottom"/>
          </w:tcPr>
          <w:p>
            <w:pPr>
              <w:ind w:left="140"/>
              <w:spacing w:after="0"/>
              <w:rPr>
                <w:sz w:val="20"/>
                <w:szCs w:val="20"/>
                <w:color w:val="auto"/>
              </w:rPr>
            </w:pPr>
            <w:r>
              <w:rPr>
                <w:rFonts w:ascii="Arial" w:cs="Arial" w:eastAsia="Arial" w:hAnsi="Arial"/>
                <w:sz w:val="14"/>
                <w:szCs w:val="14"/>
                <w:b w:val="1"/>
                <w:bCs w:val="1"/>
                <w:color w:val="001641"/>
              </w:rPr>
              <w:t>Committee</w:t>
            </w:r>
          </w:p>
        </w:tc>
        <w:tc>
          <w:tcPr>
            <w:tcW w:w="8120" w:type="dxa"/>
            <w:vAlign w:val="bottom"/>
            <w:gridSpan w:val="3"/>
          </w:tcPr>
          <w:p>
            <w:pPr>
              <w:ind w:left="100"/>
              <w:spacing w:after="0"/>
              <w:rPr>
                <w:sz w:val="20"/>
                <w:szCs w:val="20"/>
                <w:color w:val="auto"/>
              </w:rPr>
            </w:pPr>
            <w:r>
              <w:rPr>
                <w:rFonts w:ascii="Arial" w:cs="Arial" w:eastAsia="Arial" w:hAnsi="Arial"/>
                <w:sz w:val="14"/>
                <w:szCs w:val="14"/>
                <w:color w:val="001641"/>
              </w:rPr>
              <w:t>performance targets which are subject to the Talent Committee approval in consultation with its independent consultant. At</w:t>
            </w:r>
          </w:p>
        </w:tc>
      </w:tr>
      <w:tr>
        <w:trPr>
          <w:trHeight w:val="162"/>
        </w:trPr>
        <w:tc>
          <w:tcPr>
            <w:tcW w:w="1060" w:type="dxa"/>
            <w:vAlign w:val="bottom"/>
          </w:tcPr>
          <w:p>
            <w:pPr>
              <w:ind w:left="140"/>
              <w:spacing w:after="0"/>
              <w:rPr>
                <w:sz w:val="20"/>
                <w:szCs w:val="20"/>
                <w:color w:val="auto"/>
              </w:rPr>
            </w:pPr>
            <w:r>
              <w:rPr>
                <w:rFonts w:ascii="Arial" w:cs="Arial" w:eastAsia="Arial" w:hAnsi="Arial"/>
                <w:sz w:val="14"/>
                <w:szCs w:val="14"/>
                <w:b w:val="1"/>
                <w:bCs w:val="1"/>
                <w:color w:val="001641"/>
              </w:rPr>
              <w:t>Process</w:t>
            </w:r>
          </w:p>
        </w:tc>
        <w:tc>
          <w:tcPr>
            <w:tcW w:w="8120" w:type="dxa"/>
            <w:vAlign w:val="bottom"/>
            <w:gridSpan w:val="3"/>
          </w:tcPr>
          <w:p>
            <w:pPr>
              <w:ind w:left="100"/>
              <w:spacing w:after="0"/>
              <w:rPr>
                <w:sz w:val="20"/>
                <w:szCs w:val="20"/>
                <w:color w:val="auto"/>
              </w:rPr>
            </w:pPr>
            <w:r>
              <w:rPr>
                <w:rFonts w:ascii="Arial" w:cs="Arial" w:eastAsia="Arial" w:hAnsi="Arial"/>
                <w:sz w:val="14"/>
                <w:szCs w:val="14"/>
                <w:color w:val="001641"/>
              </w:rPr>
              <w:t>the end of the fiscal year, the following approval process takes place:</w:t>
            </w:r>
          </w:p>
        </w:tc>
      </w:tr>
      <w:tr>
        <w:trPr>
          <w:trHeight w:val="162"/>
        </w:trPr>
        <w:tc>
          <w:tcPr>
            <w:tcW w:w="1060" w:type="dxa"/>
            <w:vAlign w:val="bottom"/>
          </w:tcPr>
          <w:p>
            <w:pPr>
              <w:ind w:left="140"/>
              <w:spacing w:after="0"/>
              <w:rPr>
                <w:sz w:val="20"/>
                <w:szCs w:val="20"/>
                <w:color w:val="auto"/>
              </w:rPr>
            </w:pPr>
            <w:r>
              <w:rPr>
                <w:rFonts w:ascii="Arial" w:cs="Arial" w:eastAsia="Arial" w:hAnsi="Arial"/>
                <w:sz w:val="14"/>
                <w:szCs w:val="14"/>
                <w:b w:val="1"/>
                <w:bCs w:val="1"/>
                <w:color w:val="001641"/>
              </w:rPr>
              <w:t>and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0" w:type="dxa"/>
            <w:vAlign w:val="bottom"/>
          </w:tcPr>
          <w:p>
            <w:pPr>
              <w:spacing w:after="0"/>
              <w:rPr>
                <w:sz w:val="14"/>
                <w:szCs w:val="14"/>
                <w:color w:val="auto"/>
              </w:rPr>
            </w:pPr>
          </w:p>
        </w:tc>
      </w:tr>
      <w:tr>
        <w:trPr>
          <w:trHeight w:val="175"/>
        </w:trPr>
        <w:tc>
          <w:tcPr>
            <w:tcW w:w="1060" w:type="dxa"/>
            <w:vAlign w:val="bottom"/>
          </w:tcPr>
          <w:p>
            <w:pPr>
              <w:ind w:left="140"/>
              <w:spacing w:after="0"/>
              <w:rPr>
                <w:sz w:val="20"/>
                <w:szCs w:val="20"/>
                <w:color w:val="auto"/>
              </w:rPr>
            </w:pPr>
            <w:r>
              <w:rPr>
                <w:rFonts w:ascii="Arial" w:cs="Arial" w:eastAsia="Arial" w:hAnsi="Arial"/>
                <w:sz w:val="14"/>
                <w:szCs w:val="14"/>
                <w:b w:val="1"/>
                <w:bCs w:val="1"/>
                <w:color w:val="001641"/>
              </w:rPr>
              <w:t>Authority</w:t>
            </w:r>
          </w:p>
        </w:tc>
        <w:tc>
          <w:tcPr>
            <w:tcW w:w="260" w:type="dxa"/>
            <w:vAlign w:val="bottom"/>
          </w:tcPr>
          <w:p>
            <w:pPr>
              <w:ind w:left="100"/>
              <w:spacing w:after="0"/>
              <w:rPr>
                <w:sz w:val="20"/>
                <w:szCs w:val="20"/>
                <w:color w:val="auto"/>
              </w:rPr>
            </w:pPr>
            <w:r>
              <w:rPr>
                <w:rFonts w:ascii="Arial" w:cs="Arial" w:eastAsia="Arial" w:hAnsi="Arial"/>
                <w:sz w:val="14"/>
                <w:szCs w:val="14"/>
                <w:color w:val="001641"/>
                <w:w w:val="73"/>
              </w:rPr>
              <w:t>• </w:t>
            </w:r>
          </w:p>
        </w:tc>
        <w:tc>
          <w:tcPr>
            <w:tcW w:w="7860" w:type="dxa"/>
            <w:vAlign w:val="bottom"/>
            <w:gridSpan w:val="2"/>
          </w:tcPr>
          <w:p>
            <w:pPr>
              <w:ind w:left="40"/>
              <w:spacing w:after="0"/>
              <w:rPr>
                <w:sz w:val="20"/>
                <w:szCs w:val="20"/>
                <w:color w:val="auto"/>
              </w:rPr>
            </w:pPr>
            <w:r>
              <w:rPr>
                <w:rFonts w:ascii="Arial" w:cs="Arial" w:eastAsia="Arial" w:hAnsi="Arial"/>
                <w:sz w:val="14"/>
                <w:szCs w:val="14"/>
                <w:color w:val="001641"/>
              </w:rPr>
              <w:t>After our independent auditors issue their audit opinion for the completed fiscal year, the Talent Committee determines</w:t>
            </w:r>
          </w:p>
        </w:tc>
      </w:tr>
      <w:tr>
        <w:trPr>
          <w:trHeight w:val="162"/>
        </w:trPr>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60" w:type="dxa"/>
            <w:vAlign w:val="bottom"/>
            <w:gridSpan w:val="2"/>
          </w:tcPr>
          <w:p>
            <w:pPr>
              <w:ind w:left="40"/>
              <w:spacing w:after="0"/>
              <w:rPr>
                <w:sz w:val="20"/>
                <w:szCs w:val="20"/>
                <w:color w:val="auto"/>
              </w:rPr>
            </w:pPr>
            <w:r>
              <w:rPr>
                <w:rFonts w:ascii="Arial" w:cs="Arial" w:eastAsia="Arial" w:hAnsi="Arial"/>
                <w:sz w:val="14"/>
                <w:szCs w:val="14"/>
                <w:color w:val="001641"/>
              </w:rPr>
              <w:t>the extent to which, if at all, financial performance has been achieved against pre-established targets;</w:t>
            </w:r>
          </w:p>
        </w:tc>
      </w:tr>
      <w:tr>
        <w:trPr>
          <w:trHeight w:val="162"/>
        </w:trPr>
        <w:tc>
          <w:tcPr>
            <w:tcW w:w="106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001641"/>
                <w:w w:val="73"/>
              </w:rPr>
              <w:t>• </w:t>
            </w:r>
          </w:p>
        </w:tc>
        <w:tc>
          <w:tcPr>
            <w:tcW w:w="7860" w:type="dxa"/>
            <w:vAlign w:val="bottom"/>
            <w:gridSpan w:val="2"/>
          </w:tcPr>
          <w:p>
            <w:pPr>
              <w:ind w:left="40"/>
              <w:spacing w:after="0"/>
              <w:rPr>
                <w:sz w:val="20"/>
                <w:szCs w:val="20"/>
                <w:color w:val="auto"/>
              </w:rPr>
            </w:pPr>
            <w:r>
              <w:rPr>
                <w:rFonts w:ascii="Arial" w:cs="Arial" w:eastAsia="Arial" w:hAnsi="Arial"/>
                <w:sz w:val="14"/>
                <w:szCs w:val="14"/>
                <w:color w:val="001641"/>
              </w:rPr>
              <w:t>Based upon the degree of achievement, the Talent Committee approves the annual cash incentive bonuses payable to</w:t>
            </w:r>
          </w:p>
        </w:tc>
      </w:tr>
      <w:tr>
        <w:trPr>
          <w:trHeight w:val="162"/>
        </w:trPr>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60" w:type="dxa"/>
            <w:vAlign w:val="bottom"/>
            <w:gridSpan w:val="2"/>
          </w:tcPr>
          <w:p>
            <w:pPr>
              <w:ind w:left="40"/>
              <w:spacing w:after="0"/>
              <w:rPr>
                <w:sz w:val="20"/>
                <w:szCs w:val="20"/>
                <w:color w:val="auto"/>
              </w:rPr>
            </w:pPr>
            <w:r>
              <w:rPr>
                <w:rFonts w:ascii="Arial" w:cs="Arial" w:eastAsia="Arial" w:hAnsi="Arial"/>
                <w:sz w:val="14"/>
                <w:szCs w:val="14"/>
                <w:color w:val="001641"/>
              </w:rPr>
              <w:t>each NEO under the EOAIP, as applicable; and</w:t>
            </w:r>
          </w:p>
        </w:tc>
      </w:tr>
      <w:tr>
        <w:trPr>
          <w:trHeight w:val="162"/>
        </w:trPr>
        <w:tc>
          <w:tcPr>
            <w:tcW w:w="106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001641"/>
                <w:w w:val="73"/>
              </w:rPr>
              <w:t>• </w:t>
            </w:r>
          </w:p>
        </w:tc>
        <w:tc>
          <w:tcPr>
            <w:tcW w:w="7860" w:type="dxa"/>
            <w:vAlign w:val="bottom"/>
            <w:gridSpan w:val="2"/>
          </w:tcPr>
          <w:p>
            <w:pPr>
              <w:ind w:left="40"/>
              <w:spacing w:after="0"/>
              <w:rPr>
                <w:sz w:val="20"/>
                <w:szCs w:val="20"/>
                <w:color w:val="auto"/>
              </w:rPr>
            </w:pPr>
            <w:r>
              <w:rPr>
                <w:rFonts w:ascii="Arial" w:cs="Arial" w:eastAsia="Arial" w:hAnsi="Arial"/>
                <w:sz w:val="14"/>
                <w:szCs w:val="14"/>
                <w:color w:val="001641"/>
              </w:rPr>
              <w:t>The Talent Committee believes that the performance of each of our NEOs is represented by the Company’s financial and</w:t>
            </w:r>
          </w:p>
        </w:tc>
      </w:tr>
      <w:tr>
        <w:trPr>
          <w:trHeight w:val="190"/>
        </w:trPr>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60" w:type="dxa"/>
            <w:vAlign w:val="bottom"/>
            <w:gridSpan w:val="2"/>
          </w:tcPr>
          <w:p>
            <w:pPr>
              <w:ind w:left="40"/>
              <w:spacing w:after="0"/>
              <w:rPr>
                <w:sz w:val="20"/>
                <w:szCs w:val="20"/>
                <w:color w:val="auto"/>
              </w:rPr>
            </w:pPr>
            <w:r>
              <w:rPr>
                <w:rFonts w:ascii="Arial" w:cs="Arial" w:eastAsia="Arial" w:hAnsi="Arial"/>
                <w:sz w:val="14"/>
                <w:szCs w:val="14"/>
                <w:color w:val="001641"/>
              </w:rPr>
              <w:t>other strategic performance results. Individual performance is not considered in determining their bonuses.</w:t>
            </w:r>
          </w:p>
        </w:tc>
      </w:tr>
    </w:tbl>
    <w:p>
      <w:pPr>
        <w:spacing w:after="0" w:line="242" w:lineRule="exact"/>
        <w:rPr>
          <w:sz w:val="20"/>
          <w:szCs w:val="20"/>
          <w:color w:val="auto"/>
        </w:rPr>
      </w:pPr>
    </w:p>
    <w:p>
      <w:pPr>
        <w:ind w:left="1166"/>
        <w:spacing w:after="0"/>
        <w:rPr>
          <w:sz w:val="20"/>
          <w:szCs w:val="20"/>
          <w:color w:val="auto"/>
        </w:rPr>
      </w:pPr>
      <w:r>
        <w:rPr>
          <w:rFonts w:ascii="Arial" w:cs="Arial" w:eastAsia="Arial" w:hAnsi="Arial"/>
          <w:sz w:val="14"/>
          <w:szCs w:val="14"/>
          <w:b w:val="1"/>
          <w:bCs w:val="1"/>
          <w:color w:val="001641"/>
        </w:rPr>
        <w:t xml:space="preserve">Authority: </w:t>
      </w:r>
      <w:r>
        <w:rPr>
          <w:rFonts w:ascii="Arial" w:cs="Arial" w:eastAsia="Arial" w:hAnsi="Arial"/>
          <w:sz w:val="14"/>
          <w:szCs w:val="14"/>
          <w:color w:val="001641"/>
        </w:rPr>
        <w:t>The Talent Committee has the authority to:</w:t>
      </w:r>
    </w:p>
    <w:p>
      <w:pPr>
        <w:spacing w:after="0" w:line="42" w:lineRule="exact"/>
        <w:rPr>
          <w:sz w:val="20"/>
          <w:szCs w:val="20"/>
          <w:color w:val="auto"/>
        </w:rPr>
      </w:pPr>
    </w:p>
    <w:p>
      <w:pPr>
        <w:ind w:left="1166"/>
        <w:spacing w:after="0"/>
        <w:rPr>
          <w:sz w:val="20"/>
          <w:szCs w:val="20"/>
          <w:color w:val="auto"/>
        </w:rPr>
      </w:pPr>
      <w:r>
        <w:rPr>
          <w:rFonts w:ascii="Arial" w:cs="Arial" w:eastAsia="Arial" w:hAnsi="Arial"/>
          <w:sz w:val="14"/>
          <w:szCs w:val="14"/>
          <w:color w:val="001641"/>
        </w:rPr>
        <w:t>•   Determine the eligible EOAIP participants from among our executive officers;</w:t>
      </w:r>
    </w:p>
    <w:p>
      <w:pPr>
        <w:spacing w:after="0" w:line="15" w:lineRule="exact"/>
        <w:rPr>
          <w:sz w:val="20"/>
          <w:szCs w:val="20"/>
          <w:color w:val="auto"/>
        </w:rPr>
      </w:pPr>
    </w:p>
    <w:p>
      <w:pPr>
        <w:ind w:left="1166" w:right="400"/>
        <w:spacing w:after="0" w:line="252" w:lineRule="auto"/>
        <w:rPr>
          <w:sz w:val="20"/>
          <w:szCs w:val="20"/>
          <w:color w:val="auto"/>
        </w:rPr>
      </w:pPr>
      <w:r>
        <w:rPr>
          <w:rFonts w:ascii="Arial" w:cs="Arial" w:eastAsia="Arial" w:hAnsi="Arial"/>
          <w:sz w:val="14"/>
          <w:szCs w:val="14"/>
          <w:color w:val="001641"/>
        </w:rPr>
        <w:t>•  Establish the performance goals at the beginning of the fiscal year and payout schedules, including any adjustments; •  Establish the required achievement levels against pre-determined performance goals under the EOAIP; and •  Exercise discretion to reduce or eliminate, but not increase, the bonus amounts payable under the EOAIP.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58293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2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001641"/>
        </w:rPr>
        <w:t>Annual Cash Incentive Awards – Fiscal 2026</w:t>
      </w:r>
    </w:p>
    <w:p>
      <w:pPr>
        <w:spacing w:after="0" w:line="100" w:lineRule="exact"/>
        <w:rPr>
          <w:sz w:val="20"/>
          <w:szCs w:val="20"/>
          <w:color w:val="auto"/>
        </w:rPr>
      </w:pPr>
    </w:p>
    <w:p>
      <w:pPr>
        <w:ind w:left="6" w:right="100"/>
        <w:spacing w:after="0" w:line="254" w:lineRule="auto"/>
        <w:rPr>
          <w:sz w:val="20"/>
          <w:szCs w:val="20"/>
          <w:color w:val="auto"/>
        </w:rPr>
      </w:pPr>
      <w:r>
        <w:rPr>
          <w:rFonts w:ascii="Arial" w:cs="Arial" w:eastAsia="Arial" w:hAnsi="Arial"/>
          <w:sz w:val="16"/>
          <w:szCs w:val="16"/>
          <w:color w:val="auto"/>
        </w:rPr>
        <w:t>As approved by the Talent Committee at the beginning of our fiscal year, the corporate performance measures selected for the short-term incentive plan were Total Company Revenue and Adjusted Operating Profit Margin, Strategic Growth Accelerators Revenue and Adjusted SG&amp;A Expense metric. The Talent Committee believes that these measures align with stockholders’ interests, promote sustainable long-term stockholder value, and are aligned to the objectives of our Strategic Plan. The Fiscal 2026 financial targets were challenging and required high performance to achieve such targets, achievement of which supports the financial guidance set forth in the Fiscal 2026 Strategic Plan communicated to stockholders.</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001641"/>
        </w:rPr>
        <w:t>Payouts for Fiscal 2026</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table outlines our Fiscal 2026 EOAIP target goals and actual performance as measured against those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123825</wp:posOffset>
            </wp:positionV>
            <wp:extent cx="1260475" cy="6858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60475" cy="68580"/>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p>
      <w:pPr>
        <w:spacing w:after="0" w:line="195" w:lineRule="exact"/>
        <w:rPr>
          <w:sz w:val="20"/>
          <w:szCs w:val="20"/>
          <w:color w:val="auto"/>
        </w:rPr>
      </w:pPr>
    </w:p>
    <w:tbl>
      <w:tblPr>
        <w:tblLayout w:type="fixed"/>
        <w:tblInd w:w="6" w:type="dxa"/>
        <w:tblCellMar>
          <w:top w:w="0" w:type="dxa"/>
          <w:left w:w="0" w:type="dxa"/>
          <w:bottom w:w="0" w:type="dxa"/>
          <w:right w:w="0" w:type="dxa"/>
        </w:tblCellMar>
      </w:tblPr>
      <w:tr>
        <w:trPr>
          <w:trHeight w:val="295"/>
        </w:trPr>
        <w:tc>
          <w:tcPr>
            <w:tcW w:w="3960" w:type="dxa"/>
            <w:vAlign w:val="bottom"/>
            <w:shd w:val="clear" w:color="auto" w:fill="001641"/>
          </w:tcPr>
          <w:p>
            <w:pPr>
              <w:spacing w:after="0"/>
              <w:rPr>
                <w:sz w:val="24"/>
                <w:szCs w:val="24"/>
                <w:color w:val="auto"/>
              </w:rPr>
            </w:pPr>
          </w:p>
        </w:tc>
        <w:tc>
          <w:tcPr>
            <w:tcW w:w="860" w:type="dxa"/>
            <w:vAlign w:val="bottom"/>
            <w:shd w:val="clear" w:color="auto" w:fill="BFA071"/>
          </w:tcPr>
          <w:p>
            <w:pPr>
              <w:spacing w:after="0"/>
              <w:rPr>
                <w:sz w:val="24"/>
                <w:szCs w:val="24"/>
                <w:color w:val="auto"/>
              </w:rPr>
            </w:pPr>
          </w:p>
        </w:tc>
        <w:tc>
          <w:tcPr>
            <w:tcW w:w="1580" w:type="dxa"/>
            <w:vAlign w:val="bottom"/>
            <w:gridSpan w:val="2"/>
            <w:shd w:val="clear" w:color="auto" w:fill="BFA071"/>
          </w:tcPr>
          <w:p>
            <w:pPr>
              <w:jc w:val="right"/>
              <w:ind w:right="568"/>
              <w:spacing w:after="0"/>
              <w:rPr>
                <w:sz w:val="20"/>
                <w:szCs w:val="20"/>
                <w:color w:val="auto"/>
              </w:rPr>
            </w:pPr>
            <w:r>
              <w:rPr>
                <w:rFonts w:ascii="Arial" w:cs="Arial" w:eastAsia="Arial" w:hAnsi="Arial"/>
                <w:sz w:val="14"/>
                <w:szCs w:val="14"/>
                <w:b w:val="1"/>
                <w:bCs w:val="1"/>
                <w:color w:val="FFFFFF"/>
              </w:rPr>
              <w:t>Goals</w:t>
            </w:r>
          </w:p>
        </w:tc>
        <w:tc>
          <w:tcPr>
            <w:tcW w:w="780" w:type="dxa"/>
            <w:vAlign w:val="bottom"/>
            <w:shd w:val="clear" w:color="auto" w:fill="BFA071"/>
          </w:tcPr>
          <w:p>
            <w:pPr>
              <w:spacing w:after="0"/>
              <w:rPr>
                <w:sz w:val="24"/>
                <w:szCs w:val="24"/>
                <w:color w:val="auto"/>
              </w:rPr>
            </w:pPr>
          </w:p>
        </w:tc>
        <w:tc>
          <w:tcPr>
            <w:tcW w:w="100" w:type="dxa"/>
            <w:vAlign w:val="bottom"/>
            <w:shd w:val="clear" w:color="auto" w:fill="001641"/>
          </w:tcPr>
          <w:p>
            <w:pPr>
              <w:spacing w:after="0"/>
              <w:rPr>
                <w:sz w:val="24"/>
                <w:szCs w:val="24"/>
                <w:color w:val="auto"/>
              </w:rPr>
            </w:pPr>
          </w:p>
        </w:tc>
      </w:tr>
      <w:tr>
        <w:trPr>
          <w:trHeight w:val="218"/>
        </w:trPr>
        <w:tc>
          <w:tcPr>
            <w:tcW w:w="3960" w:type="dxa"/>
            <w:vAlign w:val="bottom"/>
            <w:shd w:val="clear" w:color="auto" w:fill="001641"/>
          </w:tcPr>
          <w:p>
            <w:pPr>
              <w:spacing w:after="0"/>
              <w:rPr>
                <w:sz w:val="18"/>
                <w:szCs w:val="18"/>
                <w:color w:val="auto"/>
              </w:rPr>
            </w:pPr>
          </w:p>
        </w:tc>
        <w:tc>
          <w:tcPr>
            <w:tcW w:w="860" w:type="dxa"/>
            <w:vAlign w:val="bottom"/>
            <w:shd w:val="clear" w:color="auto" w:fill="BFA071"/>
          </w:tcPr>
          <w:p>
            <w:pPr>
              <w:jc w:val="right"/>
              <w:ind w:right="8"/>
              <w:spacing w:after="0"/>
              <w:rPr>
                <w:sz w:val="20"/>
                <w:szCs w:val="20"/>
                <w:color w:val="auto"/>
              </w:rPr>
            </w:pPr>
            <w:r>
              <w:rPr>
                <w:rFonts w:ascii="Arial" w:cs="Arial" w:eastAsia="Arial" w:hAnsi="Arial"/>
                <w:sz w:val="14"/>
                <w:szCs w:val="14"/>
                <w:b w:val="1"/>
                <w:bCs w:val="1"/>
                <w:color w:val="FFFFFF"/>
              </w:rPr>
              <w:t>Threshold</w:t>
            </w:r>
          </w:p>
        </w:tc>
        <w:tc>
          <w:tcPr>
            <w:tcW w:w="740" w:type="dxa"/>
            <w:vAlign w:val="bottom"/>
            <w:shd w:val="clear" w:color="auto" w:fill="BFA071"/>
          </w:tcPr>
          <w:p>
            <w:pPr>
              <w:jc w:val="right"/>
              <w:ind w:right="48"/>
              <w:spacing w:after="0"/>
              <w:rPr>
                <w:sz w:val="20"/>
                <w:szCs w:val="20"/>
                <w:color w:val="auto"/>
              </w:rPr>
            </w:pPr>
            <w:r>
              <w:rPr>
                <w:rFonts w:ascii="Arial" w:cs="Arial" w:eastAsia="Arial" w:hAnsi="Arial"/>
                <w:sz w:val="14"/>
                <w:szCs w:val="14"/>
                <w:b w:val="1"/>
                <w:bCs w:val="1"/>
                <w:color w:val="FFFFFF"/>
              </w:rPr>
              <w:t>Target</w:t>
            </w:r>
          </w:p>
        </w:tc>
        <w:tc>
          <w:tcPr>
            <w:tcW w:w="840" w:type="dxa"/>
            <w:vAlign w:val="bottom"/>
            <w:shd w:val="clear" w:color="auto" w:fill="BFA071"/>
          </w:tcPr>
          <w:p>
            <w:pPr>
              <w:jc w:val="right"/>
              <w:ind w:right="8"/>
              <w:spacing w:after="0"/>
              <w:rPr>
                <w:sz w:val="20"/>
                <w:szCs w:val="20"/>
                <w:color w:val="auto"/>
              </w:rPr>
            </w:pPr>
            <w:r>
              <w:rPr>
                <w:rFonts w:ascii="Arial" w:cs="Arial" w:eastAsia="Arial" w:hAnsi="Arial"/>
                <w:sz w:val="14"/>
                <w:szCs w:val="14"/>
                <w:b w:val="1"/>
                <w:bCs w:val="1"/>
                <w:color w:val="FFFFFF"/>
              </w:rPr>
              <w:t>Maximum</w:t>
            </w:r>
          </w:p>
        </w:tc>
        <w:tc>
          <w:tcPr>
            <w:tcW w:w="780" w:type="dxa"/>
            <w:vAlign w:val="bottom"/>
            <w:shd w:val="clear" w:color="auto" w:fill="BFA071"/>
          </w:tcPr>
          <w:p>
            <w:pPr>
              <w:jc w:val="right"/>
              <w:ind w:right="48"/>
              <w:spacing w:after="0"/>
              <w:rPr>
                <w:sz w:val="20"/>
                <w:szCs w:val="20"/>
                <w:color w:val="auto"/>
              </w:rPr>
            </w:pPr>
            <w:r>
              <w:rPr>
                <w:rFonts w:ascii="Arial" w:cs="Arial" w:eastAsia="Arial" w:hAnsi="Arial"/>
                <w:sz w:val="14"/>
                <w:szCs w:val="14"/>
                <w:b w:val="1"/>
                <w:bCs w:val="1"/>
                <w:color w:val="FFFFFF"/>
              </w:rPr>
              <w:t>Actual</w:t>
            </w:r>
          </w:p>
        </w:tc>
        <w:tc>
          <w:tcPr>
            <w:tcW w:w="100" w:type="dxa"/>
            <w:vAlign w:val="bottom"/>
            <w:shd w:val="clear" w:color="auto" w:fill="001641"/>
          </w:tcPr>
          <w:p>
            <w:pPr>
              <w:spacing w:after="0"/>
              <w:rPr>
                <w:sz w:val="18"/>
                <w:szCs w:val="18"/>
                <w:color w:val="auto"/>
              </w:rPr>
            </w:pPr>
          </w:p>
        </w:tc>
      </w:tr>
      <w:tr>
        <w:trPr>
          <w:trHeight w:val="243"/>
        </w:trPr>
        <w:tc>
          <w:tcPr>
            <w:tcW w:w="3960" w:type="dxa"/>
            <w:vAlign w:val="bottom"/>
            <w:shd w:val="clear" w:color="auto" w:fill="001641"/>
          </w:tcPr>
          <w:p>
            <w:pPr>
              <w:ind w:left="100"/>
              <w:spacing w:after="0"/>
              <w:rPr>
                <w:sz w:val="20"/>
                <w:szCs w:val="20"/>
                <w:color w:val="auto"/>
              </w:rPr>
            </w:pPr>
            <w:r>
              <w:rPr>
                <w:rFonts w:ascii="Arial" w:cs="Arial" w:eastAsia="Arial" w:hAnsi="Arial"/>
                <w:sz w:val="14"/>
                <w:szCs w:val="14"/>
                <w:b w:val="1"/>
                <w:bCs w:val="1"/>
                <w:color w:val="FFFFFF"/>
              </w:rPr>
              <w:t>Fiscal 2026 Performance Measure</w:t>
            </w:r>
          </w:p>
        </w:tc>
        <w:tc>
          <w:tcPr>
            <w:tcW w:w="860" w:type="dxa"/>
            <w:vAlign w:val="bottom"/>
            <w:shd w:val="clear" w:color="auto" w:fill="BFA071"/>
          </w:tcPr>
          <w:p>
            <w:pPr>
              <w:jc w:val="right"/>
              <w:ind w:right="8"/>
              <w:spacing w:after="0"/>
              <w:rPr>
                <w:sz w:val="20"/>
                <w:szCs w:val="20"/>
                <w:color w:val="auto"/>
              </w:rPr>
            </w:pPr>
            <w:r>
              <w:rPr>
                <w:rFonts w:ascii="Arial" w:cs="Arial" w:eastAsia="Arial" w:hAnsi="Arial"/>
                <w:sz w:val="14"/>
                <w:szCs w:val="14"/>
                <w:b w:val="1"/>
                <w:bCs w:val="1"/>
                <w:color w:val="FFFFFF"/>
              </w:rPr>
              <w:t>50%</w:t>
            </w:r>
          </w:p>
        </w:tc>
        <w:tc>
          <w:tcPr>
            <w:tcW w:w="740" w:type="dxa"/>
            <w:vAlign w:val="bottom"/>
            <w:shd w:val="clear" w:color="auto" w:fill="BFA071"/>
          </w:tcPr>
          <w:p>
            <w:pPr>
              <w:jc w:val="right"/>
              <w:ind w:right="8"/>
              <w:spacing w:after="0"/>
              <w:rPr>
                <w:sz w:val="20"/>
                <w:szCs w:val="20"/>
                <w:color w:val="auto"/>
              </w:rPr>
            </w:pPr>
            <w:r>
              <w:rPr>
                <w:rFonts w:ascii="Arial" w:cs="Arial" w:eastAsia="Arial" w:hAnsi="Arial"/>
                <w:sz w:val="14"/>
                <w:szCs w:val="14"/>
                <w:b w:val="1"/>
                <w:bCs w:val="1"/>
                <w:color w:val="FFFFFF"/>
              </w:rPr>
              <w:t>100%</w:t>
            </w:r>
          </w:p>
        </w:tc>
        <w:tc>
          <w:tcPr>
            <w:tcW w:w="840" w:type="dxa"/>
            <w:vAlign w:val="bottom"/>
            <w:shd w:val="clear" w:color="auto" w:fill="BFA071"/>
          </w:tcPr>
          <w:p>
            <w:pPr>
              <w:jc w:val="right"/>
              <w:ind w:right="8"/>
              <w:spacing w:after="0"/>
              <w:rPr>
                <w:sz w:val="20"/>
                <w:szCs w:val="20"/>
                <w:color w:val="auto"/>
              </w:rPr>
            </w:pPr>
            <w:r>
              <w:rPr>
                <w:rFonts w:ascii="Arial" w:cs="Arial" w:eastAsia="Arial" w:hAnsi="Arial"/>
                <w:sz w:val="14"/>
                <w:szCs w:val="14"/>
                <w:b w:val="1"/>
                <w:bCs w:val="1"/>
                <w:color w:val="FFFFFF"/>
              </w:rPr>
              <w:t>200%</w:t>
            </w:r>
          </w:p>
        </w:tc>
        <w:tc>
          <w:tcPr>
            <w:tcW w:w="780" w:type="dxa"/>
            <w:vAlign w:val="bottom"/>
            <w:shd w:val="clear" w:color="auto" w:fill="BFA071"/>
          </w:tcPr>
          <w:p>
            <w:pPr>
              <w:jc w:val="right"/>
              <w:ind w:right="8"/>
              <w:spacing w:after="0" w:line="243" w:lineRule="exact"/>
              <w:rPr>
                <w:sz w:val="20"/>
                <w:szCs w:val="20"/>
                <w:color w:val="auto"/>
              </w:rPr>
            </w:pPr>
            <w:r>
              <w:rPr>
                <w:rFonts w:ascii="Arial" w:cs="Arial" w:eastAsia="Arial" w:hAnsi="Arial"/>
                <w:sz w:val="14"/>
                <w:szCs w:val="14"/>
                <w:b w:val="1"/>
                <w:bCs w:val="1"/>
                <w:color w:val="FFFFFF"/>
              </w:rPr>
              <w:t>Results</w:t>
            </w:r>
            <w:r>
              <w:rPr>
                <w:rFonts w:ascii="Arial" w:cs="Arial" w:eastAsia="Arial" w:hAnsi="Arial"/>
                <w:sz w:val="23"/>
                <w:szCs w:val="23"/>
                <w:b w:val="1"/>
                <w:bCs w:val="1"/>
                <w:color w:val="FFFFFF"/>
                <w:vertAlign w:val="superscript"/>
              </w:rPr>
              <w:t>1</w:t>
            </w:r>
          </w:p>
        </w:tc>
        <w:tc>
          <w:tcPr>
            <w:tcW w:w="100" w:type="dxa"/>
            <w:vAlign w:val="bottom"/>
            <w:shd w:val="clear" w:color="auto" w:fill="001641"/>
          </w:tcPr>
          <w:p>
            <w:pPr>
              <w:spacing w:after="0"/>
              <w:rPr>
                <w:sz w:val="21"/>
                <w:szCs w:val="21"/>
                <w:color w:val="auto"/>
              </w:rPr>
            </w:pPr>
          </w:p>
        </w:tc>
      </w:tr>
      <w:tr>
        <w:trPr>
          <w:trHeight w:val="283"/>
        </w:trPr>
        <w:tc>
          <w:tcPr>
            <w:tcW w:w="3960" w:type="dxa"/>
            <w:vAlign w:val="bottom"/>
            <w:tcBorders>
              <w:bottom w:val="single" w:sz="8" w:color="BFA071"/>
            </w:tcBorders>
          </w:tcPr>
          <w:p>
            <w:pPr>
              <w:ind w:left="100"/>
              <w:spacing w:after="0"/>
              <w:rPr>
                <w:sz w:val="20"/>
                <w:szCs w:val="20"/>
                <w:color w:val="auto"/>
              </w:rPr>
            </w:pPr>
            <w:r>
              <w:rPr>
                <w:rFonts w:ascii="Arial" w:cs="Arial" w:eastAsia="Arial" w:hAnsi="Arial"/>
                <w:sz w:val="14"/>
                <w:szCs w:val="14"/>
                <w:color w:val="001641"/>
              </w:rPr>
              <w:t>Adjusted Operating Profit Margin (40% weight)</w:t>
            </w:r>
            <w:r>
              <w:rPr>
                <w:rFonts w:ascii="Arial" w:cs="Arial" w:eastAsia="Arial" w:hAnsi="Arial"/>
                <w:sz w:val="23"/>
                <w:szCs w:val="23"/>
                <w:color w:val="001641"/>
                <w:vertAlign w:val="superscript"/>
              </w:rPr>
              <w:t>1</w:t>
            </w:r>
          </w:p>
        </w:tc>
        <w:tc>
          <w:tcPr>
            <w:tcW w:w="860" w:type="dxa"/>
            <w:vAlign w:val="bottom"/>
            <w:tcBorders>
              <w:bottom w:val="single" w:sz="8" w:color="BFA071"/>
            </w:tcBorders>
            <w:shd w:val="clear" w:color="auto" w:fill="EBE1D2"/>
          </w:tcPr>
          <w:p>
            <w:pPr>
              <w:jc w:val="right"/>
              <w:ind w:right="28"/>
              <w:spacing w:after="0"/>
              <w:rPr>
                <w:sz w:val="20"/>
                <w:szCs w:val="20"/>
                <w:color w:val="auto"/>
              </w:rPr>
            </w:pPr>
            <w:r>
              <w:rPr>
                <w:rFonts w:ascii="Arial" w:cs="Arial" w:eastAsia="Arial" w:hAnsi="Arial"/>
                <w:sz w:val="14"/>
                <w:szCs w:val="14"/>
                <w:color w:val="001641"/>
              </w:rPr>
              <w:t>14.0%</w:t>
            </w:r>
          </w:p>
        </w:tc>
        <w:tc>
          <w:tcPr>
            <w:tcW w:w="740" w:type="dxa"/>
            <w:vAlign w:val="bottom"/>
            <w:tcBorders>
              <w:bottom w:val="single" w:sz="8" w:color="BFA071"/>
            </w:tcBorders>
            <w:shd w:val="clear" w:color="auto" w:fill="EBE1D2"/>
          </w:tcPr>
          <w:p>
            <w:pPr>
              <w:jc w:val="right"/>
              <w:ind w:right="28"/>
              <w:spacing w:after="0"/>
              <w:rPr>
                <w:sz w:val="20"/>
                <w:szCs w:val="20"/>
                <w:color w:val="auto"/>
              </w:rPr>
            </w:pPr>
            <w:r>
              <w:rPr>
                <w:rFonts w:ascii="Arial" w:cs="Arial" w:eastAsia="Arial" w:hAnsi="Arial"/>
                <w:sz w:val="14"/>
                <w:szCs w:val="14"/>
                <w:color w:val="001641"/>
              </w:rPr>
              <w:t>14.6%</w:t>
            </w:r>
          </w:p>
        </w:tc>
        <w:tc>
          <w:tcPr>
            <w:tcW w:w="840" w:type="dxa"/>
            <w:vAlign w:val="bottom"/>
            <w:tcBorders>
              <w:bottom w:val="single" w:sz="8" w:color="BFA071"/>
            </w:tcBorders>
            <w:shd w:val="clear" w:color="auto" w:fill="EBE1D2"/>
          </w:tcPr>
          <w:p>
            <w:pPr>
              <w:jc w:val="right"/>
              <w:ind w:right="28"/>
              <w:spacing w:after="0"/>
              <w:rPr>
                <w:sz w:val="20"/>
                <w:szCs w:val="20"/>
                <w:color w:val="auto"/>
              </w:rPr>
            </w:pPr>
            <w:r>
              <w:rPr>
                <w:rFonts w:ascii="Arial" w:cs="Arial" w:eastAsia="Arial" w:hAnsi="Arial"/>
                <w:sz w:val="14"/>
                <w:szCs w:val="14"/>
                <w:color w:val="001641"/>
              </w:rPr>
              <w:t>15.3%</w:t>
            </w:r>
          </w:p>
        </w:tc>
        <w:tc>
          <w:tcPr>
            <w:tcW w:w="780" w:type="dxa"/>
            <w:vAlign w:val="bottom"/>
            <w:tcBorders>
              <w:bottom w:val="single" w:sz="8" w:color="BFA071"/>
            </w:tcBorders>
            <w:shd w:val="clear" w:color="auto" w:fill="EBE1D2"/>
          </w:tcPr>
          <w:p>
            <w:pPr>
              <w:jc w:val="right"/>
              <w:ind w:right="48"/>
              <w:spacing w:after="0"/>
              <w:rPr>
                <w:sz w:val="20"/>
                <w:szCs w:val="20"/>
                <w:color w:val="auto"/>
              </w:rPr>
            </w:pPr>
            <w:r>
              <w:rPr>
                <w:rFonts w:ascii="Arial" w:cs="Arial" w:eastAsia="Arial" w:hAnsi="Arial"/>
                <w:sz w:val="14"/>
                <w:szCs w:val="14"/>
                <w:b w:val="1"/>
                <w:bCs w:val="1"/>
                <w:color w:val="001641"/>
              </w:rPr>
              <w:t>15.5%</w:t>
            </w:r>
          </w:p>
        </w:tc>
        <w:tc>
          <w:tcPr>
            <w:tcW w:w="100" w:type="dxa"/>
            <w:vAlign w:val="bottom"/>
          </w:tcPr>
          <w:p>
            <w:pPr>
              <w:spacing w:after="0"/>
              <w:rPr>
                <w:sz w:val="24"/>
                <w:szCs w:val="24"/>
                <w:color w:val="auto"/>
              </w:rPr>
            </w:pPr>
          </w:p>
        </w:tc>
      </w:tr>
      <w:tr>
        <w:trPr>
          <w:trHeight w:val="216"/>
        </w:trPr>
        <w:tc>
          <w:tcPr>
            <w:tcW w:w="3960" w:type="dxa"/>
            <w:vAlign w:val="bottom"/>
            <w:tcBorders>
              <w:bottom w:val="single" w:sz="8" w:color="BFA071"/>
            </w:tcBorders>
          </w:tcPr>
          <w:p>
            <w:pPr>
              <w:ind w:left="100"/>
              <w:spacing w:after="0"/>
              <w:rPr>
                <w:sz w:val="20"/>
                <w:szCs w:val="20"/>
                <w:color w:val="auto"/>
              </w:rPr>
            </w:pPr>
            <w:r>
              <w:rPr>
                <w:rFonts w:ascii="Arial" w:cs="Arial" w:eastAsia="Arial" w:hAnsi="Arial"/>
                <w:sz w:val="14"/>
                <w:szCs w:val="14"/>
                <w:color w:val="001641"/>
              </w:rPr>
              <w:t>Total Company Revenue - $ millions (40% weight)</w:t>
            </w:r>
          </w:p>
        </w:tc>
        <w:tc>
          <w:tcPr>
            <w:tcW w:w="860" w:type="dxa"/>
            <w:vAlign w:val="bottom"/>
            <w:tcBorders>
              <w:bottom w:val="single" w:sz="8" w:color="BFA071"/>
            </w:tcBorders>
            <w:shd w:val="clear" w:color="auto" w:fill="EBE1D2"/>
          </w:tcPr>
          <w:p>
            <w:pPr>
              <w:jc w:val="right"/>
              <w:ind w:right="28"/>
              <w:spacing w:after="0"/>
              <w:rPr>
                <w:sz w:val="20"/>
                <w:szCs w:val="20"/>
                <w:color w:val="auto"/>
              </w:rPr>
            </w:pPr>
            <w:r>
              <w:rPr>
                <w:rFonts w:ascii="Arial" w:cs="Arial" w:eastAsia="Arial" w:hAnsi="Arial"/>
                <w:sz w:val="14"/>
                <w:szCs w:val="14"/>
                <w:color w:val="001641"/>
              </w:rPr>
              <w:t>$7,079.0</w:t>
            </w:r>
          </w:p>
        </w:tc>
        <w:tc>
          <w:tcPr>
            <w:tcW w:w="740" w:type="dxa"/>
            <w:vAlign w:val="bottom"/>
            <w:tcBorders>
              <w:bottom w:val="single" w:sz="8" w:color="BFA071"/>
            </w:tcBorders>
            <w:shd w:val="clear" w:color="auto" w:fill="EBE1D2"/>
          </w:tcPr>
          <w:p>
            <w:pPr>
              <w:jc w:val="right"/>
              <w:ind w:right="28"/>
              <w:spacing w:after="0"/>
              <w:rPr>
                <w:sz w:val="20"/>
                <w:szCs w:val="20"/>
                <w:color w:val="auto"/>
              </w:rPr>
            </w:pPr>
            <w:r>
              <w:rPr>
                <w:rFonts w:ascii="Arial" w:cs="Arial" w:eastAsia="Arial" w:hAnsi="Arial"/>
                <w:sz w:val="14"/>
                <w:szCs w:val="14"/>
                <w:color w:val="001641"/>
              </w:rPr>
              <w:t>$7,227.7</w:t>
            </w:r>
          </w:p>
        </w:tc>
        <w:tc>
          <w:tcPr>
            <w:tcW w:w="840" w:type="dxa"/>
            <w:vAlign w:val="bottom"/>
            <w:tcBorders>
              <w:bottom w:val="single" w:sz="8" w:color="BFA071"/>
            </w:tcBorders>
            <w:shd w:val="clear" w:color="auto" w:fill="EBE1D2"/>
          </w:tcPr>
          <w:p>
            <w:pPr>
              <w:jc w:val="right"/>
              <w:ind w:right="28"/>
              <w:spacing w:after="0"/>
              <w:rPr>
                <w:sz w:val="20"/>
                <w:szCs w:val="20"/>
                <w:color w:val="auto"/>
              </w:rPr>
            </w:pPr>
            <w:r>
              <w:rPr>
                <w:rFonts w:ascii="Arial" w:cs="Arial" w:eastAsia="Arial" w:hAnsi="Arial"/>
                <w:sz w:val="14"/>
                <w:szCs w:val="14"/>
                <w:color w:val="001641"/>
              </w:rPr>
              <w:t>$7,589.0</w:t>
            </w:r>
          </w:p>
        </w:tc>
        <w:tc>
          <w:tcPr>
            <w:tcW w:w="780" w:type="dxa"/>
            <w:vAlign w:val="bottom"/>
            <w:tcBorders>
              <w:bottom w:val="single" w:sz="8" w:color="BFA071"/>
            </w:tcBorders>
            <w:shd w:val="clear" w:color="auto" w:fill="EBE1D2"/>
          </w:tcPr>
          <w:p>
            <w:pPr>
              <w:jc w:val="right"/>
              <w:ind w:right="48"/>
              <w:spacing w:after="0"/>
              <w:rPr>
                <w:sz w:val="20"/>
                <w:szCs w:val="20"/>
                <w:color w:val="auto"/>
              </w:rPr>
            </w:pPr>
            <w:r>
              <w:rPr>
                <w:rFonts w:ascii="Arial" w:cs="Arial" w:eastAsia="Arial" w:hAnsi="Arial"/>
                <w:sz w:val="14"/>
                <w:szCs w:val="14"/>
                <w:b w:val="1"/>
                <w:bCs w:val="1"/>
                <w:color w:val="001641"/>
              </w:rPr>
              <w:t>$7,912.6</w:t>
            </w:r>
          </w:p>
        </w:tc>
        <w:tc>
          <w:tcPr>
            <w:tcW w:w="100" w:type="dxa"/>
            <w:vAlign w:val="bottom"/>
          </w:tcPr>
          <w:p>
            <w:pPr>
              <w:spacing w:after="0"/>
              <w:rPr>
                <w:sz w:val="18"/>
                <w:szCs w:val="18"/>
                <w:color w:val="auto"/>
              </w:rPr>
            </w:pPr>
          </w:p>
        </w:tc>
      </w:tr>
      <w:tr>
        <w:trPr>
          <w:trHeight w:val="207"/>
        </w:trPr>
        <w:tc>
          <w:tcPr>
            <w:tcW w:w="3960" w:type="dxa"/>
            <w:vAlign w:val="bottom"/>
          </w:tcPr>
          <w:p>
            <w:pPr>
              <w:ind w:left="100"/>
              <w:spacing w:after="0"/>
              <w:rPr>
                <w:sz w:val="20"/>
                <w:szCs w:val="20"/>
                <w:color w:val="auto"/>
              </w:rPr>
            </w:pPr>
            <w:r>
              <w:rPr>
                <w:rFonts w:ascii="Arial" w:cs="Arial" w:eastAsia="Arial" w:hAnsi="Arial"/>
                <w:sz w:val="14"/>
                <w:szCs w:val="14"/>
                <w:color w:val="001641"/>
              </w:rPr>
              <w:t>Strategic Growth Accelerators Revenue - % growth over</w:t>
            </w:r>
          </w:p>
        </w:tc>
        <w:tc>
          <w:tcPr>
            <w:tcW w:w="860" w:type="dxa"/>
            <w:vAlign w:val="bottom"/>
            <w:shd w:val="clear" w:color="auto" w:fill="EBE1D2"/>
          </w:tcPr>
          <w:p>
            <w:pPr>
              <w:spacing w:after="0"/>
              <w:rPr>
                <w:sz w:val="17"/>
                <w:szCs w:val="17"/>
                <w:color w:val="auto"/>
              </w:rPr>
            </w:pPr>
          </w:p>
        </w:tc>
        <w:tc>
          <w:tcPr>
            <w:tcW w:w="740" w:type="dxa"/>
            <w:vAlign w:val="bottom"/>
            <w:shd w:val="clear" w:color="auto" w:fill="EBE1D2"/>
          </w:tcPr>
          <w:p>
            <w:pPr>
              <w:spacing w:after="0"/>
              <w:rPr>
                <w:sz w:val="17"/>
                <w:szCs w:val="17"/>
                <w:color w:val="auto"/>
              </w:rPr>
            </w:pPr>
          </w:p>
        </w:tc>
        <w:tc>
          <w:tcPr>
            <w:tcW w:w="840" w:type="dxa"/>
            <w:vAlign w:val="bottom"/>
            <w:shd w:val="clear" w:color="auto" w:fill="EBE1D2"/>
          </w:tcPr>
          <w:p>
            <w:pPr>
              <w:spacing w:after="0"/>
              <w:rPr>
                <w:sz w:val="17"/>
                <w:szCs w:val="17"/>
                <w:color w:val="auto"/>
              </w:rPr>
            </w:pPr>
          </w:p>
        </w:tc>
        <w:tc>
          <w:tcPr>
            <w:tcW w:w="780" w:type="dxa"/>
            <w:vAlign w:val="bottom"/>
            <w:shd w:val="clear" w:color="auto" w:fill="EBE1D2"/>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960" w:type="dxa"/>
            <w:vAlign w:val="bottom"/>
            <w:tcBorders>
              <w:bottom w:val="single" w:sz="8" w:color="BFA071"/>
            </w:tcBorders>
          </w:tcPr>
          <w:p>
            <w:pPr>
              <w:ind w:left="100"/>
              <w:spacing w:after="0"/>
              <w:rPr>
                <w:sz w:val="20"/>
                <w:szCs w:val="20"/>
                <w:color w:val="auto"/>
              </w:rPr>
            </w:pPr>
            <w:r>
              <w:rPr>
                <w:rFonts w:ascii="Arial" w:cs="Arial" w:eastAsia="Arial" w:hAnsi="Arial"/>
                <w:sz w:val="14"/>
                <w:szCs w:val="14"/>
                <w:color w:val="001641"/>
              </w:rPr>
              <w:t>prior year (10% weight)</w:t>
            </w:r>
          </w:p>
        </w:tc>
        <w:tc>
          <w:tcPr>
            <w:tcW w:w="860" w:type="dxa"/>
            <w:vAlign w:val="bottom"/>
            <w:tcBorders>
              <w:bottom w:val="single" w:sz="8" w:color="BFA071"/>
            </w:tcBorders>
            <w:shd w:val="clear" w:color="auto" w:fill="EBE1D2"/>
          </w:tcPr>
          <w:p>
            <w:pPr>
              <w:jc w:val="right"/>
              <w:ind w:right="28"/>
              <w:spacing w:after="0"/>
              <w:rPr>
                <w:sz w:val="20"/>
                <w:szCs w:val="20"/>
                <w:color w:val="auto"/>
              </w:rPr>
            </w:pPr>
            <w:r>
              <w:rPr>
                <w:rFonts w:ascii="Arial" w:cs="Arial" w:eastAsia="Arial" w:hAnsi="Arial"/>
                <w:sz w:val="14"/>
                <w:szCs w:val="14"/>
                <w:color w:val="001641"/>
              </w:rPr>
              <w:t>0%</w:t>
            </w:r>
          </w:p>
        </w:tc>
        <w:tc>
          <w:tcPr>
            <w:tcW w:w="740" w:type="dxa"/>
            <w:vAlign w:val="bottom"/>
            <w:tcBorders>
              <w:bottom w:val="single" w:sz="8" w:color="BFA071"/>
            </w:tcBorders>
            <w:shd w:val="clear" w:color="auto" w:fill="EBE1D2"/>
          </w:tcPr>
          <w:p>
            <w:pPr>
              <w:jc w:val="right"/>
              <w:ind w:right="28"/>
              <w:spacing w:after="0"/>
              <w:rPr>
                <w:sz w:val="20"/>
                <w:szCs w:val="20"/>
                <w:color w:val="auto"/>
              </w:rPr>
            </w:pPr>
            <w:r>
              <w:rPr>
                <w:rFonts w:ascii="Arial" w:cs="Arial" w:eastAsia="Arial" w:hAnsi="Arial"/>
                <w:sz w:val="14"/>
                <w:szCs w:val="14"/>
                <w:color w:val="001641"/>
              </w:rPr>
              <w:t>5%</w:t>
            </w:r>
          </w:p>
        </w:tc>
        <w:tc>
          <w:tcPr>
            <w:tcW w:w="840" w:type="dxa"/>
            <w:vAlign w:val="bottom"/>
            <w:tcBorders>
              <w:bottom w:val="single" w:sz="8" w:color="BFA071"/>
            </w:tcBorders>
            <w:shd w:val="clear" w:color="auto" w:fill="EBE1D2"/>
          </w:tcPr>
          <w:p>
            <w:pPr>
              <w:jc w:val="right"/>
              <w:ind w:right="28"/>
              <w:spacing w:after="0"/>
              <w:rPr>
                <w:sz w:val="20"/>
                <w:szCs w:val="20"/>
                <w:color w:val="auto"/>
              </w:rPr>
            </w:pPr>
            <w:r>
              <w:rPr>
                <w:rFonts w:ascii="Arial" w:cs="Arial" w:eastAsia="Arial" w:hAnsi="Arial"/>
                <w:sz w:val="14"/>
                <w:szCs w:val="14"/>
                <w:color w:val="001641"/>
              </w:rPr>
              <w:t>10%</w:t>
            </w:r>
          </w:p>
        </w:tc>
        <w:tc>
          <w:tcPr>
            <w:tcW w:w="780" w:type="dxa"/>
            <w:vAlign w:val="bottom"/>
            <w:tcBorders>
              <w:bottom w:val="single" w:sz="8" w:color="BFA071"/>
            </w:tcBorders>
            <w:shd w:val="clear" w:color="auto" w:fill="EBE1D2"/>
          </w:tcPr>
          <w:p>
            <w:pPr>
              <w:jc w:val="right"/>
              <w:ind w:right="48"/>
              <w:spacing w:after="0"/>
              <w:rPr>
                <w:sz w:val="20"/>
                <w:szCs w:val="20"/>
                <w:color w:val="auto"/>
              </w:rPr>
            </w:pPr>
            <w:r>
              <w:rPr>
                <w:rFonts w:ascii="Arial" w:cs="Arial" w:eastAsia="Arial" w:hAnsi="Arial"/>
                <w:sz w:val="14"/>
                <w:szCs w:val="14"/>
                <w:b w:val="1"/>
                <w:bCs w:val="1"/>
                <w:color w:val="001641"/>
              </w:rPr>
              <w:t>19%</w:t>
            </w:r>
          </w:p>
        </w:tc>
        <w:tc>
          <w:tcPr>
            <w:tcW w:w="100" w:type="dxa"/>
            <w:vAlign w:val="bottom"/>
          </w:tcPr>
          <w:p>
            <w:pPr>
              <w:spacing w:after="0"/>
              <w:rPr>
                <w:sz w:val="17"/>
                <w:szCs w:val="17"/>
                <w:color w:val="auto"/>
              </w:rPr>
            </w:pPr>
          </w:p>
        </w:tc>
      </w:tr>
      <w:tr>
        <w:trPr>
          <w:trHeight w:val="189"/>
        </w:trPr>
        <w:tc>
          <w:tcPr>
            <w:tcW w:w="3960" w:type="dxa"/>
            <w:vAlign w:val="bottom"/>
          </w:tcPr>
          <w:p>
            <w:pPr>
              <w:ind w:left="100"/>
              <w:spacing w:after="0"/>
              <w:rPr>
                <w:sz w:val="20"/>
                <w:szCs w:val="20"/>
                <w:color w:val="auto"/>
              </w:rPr>
            </w:pPr>
            <w:r>
              <w:rPr>
                <w:rFonts w:ascii="Arial" w:cs="Arial" w:eastAsia="Arial" w:hAnsi="Arial"/>
                <w:sz w:val="14"/>
                <w:szCs w:val="14"/>
                <w:color w:val="001641"/>
              </w:rPr>
              <w:t>Adjusted SG&amp;A Expense as a % of revenue (10% weight)</w:t>
            </w:r>
          </w:p>
        </w:tc>
        <w:tc>
          <w:tcPr>
            <w:tcW w:w="860" w:type="dxa"/>
            <w:vAlign w:val="bottom"/>
            <w:shd w:val="clear" w:color="auto" w:fill="EBE1D2"/>
          </w:tcPr>
          <w:p>
            <w:pPr>
              <w:jc w:val="right"/>
              <w:ind w:right="28"/>
              <w:spacing w:after="0"/>
              <w:rPr>
                <w:sz w:val="20"/>
                <w:szCs w:val="20"/>
                <w:color w:val="auto"/>
              </w:rPr>
            </w:pPr>
            <w:r>
              <w:rPr>
                <w:rFonts w:ascii="Arial" w:cs="Arial" w:eastAsia="Arial" w:hAnsi="Arial"/>
                <w:sz w:val="14"/>
                <w:szCs w:val="14"/>
                <w:color w:val="001641"/>
              </w:rPr>
              <w:t>47.3%</w:t>
            </w:r>
          </w:p>
        </w:tc>
        <w:tc>
          <w:tcPr>
            <w:tcW w:w="740" w:type="dxa"/>
            <w:vAlign w:val="bottom"/>
            <w:shd w:val="clear" w:color="auto" w:fill="EBE1D2"/>
          </w:tcPr>
          <w:p>
            <w:pPr>
              <w:jc w:val="right"/>
              <w:ind w:right="28"/>
              <w:spacing w:after="0"/>
              <w:rPr>
                <w:sz w:val="20"/>
                <w:szCs w:val="20"/>
                <w:color w:val="auto"/>
              </w:rPr>
            </w:pPr>
            <w:r>
              <w:rPr>
                <w:rFonts w:ascii="Arial" w:cs="Arial" w:eastAsia="Arial" w:hAnsi="Arial"/>
                <w:sz w:val="14"/>
                <w:szCs w:val="14"/>
                <w:color w:val="001641"/>
              </w:rPr>
              <w:t>46.7%</w:t>
            </w:r>
          </w:p>
        </w:tc>
        <w:tc>
          <w:tcPr>
            <w:tcW w:w="840" w:type="dxa"/>
            <w:vAlign w:val="bottom"/>
            <w:shd w:val="clear" w:color="auto" w:fill="EBE1D2"/>
          </w:tcPr>
          <w:p>
            <w:pPr>
              <w:jc w:val="right"/>
              <w:ind w:right="28"/>
              <w:spacing w:after="0"/>
              <w:rPr>
                <w:sz w:val="20"/>
                <w:szCs w:val="20"/>
                <w:color w:val="auto"/>
              </w:rPr>
            </w:pPr>
            <w:r>
              <w:rPr>
                <w:rFonts w:ascii="Arial" w:cs="Arial" w:eastAsia="Arial" w:hAnsi="Arial"/>
                <w:sz w:val="14"/>
                <w:szCs w:val="14"/>
                <w:color w:val="001641"/>
              </w:rPr>
              <w:t>46.0%</w:t>
            </w:r>
          </w:p>
        </w:tc>
        <w:tc>
          <w:tcPr>
            <w:tcW w:w="780" w:type="dxa"/>
            <w:vAlign w:val="bottom"/>
            <w:shd w:val="clear" w:color="auto" w:fill="EBE1D2"/>
          </w:tcPr>
          <w:p>
            <w:pPr>
              <w:jc w:val="right"/>
              <w:ind w:right="48"/>
              <w:spacing w:after="0"/>
              <w:rPr>
                <w:sz w:val="20"/>
                <w:szCs w:val="20"/>
                <w:color w:val="auto"/>
              </w:rPr>
            </w:pPr>
            <w:r>
              <w:rPr>
                <w:rFonts w:ascii="Arial" w:cs="Arial" w:eastAsia="Arial" w:hAnsi="Arial"/>
                <w:sz w:val="14"/>
                <w:szCs w:val="14"/>
                <w:b w:val="1"/>
                <w:bCs w:val="1"/>
                <w:color w:val="001641"/>
              </w:rPr>
              <w:t>46.2%</w:t>
            </w:r>
          </w:p>
        </w:tc>
        <w:tc>
          <w:tcPr>
            <w:tcW w:w="100" w:type="dxa"/>
            <w:vAlign w:val="bottom"/>
          </w:tcPr>
          <w:p>
            <w:pPr>
              <w:spacing w:after="0"/>
              <w:rPr>
                <w:sz w:val="16"/>
                <w:szCs w:val="16"/>
                <w:color w:val="auto"/>
              </w:rPr>
            </w:pPr>
          </w:p>
        </w:tc>
      </w:tr>
      <w:tr>
        <w:trPr>
          <w:trHeight w:val="27"/>
        </w:trPr>
        <w:tc>
          <w:tcPr>
            <w:tcW w:w="3960" w:type="dxa"/>
            <w:vAlign w:val="bottom"/>
          </w:tcPr>
          <w:p>
            <w:pPr>
              <w:spacing w:after="0"/>
              <w:rPr>
                <w:sz w:val="2"/>
                <w:szCs w:val="2"/>
                <w:color w:val="auto"/>
              </w:rPr>
            </w:pPr>
          </w:p>
        </w:tc>
        <w:tc>
          <w:tcPr>
            <w:tcW w:w="860" w:type="dxa"/>
            <w:vAlign w:val="bottom"/>
            <w:shd w:val="clear" w:color="auto" w:fill="EBE1D2"/>
          </w:tcPr>
          <w:p>
            <w:pPr>
              <w:spacing w:after="0"/>
              <w:rPr>
                <w:sz w:val="2"/>
                <w:szCs w:val="2"/>
                <w:color w:val="auto"/>
              </w:rPr>
            </w:pPr>
          </w:p>
        </w:tc>
        <w:tc>
          <w:tcPr>
            <w:tcW w:w="740" w:type="dxa"/>
            <w:vAlign w:val="bottom"/>
            <w:shd w:val="clear" w:color="auto" w:fill="EBE1D2"/>
          </w:tcPr>
          <w:p>
            <w:pPr>
              <w:spacing w:after="0"/>
              <w:rPr>
                <w:sz w:val="2"/>
                <w:szCs w:val="2"/>
                <w:color w:val="auto"/>
              </w:rPr>
            </w:pPr>
          </w:p>
        </w:tc>
        <w:tc>
          <w:tcPr>
            <w:tcW w:w="840" w:type="dxa"/>
            <w:vAlign w:val="bottom"/>
            <w:shd w:val="clear" w:color="auto" w:fill="EBE1D2"/>
          </w:tcPr>
          <w:p>
            <w:pPr>
              <w:spacing w:after="0"/>
              <w:rPr>
                <w:sz w:val="2"/>
                <w:szCs w:val="2"/>
                <w:color w:val="auto"/>
              </w:rPr>
            </w:pPr>
          </w:p>
        </w:tc>
        <w:tc>
          <w:tcPr>
            <w:tcW w:w="780" w:type="dxa"/>
            <w:vAlign w:val="bottom"/>
            <w:shd w:val="clear" w:color="auto" w:fill="EBE1D2"/>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58293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4"/>
          <w:szCs w:val="14"/>
          <w:b w:val="1"/>
          <w:bCs w:val="1"/>
          <w:color w:val="FFFFFF"/>
        </w:rPr>
        <w:t>Actual Compensation Awarded as a % of Target</w:t>
      </w:r>
      <w:r>
        <w:rPr>
          <w:rFonts w:ascii="Arial" w:cs="Arial" w:eastAsia="Arial" w:hAnsi="Arial"/>
          <w:sz w:val="23"/>
          <w:szCs w:val="23"/>
          <w:b w:val="1"/>
          <w:bCs w:val="1"/>
          <w:color w:val="FFFFFF"/>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-478790</wp:posOffset>
            </wp:positionV>
            <wp:extent cx="1200150" cy="41148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00150" cy="41148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001641"/>
        </w:rPr>
        <w:t>197% for Mr. R. Lauren;</w:t>
      </w:r>
    </w:p>
    <w:p>
      <w:pPr>
        <w:spacing w:after="0" w:line="15" w:lineRule="exact"/>
        <w:rPr>
          <w:sz w:val="20"/>
          <w:szCs w:val="20"/>
          <w:color w:val="auto"/>
        </w:rPr>
      </w:pPr>
    </w:p>
    <w:p>
      <w:pPr>
        <w:ind w:right="440"/>
        <w:spacing w:after="0" w:line="264" w:lineRule="auto"/>
        <w:rPr>
          <w:sz w:val="20"/>
          <w:szCs w:val="20"/>
          <w:color w:val="auto"/>
        </w:rPr>
      </w:pPr>
      <w:r>
        <w:rPr>
          <w:rFonts w:ascii="Arial" w:cs="Arial" w:eastAsia="Arial" w:hAnsi="Arial"/>
          <w:sz w:val="14"/>
          <w:szCs w:val="14"/>
          <w:color w:val="001641"/>
        </w:rPr>
        <w:t>200% for our CEO and other NEOs</w:t>
      </w:r>
    </w:p>
    <w:p>
      <w:pPr>
        <w:spacing w:after="0" w:line="468" w:lineRule="exact"/>
        <w:rPr>
          <w:sz w:val="20"/>
          <w:szCs w:val="20"/>
          <w:color w:val="auto"/>
        </w:rPr>
      </w:pPr>
    </w:p>
    <w:p>
      <w:pPr>
        <w:sectPr>
          <w:pgSz w:w="11900" w:h="16838" w:orient="portrait"/>
          <w:cols w:equalWidth="0" w:num="2">
            <w:col w:w="7286" w:space="0"/>
            <w:col w:w="1900"/>
          </w:cols>
          <w:pgMar w:left="1354" w:top="114" w:right="1359" w:bottom="1440" w:gutter="0" w:footer="0" w:header="0"/>
          <w:type w:val="continuous"/>
        </w:sectPr>
      </w:pPr>
    </w:p>
    <w:p>
      <w:pPr>
        <w:ind w:left="246" w:right="200" w:hanging="246"/>
        <w:spacing w:after="0" w:line="281" w:lineRule="auto"/>
        <w:tabs>
          <w:tab w:leader="none" w:pos="246" w:val="left"/>
        </w:tabs>
        <w:numPr>
          <w:ilvl w:val="0"/>
          <w:numId w:val="63"/>
        </w:numPr>
        <w:rPr>
          <w:rFonts w:ascii="Arial" w:cs="Arial" w:eastAsia="Arial" w:hAnsi="Arial"/>
          <w:sz w:val="14"/>
          <w:szCs w:val="14"/>
          <w:color w:val="4C4C4C"/>
        </w:rPr>
      </w:pPr>
      <w:r>
        <w:rPr>
          <w:rFonts w:ascii="Arial" w:cs="Arial" w:eastAsia="Arial" w:hAnsi="Arial"/>
          <w:sz w:val="14"/>
          <w:szCs w:val="14"/>
          <w:color w:val="4C4C4C"/>
        </w:rPr>
        <w:t>Includes impact of adjustments approved by the Talent Committee, including restructuring and other charges and foreign currency effects. Reference Appendix B for a reconciliation of non-GAAP metrics to the most directly comparable GAAP measure.</w:t>
      </w:r>
    </w:p>
    <w:p>
      <w:pPr>
        <w:spacing w:after="0" w:line="1" w:lineRule="exact"/>
        <w:rPr>
          <w:rFonts w:ascii="Arial" w:cs="Arial" w:eastAsia="Arial" w:hAnsi="Arial"/>
          <w:sz w:val="14"/>
          <w:szCs w:val="14"/>
          <w:color w:val="4C4C4C"/>
        </w:rPr>
      </w:pPr>
    </w:p>
    <w:p>
      <w:pPr>
        <w:ind w:left="246" w:right="160" w:hanging="246"/>
        <w:spacing w:after="0" w:line="285" w:lineRule="auto"/>
        <w:tabs>
          <w:tab w:leader="none" w:pos="246" w:val="left"/>
        </w:tabs>
        <w:numPr>
          <w:ilvl w:val="0"/>
          <w:numId w:val="63"/>
        </w:numPr>
        <w:rPr>
          <w:rFonts w:ascii="Arial" w:cs="Arial" w:eastAsia="Arial" w:hAnsi="Arial"/>
          <w:sz w:val="14"/>
          <w:szCs w:val="14"/>
          <w:color w:val="4C4C4C"/>
        </w:rPr>
      </w:pPr>
      <w:r>
        <w:rPr>
          <w:rFonts w:ascii="Arial" w:cs="Arial" w:eastAsia="Arial" w:hAnsi="Arial"/>
          <w:sz w:val="14"/>
          <w:szCs w:val="14"/>
          <w:color w:val="4C4C4C"/>
        </w:rPr>
        <w:t>Includes the strategic goal modifier, which can range from –10% to +10%. For Fiscal 2026, the Talent Committee approved this modifier at +10%. Bonus payouts for NEOs are capped at 200% of Target, inclusive of this factor. This factor is not applied to Mr. R.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8293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63"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76</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87" w:name="page88"/>
    <w:bookmarkEnd w:id="8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72" w:lineRule="exact"/>
        <w:rPr>
          <w:sz w:val="20"/>
          <w:szCs w:val="20"/>
          <w:color w:val="auto"/>
        </w:rPr>
      </w:pPr>
    </w:p>
    <w:p>
      <w:pPr>
        <w:ind w:left="6" w:right="80"/>
        <w:spacing w:after="0" w:line="256" w:lineRule="auto"/>
        <w:rPr>
          <w:sz w:val="20"/>
          <w:szCs w:val="20"/>
          <w:color w:val="auto"/>
        </w:rPr>
      </w:pPr>
      <w:r>
        <w:rPr>
          <w:rFonts w:ascii="Arial" w:cs="Arial" w:eastAsia="Arial" w:hAnsi="Arial"/>
          <w:sz w:val="16"/>
          <w:szCs w:val="16"/>
          <w:color w:val="auto"/>
        </w:rPr>
        <w:t>For Fiscal 2026, artificial intelligence metrics were set in the form of a scorecard as the strategic goal modifier, including two learning completion rate KPIs and two employee survey KPIs, to support critical business priorities that focus our executives on AI literacy and enablement. Each of the NEOs, except for Mr. R. Lauren, may have their respective bonuses increase by 5% or 10% or decrease 5% or 10% based on the achievement of the previously established strategic goals, up to a maximum bonus payout of 200% of target, including strategic goal adjustment.</w:t>
      </w:r>
    </w:p>
    <w:p>
      <w:pPr>
        <w:spacing w:after="0" w:line="126" w:lineRule="exact"/>
        <w:rPr>
          <w:sz w:val="20"/>
          <w:szCs w:val="20"/>
          <w:color w:val="auto"/>
        </w:rPr>
      </w:pPr>
    </w:p>
    <w:p>
      <w:pPr>
        <w:ind w:left="6" w:right="80"/>
        <w:spacing w:after="0" w:line="286" w:lineRule="auto"/>
        <w:rPr>
          <w:sz w:val="20"/>
          <w:szCs w:val="20"/>
          <w:color w:val="auto"/>
        </w:rPr>
      </w:pPr>
      <w:r>
        <w:rPr>
          <w:rFonts w:ascii="Arial" w:cs="Arial" w:eastAsia="Arial" w:hAnsi="Arial"/>
          <w:sz w:val="16"/>
          <w:szCs w:val="16"/>
          <w:color w:val="auto"/>
        </w:rPr>
        <w:t>All four KPIs were determined by the Talent Committee to exceed the Fiscal 2026 goal. Based on the overall assessment of the scorecard, the Talent Committee approved a 10% increase to the short-term incentive plan payout.</w:t>
      </w:r>
    </w:p>
    <w:p>
      <w:pPr>
        <w:spacing w:after="0" w:line="183"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table below sets forth the KPIs in the AI scorecard and the results:</w:t>
      </w:r>
    </w:p>
    <w:p>
      <w:pPr>
        <w:spacing w:after="0" w:line="195"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100" w:type="dxa"/>
            <w:vAlign w:val="bottom"/>
            <w:shd w:val="clear" w:color="auto" w:fill="001641"/>
          </w:tcPr>
          <w:p>
            <w:pPr>
              <w:spacing w:after="0"/>
              <w:rPr>
                <w:sz w:val="19"/>
                <w:szCs w:val="19"/>
                <w:color w:val="auto"/>
              </w:rPr>
            </w:pPr>
          </w:p>
        </w:tc>
        <w:tc>
          <w:tcPr>
            <w:tcW w:w="1360" w:type="dxa"/>
            <w:vAlign w:val="bottom"/>
            <w:vMerge w:val="restart"/>
            <w:shd w:val="clear" w:color="auto" w:fill="001641"/>
          </w:tcPr>
          <w:p>
            <w:pPr>
              <w:ind w:left="60"/>
              <w:spacing w:after="0"/>
              <w:rPr>
                <w:sz w:val="20"/>
                <w:szCs w:val="20"/>
                <w:color w:val="auto"/>
              </w:rPr>
            </w:pPr>
            <w:r>
              <w:rPr>
                <w:rFonts w:ascii="Arial" w:cs="Arial" w:eastAsia="Arial" w:hAnsi="Arial"/>
                <w:sz w:val="14"/>
                <w:szCs w:val="14"/>
                <w:b w:val="1"/>
                <w:bCs w:val="1"/>
                <w:color w:val="FFFFFF"/>
              </w:rPr>
              <w:t>AI SCORECARD</w:t>
            </w:r>
          </w:p>
        </w:tc>
        <w:tc>
          <w:tcPr>
            <w:tcW w:w="5920" w:type="dxa"/>
            <w:vAlign w:val="bottom"/>
            <w:gridSpan w:val="2"/>
            <w:vMerge w:val="restart"/>
            <w:shd w:val="clear" w:color="auto" w:fill="001641"/>
          </w:tcPr>
          <w:p>
            <w:pPr>
              <w:ind w:left="160"/>
              <w:spacing w:after="0"/>
              <w:rPr>
                <w:sz w:val="20"/>
                <w:szCs w:val="20"/>
                <w:color w:val="auto"/>
              </w:rPr>
            </w:pPr>
            <w:r>
              <w:rPr>
                <w:rFonts w:ascii="Arial" w:cs="Arial" w:eastAsia="Arial" w:hAnsi="Arial"/>
                <w:sz w:val="14"/>
                <w:szCs w:val="14"/>
                <w:b w:val="1"/>
                <w:bCs w:val="1"/>
                <w:color w:val="FFFFFF"/>
              </w:rPr>
              <w:t>KPIs</w:t>
            </w:r>
          </w:p>
        </w:tc>
        <w:tc>
          <w:tcPr>
            <w:tcW w:w="1800" w:type="dxa"/>
            <w:vAlign w:val="bottom"/>
            <w:gridSpan w:val="2"/>
            <w:shd w:val="clear" w:color="auto" w:fill="001641"/>
          </w:tcPr>
          <w:p>
            <w:pPr>
              <w:ind w:left="180"/>
              <w:spacing w:after="0"/>
              <w:rPr>
                <w:sz w:val="20"/>
                <w:szCs w:val="20"/>
                <w:color w:val="auto"/>
              </w:rPr>
            </w:pPr>
            <w:r>
              <w:rPr>
                <w:rFonts w:ascii="Arial" w:cs="Arial" w:eastAsia="Arial" w:hAnsi="Arial"/>
                <w:sz w:val="14"/>
                <w:szCs w:val="14"/>
                <w:b w:val="1"/>
                <w:bCs w:val="1"/>
                <w:color w:val="FFFFFF"/>
              </w:rPr>
              <w:t>Fiscal 2026 Goal</w:t>
            </w:r>
          </w:p>
        </w:tc>
        <w:tc>
          <w:tcPr>
            <w:tcW w:w="0" w:type="dxa"/>
            <w:vAlign w:val="bottom"/>
          </w:tcPr>
          <w:p>
            <w:pPr>
              <w:spacing w:after="0"/>
              <w:rPr>
                <w:sz w:val="1"/>
                <w:szCs w:val="1"/>
                <w:color w:val="auto"/>
              </w:rPr>
            </w:pPr>
          </w:p>
        </w:tc>
      </w:tr>
      <w:tr>
        <w:trPr>
          <w:trHeight w:val="115"/>
        </w:trPr>
        <w:tc>
          <w:tcPr>
            <w:tcW w:w="100" w:type="dxa"/>
            <w:vAlign w:val="bottom"/>
            <w:shd w:val="clear" w:color="auto" w:fill="001641"/>
          </w:tcPr>
          <w:p>
            <w:pPr>
              <w:spacing w:after="0"/>
              <w:rPr>
                <w:sz w:val="10"/>
                <w:szCs w:val="10"/>
                <w:color w:val="auto"/>
              </w:rPr>
            </w:pPr>
          </w:p>
        </w:tc>
        <w:tc>
          <w:tcPr>
            <w:tcW w:w="1360" w:type="dxa"/>
            <w:vAlign w:val="bottom"/>
            <w:vMerge w:val="continue"/>
            <w:shd w:val="clear" w:color="auto" w:fill="001641"/>
          </w:tcPr>
          <w:p>
            <w:pPr>
              <w:spacing w:after="0"/>
              <w:rPr>
                <w:sz w:val="10"/>
                <w:szCs w:val="10"/>
                <w:color w:val="auto"/>
              </w:rPr>
            </w:pPr>
          </w:p>
        </w:tc>
        <w:tc>
          <w:tcPr>
            <w:tcW w:w="5920" w:type="dxa"/>
            <w:vAlign w:val="bottom"/>
            <w:gridSpan w:val="2"/>
            <w:vMerge w:val="continue"/>
            <w:shd w:val="clear" w:color="auto" w:fill="001641"/>
          </w:tcPr>
          <w:p>
            <w:pPr>
              <w:spacing w:after="0"/>
              <w:rPr>
                <w:sz w:val="10"/>
                <w:szCs w:val="10"/>
                <w:color w:val="auto"/>
              </w:rPr>
            </w:pPr>
          </w:p>
        </w:tc>
        <w:tc>
          <w:tcPr>
            <w:tcW w:w="1800" w:type="dxa"/>
            <w:vAlign w:val="bottom"/>
            <w:gridSpan w:val="2"/>
            <w:vMerge w:val="restart"/>
            <w:shd w:val="clear" w:color="auto" w:fill="001641"/>
          </w:tcPr>
          <w:p>
            <w:pPr>
              <w:ind w:left="180"/>
              <w:spacing w:after="0"/>
              <w:rPr>
                <w:sz w:val="20"/>
                <w:szCs w:val="20"/>
                <w:color w:val="auto"/>
              </w:rPr>
            </w:pPr>
            <w:r>
              <w:rPr>
                <w:rFonts w:ascii="Arial" w:cs="Arial" w:eastAsia="Arial" w:hAnsi="Arial"/>
                <w:sz w:val="14"/>
                <w:szCs w:val="14"/>
                <w:b w:val="1"/>
                <w:bCs w:val="1"/>
                <w:color w:val="FFFFFF"/>
              </w:rPr>
              <w:t>Results</w:t>
            </w:r>
          </w:p>
        </w:tc>
        <w:tc>
          <w:tcPr>
            <w:tcW w:w="0" w:type="dxa"/>
            <w:vAlign w:val="bottom"/>
          </w:tcPr>
          <w:p>
            <w:pPr>
              <w:spacing w:after="0"/>
              <w:rPr>
                <w:sz w:val="1"/>
                <w:szCs w:val="1"/>
                <w:color w:val="auto"/>
              </w:rPr>
            </w:pPr>
          </w:p>
        </w:tc>
      </w:tr>
      <w:tr>
        <w:trPr>
          <w:trHeight w:val="97"/>
        </w:trPr>
        <w:tc>
          <w:tcPr>
            <w:tcW w:w="100" w:type="dxa"/>
            <w:vAlign w:val="bottom"/>
            <w:shd w:val="clear" w:color="auto" w:fill="001641"/>
          </w:tcPr>
          <w:p>
            <w:pPr>
              <w:spacing w:after="0"/>
              <w:rPr>
                <w:sz w:val="8"/>
                <w:szCs w:val="8"/>
                <w:color w:val="auto"/>
              </w:rPr>
            </w:pPr>
          </w:p>
        </w:tc>
        <w:tc>
          <w:tcPr>
            <w:tcW w:w="1360" w:type="dxa"/>
            <w:vAlign w:val="bottom"/>
            <w:shd w:val="clear" w:color="auto" w:fill="001641"/>
          </w:tcPr>
          <w:p>
            <w:pPr>
              <w:spacing w:after="0"/>
              <w:rPr>
                <w:sz w:val="8"/>
                <w:szCs w:val="8"/>
                <w:color w:val="auto"/>
              </w:rPr>
            </w:pPr>
          </w:p>
        </w:tc>
        <w:tc>
          <w:tcPr>
            <w:tcW w:w="300" w:type="dxa"/>
            <w:vAlign w:val="bottom"/>
            <w:shd w:val="clear" w:color="auto" w:fill="001641"/>
          </w:tcPr>
          <w:p>
            <w:pPr>
              <w:spacing w:after="0"/>
              <w:rPr>
                <w:sz w:val="8"/>
                <w:szCs w:val="8"/>
                <w:color w:val="auto"/>
              </w:rPr>
            </w:pPr>
          </w:p>
        </w:tc>
        <w:tc>
          <w:tcPr>
            <w:tcW w:w="5620" w:type="dxa"/>
            <w:vAlign w:val="bottom"/>
            <w:shd w:val="clear" w:color="auto" w:fill="001641"/>
          </w:tcPr>
          <w:p>
            <w:pPr>
              <w:spacing w:after="0"/>
              <w:rPr>
                <w:sz w:val="8"/>
                <w:szCs w:val="8"/>
                <w:color w:val="auto"/>
              </w:rPr>
            </w:pPr>
          </w:p>
        </w:tc>
        <w:tc>
          <w:tcPr>
            <w:tcW w:w="1800" w:type="dxa"/>
            <w:vAlign w:val="bottom"/>
            <w:gridSpan w:val="2"/>
            <w:vMerge w:val="continue"/>
            <w:shd w:val="clear" w:color="auto" w:fill="001641"/>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1360" w:type="dxa"/>
            <w:vAlign w:val="bottom"/>
          </w:tcPr>
          <w:p>
            <w:pPr>
              <w:ind w:left="60"/>
              <w:spacing w:after="0"/>
              <w:rPr>
                <w:sz w:val="20"/>
                <w:szCs w:val="20"/>
                <w:color w:val="auto"/>
              </w:rPr>
            </w:pPr>
            <w:r>
              <w:rPr>
                <w:rFonts w:ascii="Arial" w:cs="Arial" w:eastAsia="Arial" w:hAnsi="Arial"/>
                <w:sz w:val="14"/>
                <w:szCs w:val="14"/>
                <w:color w:val="001641"/>
              </w:rPr>
              <w:t>AI Learning –</w:t>
            </w:r>
          </w:p>
        </w:tc>
        <w:tc>
          <w:tcPr>
            <w:tcW w:w="300" w:type="dxa"/>
            <w:vAlign w:val="bottom"/>
          </w:tcPr>
          <w:p>
            <w:pPr>
              <w:ind w:left="160"/>
              <w:spacing w:after="0"/>
              <w:rPr>
                <w:sz w:val="20"/>
                <w:szCs w:val="20"/>
                <w:color w:val="auto"/>
              </w:rPr>
            </w:pPr>
            <w:r>
              <w:rPr>
                <w:rFonts w:ascii="Arial" w:cs="Arial" w:eastAsia="Arial" w:hAnsi="Arial"/>
                <w:sz w:val="12"/>
                <w:szCs w:val="12"/>
                <w:color w:val="001641"/>
                <w:w w:val="73"/>
              </w:rPr>
              <w:t>• </w:t>
            </w:r>
          </w:p>
        </w:tc>
        <w:tc>
          <w:tcPr>
            <w:tcW w:w="5620" w:type="dxa"/>
            <w:vAlign w:val="bottom"/>
          </w:tcPr>
          <w:p>
            <w:pPr>
              <w:ind w:left="40"/>
              <w:spacing w:after="0"/>
              <w:rPr>
                <w:sz w:val="20"/>
                <w:szCs w:val="20"/>
                <w:color w:val="auto"/>
              </w:rPr>
            </w:pPr>
            <w:r>
              <w:rPr>
                <w:rFonts w:ascii="Arial" w:cs="Arial" w:eastAsia="Arial" w:hAnsi="Arial"/>
                <w:sz w:val="14"/>
                <w:szCs w:val="14"/>
                <w:color w:val="001641"/>
              </w:rPr>
              <w:t>Corporate Employee AI Learning, “Weaving AI into Timeless Style”, Completion Rate</w:t>
            </w:r>
          </w:p>
        </w:tc>
        <w:tc>
          <w:tcPr>
            <w:tcW w:w="320" w:type="dxa"/>
            <w:vAlign w:val="bottom"/>
          </w:tcPr>
          <w:p>
            <w:pPr>
              <w:ind w:left="180"/>
              <w:spacing w:after="0"/>
              <w:rPr>
                <w:sz w:val="20"/>
                <w:szCs w:val="20"/>
                <w:color w:val="auto"/>
              </w:rPr>
            </w:pPr>
            <w:r>
              <w:rPr>
                <w:rFonts w:ascii="Arial" w:cs="Arial" w:eastAsia="Arial" w:hAnsi="Arial"/>
                <w:sz w:val="12"/>
                <w:szCs w:val="12"/>
                <w:color w:val="001641"/>
                <w:w w:val="73"/>
              </w:rPr>
              <w:t>• </w:t>
            </w:r>
          </w:p>
        </w:tc>
        <w:tc>
          <w:tcPr>
            <w:tcW w:w="1480" w:type="dxa"/>
            <w:vAlign w:val="bottom"/>
          </w:tcPr>
          <w:p>
            <w:pPr>
              <w:ind w:left="40"/>
              <w:spacing w:after="0"/>
              <w:rPr>
                <w:sz w:val="20"/>
                <w:szCs w:val="20"/>
                <w:color w:val="auto"/>
              </w:rPr>
            </w:pPr>
            <w:r>
              <w:rPr>
                <w:rFonts w:ascii="Arial" w:cs="Arial" w:eastAsia="Arial" w:hAnsi="Arial"/>
                <w:sz w:val="14"/>
                <w:szCs w:val="14"/>
                <w:color w:val="001641"/>
              </w:rPr>
              <w:t>Exceeded Goal</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4"/>
                <w:szCs w:val="14"/>
                <w:color w:val="001641"/>
              </w:rPr>
              <w:t>Completion Rates</w:t>
            </w:r>
          </w:p>
        </w:tc>
        <w:tc>
          <w:tcPr>
            <w:tcW w:w="300" w:type="dxa"/>
            <w:vAlign w:val="bottom"/>
          </w:tcPr>
          <w:p>
            <w:pPr>
              <w:ind w:left="160"/>
              <w:spacing w:after="0"/>
              <w:rPr>
                <w:sz w:val="20"/>
                <w:szCs w:val="20"/>
                <w:color w:val="auto"/>
              </w:rPr>
            </w:pPr>
            <w:r>
              <w:rPr>
                <w:rFonts w:ascii="Arial" w:cs="Arial" w:eastAsia="Arial" w:hAnsi="Arial"/>
                <w:sz w:val="12"/>
                <w:szCs w:val="12"/>
                <w:color w:val="001641"/>
                <w:w w:val="73"/>
              </w:rPr>
              <w:t>• </w:t>
            </w:r>
          </w:p>
        </w:tc>
        <w:tc>
          <w:tcPr>
            <w:tcW w:w="5620" w:type="dxa"/>
            <w:vAlign w:val="bottom"/>
          </w:tcPr>
          <w:p>
            <w:pPr>
              <w:ind w:left="40"/>
              <w:spacing w:after="0"/>
              <w:rPr>
                <w:sz w:val="20"/>
                <w:szCs w:val="20"/>
                <w:color w:val="auto"/>
              </w:rPr>
            </w:pPr>
            <w:r>
              <w:rPr>
                <w:rFonts w:ascii="Arial" w:cs="Arial" w:eastAsia="Arial" w:hAnsi="Arial"/>
                <w:sz w:val="14"/>
                <w:szCs w:val="14"/>
                <w:color w:val="001641"/>
              </w:rPr>
              <w:t>Global Information Security Awareness Compliance Training (which includes AI)</w:t>
            </w:r>
          </w:p>
        </w:tc>
        <w:tc>
          <w:tcPr>
            <w:tcW w:w="320" w:type="dxa"/>
            <w:vAlign w:val="bottom"/>
          </w:tcPr>
          <w:p>
            <w:pPr>
              <w:ind w:left="180"/>
              <w:spacing w:after="0"/>
              <w:rPr>
                <w:sz w:val="20"/>
                <w:szCs w:val="20"/>
                <w:color w:val="auto"/>
              </w:rPr>
            </w:pPr>
            <w:r>
              <w:rPr>
                <w:rFonts w:ascii="Arial" w:cs="Arial" w:eastAsia="Arial" w:hAnsi="Arial"/>
                <w:sz w:val="12"/>
                <w:szCs w:val="12"/>
                <w:color w:val="001641"/>
                <w:w w:val="73"/>
              </w:rPr>
              <w:t>• </w:t>
            </w:r>
          </w:p>
        </w:tc>
        <w:tc>
          <w:tcPr>
            <w:tcW w:w="1480" w:type="dxa"/>
            <w:vAlign w:val="bottom"/>
          </w:tcPr>
          <w:p>
            <w:pPr>
              <w:ind w:left="40"/>
              <w:spacing w:after="0"/>
              <w:rPr>
                <w:sz w:val="20"/>
                <w:szCs w:val="20"/>
                <w:color w:val="auto"/>
              </w:rPr>
            </w:pPr>
            <w:r>
              <w:rPr>
                <w:rFonts w:ascii="Arial" w:cs="Arial" w:eastAsia="Arial" w:hAnsi="Arial"/>
                <w:sz w:val="14"/>
                <w:szCs w:val="14"/>
                <w:color w:val="001641"/>
              </w:rPr>
              <w:t>Exceeded Goal</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tcPr>
          <w:p>
            <w:pPr>
              <w:ind w:left="40"/>
              <w:spacing w:after="0"/>
              <w:rPr>
                <w:sz w:val="20"/>
                <w:szCs w:val="20"/>
                <w:color w:val="auto"/>
              </w:rPr>
            </w:pPr>
            <w:r>
              <w:rPr>
                <w:rFonts w:ascii="Arial" w:cs="Arial" w:eastAsia="Arial" w:hAnsi="Arial"/>
                <w:sz w:val="14"/>
                <w:szCs w:val="14"/>
                <w:color w:val="001641"/>
              </w:rPr>
              <w:t>Global Employee Completion Rate</w:t>
            </w: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0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300" w:type="dxa"/>
            <w:vAlign w:val="bottom"/>
            <w:tcBorders>
              <w:bottom w:val="single" w:sz="8" w:color="BFA071"/>
            </w:tcBorders>
          </w:tcPr>
          <w:p>
            <w:pPr>
              <w:spacing w:after="0" w:line="20" w:lineRule="exact"/>
              <w:rPr>
                <w:sz w:val="1"/>
                <w:szCs w:val="1"/>
                <w:color w:val="auto"/>
              </w:rPr>
            </w:pPr>
          </w:p>
        </w:tc>
        <w:tc>
          <w:tcPr>
            <w:tcW w:w="5620" w:type="dxa"/>
            <w:vAlign w:val="bottom"/>
            <w:tcBorders>
              <w:bottom w:val="single" w:sz="8" w:color="BFA071"/>
            </w:tcBorders>
          </w:tcPr>
          <w:p>
            <w:pPr>
              <w:spacing w:after="0" w:line="20" w:lineRule="exact"/>
              <w:rPr>
                <w:sz w:val="1"/>
                <w:szCs w:val="1"/>
                <w:color w:val="auto"/>
              </w:rPr>
            </w:pPr>
          </w:p>
        </w:tc>
        <w:tc>
          <w:tcPr>
            <w:tcW w:w="320" w:type="dxa"/>
            <w:vAlign w:val="bottom"/>
            <w:tcBorders>
              <w:bottom w:val="single" w:sz="8" w:color="BFA071"/>
            </w:tcBorders>
          </w:tcPr>
          <w:p>
            <w:pPr>
              <w:spacing w:after="0" w:line="20" w:lineRule="exact"/>
              <w:rPr>
                <w:sz w:val="1"/>
                <w:szCs w:val="1"/>
                <w:color w:val="auto"/>
              </w:rPr>
            </w:pPr>
          </w:p>
        </w:tc>
        <w:tc>
          <w:tcPr>
            <w:tcW w:w="148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60" w:type="dxa"/>
            <w:vAlign w:val="bottom"/>
          </w:tcPr>
          <w:p>
            <w:pPr>
              <w:ind w:left="60"/>
              <w:spacing w:after="0"/>
              <w:rPr>
                <w:sz w:val="20"/>
                <w:szCs w:val="20"/>
                <w:color w:val="auto"/>
              </w:rPr>
            </w:pPr>
            <w:r>
              <w:rPr>
                <w:rFonts w:ascii="Arial" w:cs="Arial" w:eastAsia="Arial" w:hAnsi="Arial"/>
                <w:sz w:val="14"/>
                <w:szCs w:val="14"/>
                <w:color w:val="001641"/>
              </w:rPr>
              <w:t>AI Survey –</w:t>
            </w:r>
          </w:p>
        </w:tc>
        <w:tc>
          <w:tcPr>
            <w:tcW w:w="300" w:type="dxa"/>
            <w:vAlign w:val="bottom"/>
          </w:tcPr>
          <w:p>
            <w:pPr>
              <w:ind w:left="160"/>
              <w:spacing w:after="0"/>
              <w:rPr>
                <w:sz w:val="20"/>
                <w:szCs w:val="20"/>
                <w:color w:val="auto"/>
              </w:rPr>
            </w:pPr>
            <w:r>
              <w:rPr>
                <w:rFonts w:ascii="Arial" w:cs="Arial" w:eastAsia="Arial" w:hAnsi="Arial"/>
                <w:sz w:val="12"/>
                <w:szCs w:val="12"/>
                <w:color w:val="001641"/>
                <w:w w:val="73"/>
              </w:rPr>
              <w:t>• </w:t>
            </w:r>
          </w:p>
        </w:tc>
        <w:tc>
          <w:tcPr>
            <w:tcW w:w="5620" w:type="dxa"/>
            <w:vAlign w:val="bottom"/>
          </w:tcPr>
          <w:p>
            <w:pPr>
              <w:ind w:left="40"/>
              <w:spacing w:after="0"/>
              <w:rPr>
                <w:sz w:val="20"/>
                <w:szCs w:val="20"/>
                <w:color w:val="auto"/>
              </w:rPr>
            </w:pPr>
            <w:r>
              <w:rPr>
                <w:rFonts w:ascii="Arial" w:cs="Arial" w:eastAsia="Arial" w:hAnsi="Arial"/>
                <w:sz w:val="14"/>
                <w:szCs w:val="14"/>
                <w:color w:val="001641"/>
              </w:rPr>
              <w:t>Survey item to be included in FY26 Employee Surveys focused on AI enablement &amp;</w:t>
            </w:r>
          </w:p>
        </w:tc>
        <w:tc>
          <w:tcPr>
            <w:tcW w:w="320" w:type="dxa"/>
            <w:vAlign w:val="bottom"/>
          </w:tcPr>
          <w:p>
            <w:pPr>
              <w:ind w:left="180"/>
              <w:spacing w:after="0"/>
              <w:rPr>
                <w:sz w:val="20"/>
                <w:szCs w:val="20"/>
                <w:color w:val="auto"/>
              </w:rPr>
            </w:pPr>
            <w:r>
              <w:rPr>
                <w:rFonts w:ascii="Arial" w:cs="Arial" w:eastAsia="Arial" w:hAnsi="Arial"/>
                <w:sz w:val="12"/>
                <w:szCs w:val="12"/>
                <w:color w:val="001641"/>
                <w:w w:val="73"/>
              </w:rPr>
              <w:t>• </w:t>
            </w:r>
          </w:p>
        </w:tc>
        <w:tc>
          <w:tcPr>
            <w:tcW w:w="1480" w:type="dxa"/>
            <w:vAlign w:val="bottom"/>
          </w:tcPr>
          <w:p>
            <w:pPr>
              <w:ind w:left="40"/>
              <w:spacing w:after="0"/>
              <w:rPr>
                <w:sz w:val="20"/>
                <w:szCs w:val="20"/>
                <w:color w:val="auto"/>
              </w:rPr>
            </w:pPr>
            <w:r>
              <w:rPr>
                <w:rFonts w:ascii="Arial" w:cs="Arial" w:eastAsia="Arial" w:hAnsi="Arial"/>
                <w:sz w:val="14"/>
                <w:szCs w:val="14"/>
                <w:color w:val="001641"/>
              </w:rPr>
              <w:t>Exceeded Goal</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4"/>
                <w:szCs w:val="14"/>
                <w:color w:val="001641"/>
              </w:rPr>
              <w:t>Employee</w:t>
            </w:r>
          </w:p>
        </w:tc>
        <w:tc>
          <w:tcPr>
            <w:tcW w:w="300" w:type="dxa"/>
            <w:vAlign w:val="bottom"/>
          </w:tcPr>
          <w:p>
            <w:pPr>
              <w:spacing w:after="0"/>
              <w:rPr>
                <w:sz w:val="14"/>
                <w:szCs w:val="14"/>
                <w:color w:val="auto"/>
              </w:rPr>
            </w:pPr>
          </w:p>
        </w:tc>
        <w:tc>
          <w:tcPr>
            <w:tcW w:w="5620" w:type="dxa"/>
            <w:vAlign w:val="bottom"/>
          </w:tcPr>
          <w:p>
            <w:pPr>
              <w:ind w:left="40"/>
              <w:spacing w:after="0"/>
              <w:rPr>
                <w:sz w:val="20"/>
                <w:szCs w:val="20"/>
                <w:color w:val="auto"/>
              </w:rPr>
            </w:pPr>
            <w:r>
              <w:rPr>
                <w:rFonts w:ascii="Arial" w:cs="Arial" w:eastAsia="Arial" w:hAnsi="Arial"/>
                <w:sz w:val="14"/>
                <w:szCs w:val="14"/>
                <w:color w:val="001641"/>
              </w:rPr>
              <w:t>support:</w:t>
            </w: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360" w:type="dxa"/>
            <w:vAlign w:val="bottom"/>
          </w:tcPr>
          <w:p>
            <w:pPr>
              <w:ind w:left="60"/>
              <w:spacing w:after="0"/>
              <w:rPr>
                <w:sz w:val="20"/>
                <w:szCs w:val="20"/>
                <w:color w:val="auto"/>
              </w:rPr>
            </w:pPr>
            <w:r>
              <w:rPr>
                <w:rFonts w:ascii="Arial" w:cs="Arial" w:eastAsia="Arial" w:hAnsi="Arial"/>
                <w:sz w:val="14"/>
                <w:szCs w:val="14"/>
                <w:color w:val="001641"/>
              </w:rPr>
              <w:t>Sentiment</w:t>
            </w:r>
          </w:p>
        </w:tc>
        <w:tc>
          <w:tcPr>
            <w:tcW w:w="300" w:type="dxa"/>
            <w:vAlign w:val="bottom"/>
          </w:tcPr>
          <w:p>
            <w:pPr>
              <w:spacing w:after="0"/>
              <w:rPr>
                <w:sz w:val="16"/>
                <w:szCs w:val="16"/>
                <w:color w:val="auto"/>
              </w:rPr>
            </w:pPr>
          </w:p>
        </w:tc>
        <w:tc>
          <w:tcPr>
            <w:tcW w:w="5620" w:type="dxa"/>
            <w:vAlign w:val="bottom"/>
          </w:tcPr>
          <w:p>
            <w:pPr>
              <w:ind w:left="40"/>
              <w:spacing w:after="0"/>
              <w:rPr>
                <w:sz w:val="20"/>
                <w:szCs w:val="20"/>
                <w:color w:val="auto"/>
              </w:rPr>
            </w:pPr>
            <w:r>
              <w:rPr>
                <w:rFonts w:ascii="Arial" w:cs="Arial" w:eastAsia="Arial" w:hAnsi="Arial"/>
                <w:sz w:val="14"/>
                <w:szCs w:val="14"/>
                <w:color w:val="001641"/>
              </w:rPr>
              <w:t>“I have received adequate training to use AI tools in my daily work.”</w:t>
            </w: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0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300" w:type="dxa"/>
            <w:vAlign w:val="bottom"/>
            <w:tcBorders>
              <w:bottom w:val="single" w:sz="8" w:color="BFA071"/>
            </w:tcBorders>
          </w:tcPr>
          <w:p>
            <w:pPr>
              <w:spacing w:after="0" w:line="20" w:lineRule="exact"/>
              <w:rPr>
                <w:sz w:val="1"/>
                <w:szCs w:val="1"/>
                <w:color w:val="auto"/>
              </w:rPr>
            </w:pPr>
          </w:p>
        </w:tc>
        <w:tc>
          <w:tcPr>
            <w:tcW w:w="5620" w:type="dxa"/>
            <w:vAlign w:val="bottom"/>
            <w:tcBorders>
              <w:bottom w:val="single" w:sz="8" w:color="BFA071"/>
            </w:tcBorders>
          </w:tcPr>
          <w:p>
            <w:pPr>
              <w:spacing w:after="0" w:line="20" w:lineRule="exact"/>
              <w:rPr>
                <w:sz w:val="1"/>
                <w:szCs w:val="1"/>
                <w:color w:val="auto"/>
              </w:rPr>
            </w:pPr>
          </w:p>
        </w:tc>
        <w:tc>
          <w:tcPr>
            <w:tcW w:w="320" w:type="dxa"/>
            <w:vAlign w:val="bottom"/>
            <w:tcBorders>
              <w:bottom w:val="single" w:sz="8" w:color="BFA071"/>
            </w:tcBorders>
          </w:tcPr>
          <w:p>
            <w:pPr>
              <w:spacing w:after="0" w:line="20" w:lineRule="exact"/>
              <w:rPr>
                <w:sz w:val="1"/>
                <w:szCs w:val="1"/>
                <w:color w:val="auto"/>
              </w:rPr>
            </w:pPr>
          </w:p>
        </w:tc>
        <w:tc>
          <w:tcPr>
            <w:tcW w:w="148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60" w:type="dxa"/>
            <w:vAlign w:val="bottom"/>
          </w:tcPr>
          <w:p>
            <w:pPr>
              <w:ind w:left="60"/>
              <w:spacing w:after="0"/>
              <w:rPr>
                <w:sz w:val="20"/>
                <w:szCs w:val="20"/>
                <w:color w:val="auto"/>
              </w:rPr>
            </w:pPr>
            <w:r>
              <w:rPr>
                <w:rFonts w:ascii="Arial" w:cs="Arial" w:eastAsia="Arial" w:hAnsi="Arial"/>
                <w:sz w:val="14"/>
                <w:szCs w:val="14"/>
                <w:color w:val="001641"/>
              </w:rPr>
              <w:t>Annual Survey –</w:t>
            </w:r>
          </w:p>
        </w:tc>
        <w:tc>
          <w:tcPr>
            <w:tcW w:w="300" w:type="dxa"/>
            <w:vAlign w:val="bottom"/>
          </w:tcPr>
          <w:p>
            <w:pPr>
              <w:ind w:left="160"/>
              <w:spacing w:after="0"/>
              <w:rPr>
                <w:sz w:val="20"/>
                <w:szCs w:val="20"/>
                <w:color w:val="auto"/>
              </w:rPr>
            </w:pPr>
            <w:r>
              <w:rPr>
                <w:rFonts w:ascii="Arial" w:cs="Arial" w:eastAsia="Arial" w:hAnsi="Arial"/>
                <w:sz w:val="12"/>
                <w:szCs w:val="12"/>
                <w:color w:val="001641"/>
                <w:w w:val="73"/>
              </w:rPr>
              <w:t>• </w:t>
            </w:r>
          </w:p>
        </w:tc>
        <w:tc>
          <w:tcPr>
            <w:tcW w:w="5620" w:type="dxa"/>
            <w:vAlign w:val="bottom"/>
          </w:tcPr>
          <w:p>
            <w:pPr>
              <w:ind w:left="40"/>
              <w:spacing w:after="0"/>
              <w:rPr>
                <w:sz w:val="20"/>
                <w:szCs w:val="20"/>
                <w:color w:val="auto"/>
              </w:rPr>
            </w:pPr>
            <w:r>
              <w:rPr>
                <w:rFonts w:ascii="Arial" w:cs="Arial" w:eastAsia="Arial" w:hAnsi="Arial"/>
                <w:sz w:val="14"/>
                <w:szCs w:val="14"/>
                <w:color w:val="001641"/>
              </w:rPr>
              <w:t>Total Company Overall Enablement results</w:t>
            </w:r>
          </w:p>
        </w:tc>
        <w:tc>
          <w:tcPr>
            <w:tcW w:w="320" w:type="dxa"/>
            <w:vAlign w:val="bottom"/>
          </w:tcPr>
          <w:p>
            <w:pPr>
              <w:ind w:left="180"/>
              <w:spacing w:after="0"/>
              <w:rPr>
                <w:sz w:val="20"/>
                <w:szCs w:val="20"/>
                <w:color w:val="auto"/>
              </w:rPr>
            </w:pPr>
            <w:r>
              <w:rPr>
                <w:rFonts w:ascii="Arial" w:cs="Arial" w:eastAsia="Arial" w:hAnsi="Arial"/>
                <w:sz w:val="12"/>
                <w:szCs w:val="12"/>
                <w:color w:val="001641"/>
                <w:w w:val="73"/>
              </w:rPr>
              <w:t>• </w:t>
            </w:r>
          </w:p>
        </w:tc>
        <w:tc>
          <w:tcPr>
            <w:tcW w:w="1480" w:type="dxa"/>
            <w:vAlign w:val="bottom"/>
          </w:tcPr>
          <w:p>
            <w:pPr>
              <w:ind w:left="40"/>
              <w:spacing w:after="0"/>
              <w:rPr>
                <w:sz w:val="20"/>
                <w:szCs w:val="20"/>
                <w:color w:val="auto"/>
              </w:rPr>
            </w:pPr>
            <w:r>
              <w:rPr>
                <w:rFonts w:ascii="Arial" w:cs="Arial" w:eastAsia="Arial" w:hAnsi="Arial"/>
                <w:sz w:val="14"/>
                <w:szCs w:val="14"/>
                <w:color w:val="001641"/>
              </w:rPr>
              <w:t>Exceeded Goal</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4"/>
                <w:szCs w:val="14"/>
                <w:color w:val="001641"/>
              </w:rPr>
              <w:t>Employee</w:t>
            </w:r>
          </w:p>
        </w:tc>
        <w:tc>
          <w:tcPr>
            <w:tcW w:w="3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0" w:type="dxa"/>
            <w:vAlign w:val="bottom"/>
            <w:tcBorders>
              <w:bottom w:val="single" w:sz="8" w:color="001641"/>
            </w:tcBorders>
          </w:tcPr>
          <w:p>
            <w:pPr>
              <w:spacing w:after="0"/>
              <w:rPr>
                <w:sz w:val="16"/>
                <w:szCs w:val="16"/>
                <w:color w:val="auto"/>
              </w:rPr>
            </w:pPr>
          </w:p>
        </w:tc>
        <w:tc>
          <w:tcPr>
            <w:tcW w:w="1360" w:type="dxa"/>
            <w:vAlign w:val="bottom"/>
            <w:tcBorders>
              <w:bottom w:val="single" w:sz="8" w:color="001641"/>
            </w:tcBorders>
          </w:tcPr>
          <w:p>
            <w:pPr>
              <w:ind w:left="60"/>
              <w:spacing w:after="0"/>
              <w:rPr>
                <w:sz w:val="20"/>
                <w:szCs w:val="20"/>
                <w:color w:val="auto"/>
              </w:rPr>
            </w:pPr>
            <w:r>
              <w:rPr>
                <w:rFonts w:ascii="Arial" w:cs="Arial" w:eastAsia="Arial" w:hAnsi="Arial"/>
                <w:sz w:val="14"/>
                <w:szCs w:val="14"/>
                <w:color w:val="001641"/>
              </w:rPr>
              <w:t>Enablement</w:t>
            </w:r>
          </w:p>
        </w:tc>
        <w:tc>
          <w:tcPr>
            <w:tcW w:w="300" w:type="dxa"/>
            <w:vAlign w:val="bottom"/>
            <w:tcBorders>
              <w:bottom w:val="single" w:sz="8" w:color="001641"/>
            </w:tcBorders>
          </w:tcPr>
          <w:p>
            <w:pPr>
              <w:spacing w:after="0"/>
              <w:rPr>
                <w:sz w:val="16"/>
                <w:szCs w:val="16"/>
                <w:color w:val="auto"/>
              </w:rPr>
            </w:pPr>
          </w:p>
        </w:tc>
        <w:tc>
          <w:tcPr>
            <w:tcW w:w="5620" w:type="dxa"/>
            <w:vAlign w:val="bottom"/>
            <w:tcBorders>
              <w:bottom w:val="single" w:sz="8" w:color="001641"/>
            </w:tcBorders>
          </w:tcPr>
          <w:p>
            <w:pPr>
              <w:spacing w:after="0"/>
              <w:rPr>
                <w:sz w:val="16"/>
                <w:szCs w:val="16"/>
                <w:color w:val="auto"/>
              </w:rPr>
            </w:pPr>
          </w:p>
        </w:tc>
        <w:tc>
          <w:tcPr>
            <w:tcW w:w="320" w:type="dxa"/>
            <w:vAlign w:val="bottom"/>
            <w:tcBorders>
              <w:bottom w:val="single" w:sz="8" w:color="001641"/>
            </w:tcBorders>
          </w:tcPr>
          <w:p>
            <w:pPr>
              <w:spacing w:after="0"/>
              <w:rPr>
                <w:sz w:val="16"/>
                <w:szCs w:val="16"/>
                <w:color w:val="auto"/>
              </w:rPr>
            </w:pPr>
          </w:p>
        </w:tc>
        <w:tc>
          <w:tcPr>
            <w:tcW w:w="1480" w:type="dxa"/>
            <w:vAlign w:val="bottom"/>
            <w:tcBorders>
              <w:bottom w:val="single" w:sz="8" w:color="001641"/>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table below sets forth the target bonus and actual Fiscal 2026 cash bonus for each of our NEOs:</w:t>
      </w:r>
    </w:p>
    <w:p>
      <w:pPr>
        <w:spacing w:after="0" w:line="195" w:lineRule="exact"/>
        <w:rPr>
          <w:sz w:val="20"/>
          <w:szCs w:val="20"/>
          <w:color w:val="auto"/>
        </w:rPr>
      </w:pPr>
    </w:p>
    <w:tbl>
      <w:tblPr>
        <w:tblLayout w:type="fixed"/>
        <w:tblInd w:w="6" w:type="dxa"/>
        <w:tblCellMar>
          <w:top w:w="0" w:type="dxa"/>
          <w:left w:w="0" w:type="dxa"/>
          <w:bottom w:w="0" w:type="dxa"/>
          <w:right w:w="0" w:type="dxa"/>
        </w:tblCellMar>
      </w:tblPr>
      <w:tr>
        <w:trPr>
          <w:trHeight w:val="247"/>
        </w:trPr>
        <w:tc>
          <w:tcPr>
            <w:tcW w:w="5600" w:type="dxa"/>
            <w:vAlign w:val="bottom"/>
            <w:shd w:val="clear" w:color="auto" w:fill="001641"/>
          </w:tcPr>
          <w:p>
            <w:pPr>
              <w:spacing w:after="0"/>
              <w:rPr>
                <w:sz w:val="21"/>
                <w:szCs w:val="21"/>
                <w:color w:val="auto"/>
              </w:rPr>
            </w:pPr>
          </w:p>
        </w:tc>
        <w:tc>
          <w:tcPr>
            <w:tcW w:w="1500" w:type="dxa"/>
            <w:vAlign w:val="bottom"/>
            <w:shd w:val="clear" w:color="auto" w:fill="BFA071"/>
          </w:tcPr>
          <w:p>
            <w:pPr>
              <w:jc w:val="right"/>
              <w:ind w:right="168"/>
              <w:spacing w:after="0"/>
              <w:rPr>
                <w:sz w:val="20"/>
                <w:szCs w:val="20"/>
                <w:color w:val="auto"/>
              </w:rPr>
            </w:pPr>
            <w:r>
              <w:rPr>
                <w:rFonts w:ascii="Arial" w:cs="Arial" w:eastAsia="Arial" w:hAnsi="Arial"/>
                <w:sz w:val="14"/>
                <w:szCs w:val="14"/>
                <w:b w:val="1"/>
                <w:bCs w:val="1"/>
                <w:color w:val="FFFFFF"/>
              </w:rPr>
              <w:t>Target Bonus</w:t>
            </w:r>
          </w:p>
        </w:tc>
        <w:tc>
          <w:tcPr>
            <w:tcW w:w="2080" w:type="dxa"/>
            <w:vAlign w:val="bottom"/>
            <w:shd w:val="clear" w:color="auto" w:fill="001641"/>
          </w:tcPr>
          <w:p>
            <w:pPr>
              <w:jc w:val="right"/>
              <w:ind w:right="88"/>
              <w:spacing w:after="0"/>
              <w:rPr>
                <w:sz w:val="20"/>
                <w:szCs w:val="20"/>
                <w:color w:val="auto"/>
              </w:rPr>
            </w:pPr>
            <w:r>
              <w:rPr>
                <w:rFonts w:ascii="Arial" w:cs="Arial" w:eastAsia="Arial" w:hAnsi="Arial"/>
                <w:sz w:val="14"/>
                <w:szCs w:val="14"/>
                <w:b w:val="1"/>
                <w:bCs w:val="1"/>
                <w:color w:val="FFFFFF"/>
              </w:rPr>
              <w:t>Actual Fiscal 2026 Bonus</w:t>
            </w:r>
          </w:p>
        </w:tc>
      </w:tr>
      <w:tr>
        <w:trPr>
          <w:trHeight w:val="205"/>
        </w:trPr>
        <w:tc>
          <w:tcPr>
            <w:tcW w:w="5600" w:type="dxa"/>
            <w:vAlign w:val="bottom"/>
            <w:tcBorders>
              <w:bottom w:val="single" w:sz="8" w:color="001641"/>
            </w:tcBorders>
            <w:shd w:val="clear" w:color="auto" w:fill="001641"/>
          </w:tcPr>
          <w:p>
            <w:pPr>
              <w:ind w:left="140"/>
              <w:spacing w:after="0"/>
              <w:rPr>
                <w:sz w:val="20"/>
                <w:szCs w:val="20"/>
                <w:color w:val="auto"/>
              </w:rPr>
            </w:pPr>
            <w:r>
              <w:rPr>
                <w:rFonts w:ascii="Arial" w:cs="Arial" w:eastAsia="Arial" w:hAnsi="Arial"/>
                <w:sz w:val="14"/>
                <w:szCs w:val="14"/>
                <w:b w:val="1"/>
                <w:bCs w:val="1"/>
                <w:color w:val="FFFFFF"/>
              </w:rPr>
              <w:t>Name / Title</w:t>
            </w:r>
          </w:p>
        </w:tc>
        <w:tc>
          <w:tcPr>
            <w:tcW w:w="1500" w:type="dxa"/>
            <w:vAlign w:val="bottom"/>
            <w:tcBorders>
              <w:bottom w:val="single" w:sz="8" w:color="BFA071"/>
            </w:tcBorders>
            <w:shd w:val="clear" w:color="auto" w:fill="BFA07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2080" w:type="dxa"/>
            <w:vAlign w:val="bottom"/>
            <w:tcBorders>
              <w:bottom w:val="single" w:sz="8" w:color="001641"/>
            </w:tcBorders>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236"/>
        </w:trPr>
        <w:tc>
          <w:tcPr>
            <w:tcW w:w="5600" w:type="dxa"/>
            <w:vAlign w:val="bottom"/>
          </w:tcPr>
          <w:p>
            <w:pPr>
              <w:ind w:left="140"/>
              <w:spacing w:after="0" w:line="235" w:lineRule="exact"/>
              <w:rPr>
                <w:sz w:val="20"/>
                <w:szCs w:val="20"/>
                <w:color w:val="auto"/>
              </w:rPr>
            </w:pPr>
            <w:r>
              <w:rPr>
                <w:rFonts w:ascii="Arial" w:cs="Arial" w:eastAsia="Arial" w:hAnsi="Arial"/>
                <w:sz w:val="14"/>
                <w:szCs w:val="14"/>
                <w:b w:val="1"/>
                <w:bCs w:val="1"/>
                <w:color w:val="001641"/>
              </w:rPr>
              <w:t>Ralph Lauren</w:t>
            </w:r>
            <w:r>
              <w:rPr>
                <w:rFonts w:ascii="Arial" w:cs="Arial" w:eastAsia="Arial" w:hAnsi="Arial"/>
                <w:sz w:val="23"/>
                <w:szCs w:val="23"/>
                <w:b w:val="1"/>
                <w:bCs w:val="1"/>
                <w:color w:val="001641"/>
                <w:vertAlign w:val="superscript"/>
              </w:rPr>
              <w:t>1</w:t>
            </w:r>
          </w:p>
        </w:tc>
        <w:tc>
          <w:tcPr>
            <w:tcW w:w="1500" w:type="dxa"/>
            <w:vAlign w:val="bottom"/>
            <w:shd w:val="clear" w:color="auto" w:fill="EBE1D2"/>
          </w:tcPr>
          <w:p>
            <w:pPr>
              <w:jc w:val="right"/>
              <w:ind w:right="128"/>
              <w:spacing w:after="0"/>
              <w:rPr>
                <w:sz w:val="20"/>
                <w:szCs w:val="20"/>
                <w:color w:val="auto"/>
              </w:rPr>
            </w:pPr>
            <w:r>
              <w:rPr>
                <w:rFonts w:ascii="Arial" w:cs="Arial" w:eastAsia="Arial" w:hAnsi="Arial"/>
                <w:sz w:val="14"/>
                <w:szCs w:val="14"/>
                <w:color w:val="001641"/>
              </w:rPr>
              <w:t>6,000,000</w:t>
            </w:r>
          </w:p>
        </w:tc>
        <w:tc>
          <w:tcPr>
            <w:tcW w:w="2080" w:type="dxa"/>
            <w:vAlign w:val="bottom"/>
          </w:tcPr>
          <w:p>
            <w:pPr>
              <w:jc w:val="right"/>
              <w:ind w:right="228"/>
              <w:spacing w:after="0"/>
              <w:rPr>
                <w:sz w:val="20"/>
                <w:szCs w:val="20"/>
                <w:color w:val="auto"/>
              </w:rPr>
            </w:pPr>
            <w:r>
              <w:rPr>
                <w:rFonts w:ascii="Arial" w:cs="Arial" w:eastAsia="Arial" w:hAnsi="Arial"/>
                <w:sz w:val="14"/>
                <w:szCs w:val="14"/>
                <w:color w:val="001641"/>
              </w:rPr>
              <w:t>11,820,000</w:t>
            </w:r>
          </w:p>
        </w:tc>
      </w:tr>
      <w:tr>
        <w:trPr>
          <w:trHeight w:val="223"/>
        </w:trPr>
        <w:tc>
          <w:tcPr>
            <w:tcW w:w="5600" w:type="dxa"/>
            <w:vAlign w:val="bottom"/>
          </w:tcPr>
          <w:p>
            <w:pPr>
              <w:ind w:left="140"/>
              <w:spacing w:after="0"/>
              <w:rPr>
                <w:sz w:val="20"/>
                <w:szCs w:val="20"/>
                <w:color w:val="auto"/>
              </w:rPr>
            </w:pPr>
            <w:r>
              <w:rPr>
                <w:rFonts w:ascii="Arial" w:cs="Arial" w:eastAsia="Arial" w:hAnsi="Arial"/>
                <w:sz w:val="14"/>
                <w:szCs w:val="14"/>
                <w:i w:val="1"/>
                <w:iCs w:val="1"/>
                <w:color w:val="001641"/>
              </w:rPr>
              <w:t>Executive Chairman and Chief Creative Officer</w:t>
            </w:r>
          </w:p>
        </w:tc>
        <w:tc>
          <w:tcPr>
            <w:tcW w:w="1500" w:type="dxa"/>
            <w:vAlign w:val="bottom"/>
            <w:tcBorders>
              <w:bottom w:val="single" w:sz="8" w:color="EBE1D2"/>
            </w:tcBorders>
            <w:shd w:val="clear" w:color="auto" w:fill="EBE1D2"/>
          </w:tcPr>
          <w:p>
            <w:pPr>
              <w:spacing w:after="0"/>
              <w:rPr>
                <w:sz w:val="19"/>
                <w:szCs w:val="19"/>
                <w:color w:val="auto"/>
              </w:rPr>
            </w:pPr>
          </w:p>
        </w:tc>
        <w:tc>
          <w:tcPr>
            <w:tcW w:w="2080" w:type="dxa"/>
            <w:vAlign w:val="bottom"/>
          </w:tcPr>
          <w:p>
            <w:pPr>
              <w:spacing w:after="0"/>
              <w:rPr>
                <w:sz w:val="19"/>
                <w:szCs w:val="19"/>
                <w:color w:val="auto"/>
              </w:rPr>
            </w:pPr>
          </w:p>
        </w:tc>
      </w:tr>
      <w:tr>
        <w:trPr>
          <w:trHeight w:val="229"/>
        </w:trPr>
        <w:tc>
          <w:tcPr>
            <w:tcW w:w="5600" w:type="dxa"/>
            <w:vAlign w:val="bottom"/>
            <w:tcBorders>
              <w:top w:val="single" w:sz="8" w:color="BFA071"/>
            </w:tcBorders>
          </w:tcPr>
          <w:p>
            <w:pPr>
              <w:ind w:left="140"/>
              <w:spacing w:after="0" w:line="230" w:lineRule="exact"/>
              <w:rPr>
                <w:sz w:val="20"/>
                <w:szCs w:val="20"/>
                <w:color w:val="auto"/>
              </w:rPr>
            </w:pPr>
            <w:r>
              <w:rPr>
                <w:rFonts w:ascii="Arial" w:cs="Arial" w:eastAsia="Arial" w:hAnsi="Arial"/>
                <w:sz w:val="14"/>
                <w:szCs w:val="14"/>
                <w:b w:val="1"/>
                <w:bCs w:val="1"/>
                <w:color w:val="001641"/>
              </w:rPr>
              <w:t>Patrice Louvet</w:t>
            </w:r>
            <w:r>
              <w:rPr>
                <w:rFonts w:ascii="Arial" w:cs="Arial" w:eastAsia="Arial" w:hAnsi="Arial"/>
                <w:sz w:val="23"/>
                <w:szCs w:val="23"/>
                <w:b w:val="1"/>
                <w:bCs w:val="1"/>
                <w:color w:val="001641"/>
                <w:vertAlign w:val="superscript"/>
              </w:rPr>
              <w:t>1</w:t>
            </w:r>
          </w:p>
        </w:tc>
        <w:tc>
          <w:tcPr>
            <w:tcW w:w="1500" w:type="dxa"/>
            <w:vAlign w:val="bottom"/>
            <w:tcBorders>
              <w:top w:val="single" w:sz="8" w:color="BFA071"/>
            </w:tcBorders>
            <w:shd w:val="clear" w:color="auto" w:fill="EBE1D2"/>
          </w:tcPr>
          <w:p>
            <w:pPr>
              <w:jc w:val="right"/>
              <w:ind w:right="128"/>
              <w:spacing w:after="0"/>
              <w:rPr>
                <w:sz w:val="20"/>
                <w:szCs w:val="20"/>
                <w:color w:val="auto"/>
              </w:rPr>
            </w:pPr>
            <w:r>
              <w:rPr>
                <w:rFonts w:ascii="Arial" w:cs="Arial" w:eastAsia="Arial" w:hAnsi="Arial"/>
                <w:sz w:val="14"/>
                <w:szCs w:val="14"/>
                <w:color w:val="001641"/>
              </w:rPr>
              <w:t>4,050,000</w:t>
            </w:r>
          </w:p>
        </w:tc>
        <w:tc>
          <w:tcPr>
            <w:tcW w:w="2080" w:type="dxa"/>
            <w:vAlign w:val="bottom"/>
            <w:tcBorders>
              <w:top w:val="single" w:sz="8" w:color="BFA071"/>
            </w:tcBorders>
          </w:tcPr>
          <w:p>
            <w:pPr>
              <w:jc w:val="right"/>
              <w:ind w:right="228"/>
              <w:spacing w:after="0"/>
              <w:rPr>
                <w:sz w:val="20"/>
                <w:szCs w:val="20"/>
                <w:color w:val="auto"/>
              </w:rPr>
            </w:pPr>
            <w:r>
              <w:rPr>
                <w:rFonts w:ascii="Arial" w:cs="Arial" w:eastAsia="Arial" w:hAnsi="Arial"/>
                <w:sz w:val="14"/>
                <w:szCs w:val="14"/>
                <w:color w:val="001641"/>
              </w:rPr>
              <w:t>8,100,000</w:t>
            </w:r>
          </w:p>
        </w:tc>
      </w:tr>
      <w:tr>
        <w:trPr>
          <w:trHeight w:val="223"/>
        </w:trPr>
        <w:tc>
          <w:tcPr>
            <w:tcW w:w="5600" w:type="dxa"/>
            <w:vAlign w:val="bottom"/>
          </w:tcPr>
          <w:p>
            <w:pPr>
              <w:ind w:left="140"/>
              <w:spacing w:after="0"/>
              <w:rPr>
                <w:sz w:val="20"/>
                <w:szCs w:val="20"/>
                <w:color w:val="auto"/>
              </w:rPr>
            </w:pPr>
            <w:r>
              <w:rPr>
                <w:rFonts w:ascii="Arial" w:cs="Arial" w:eastAsia="Arial" w:hAnsi="Arial"/>
                <w:sz w:val="14"/>
                <w:szCs w:val="14"/>
                <w:i w:val="1"/>
                <w:iCs w:val="1"/>
                <w:color w:val="001641"/>
              </w:rPr>
              <w:t>CEO</w:t>
            </w:r>
          </w:p>
        </w:tc>
        <w:tc>
          <w:tcPr>
            <w:tcW w:w="1500" w:type="dxa"/>
            <w:vAlign w:val="bottom"/>
            <w:tcBorders>
              <w:bottom w:val="single" w:sz="8" w:color="EBE1D2"/>
            </w:tcBorders>
            <w:shd w:val="clear" w:color="auto" w:fill="EBE1D2"/>
          </w:tcPr>
          <w:p>
            <w:pPr>
              <w:spacing w:after="0"/>
              <w:rPr>
                <w:sz w:val="19"/>
                <w:szCs w:val="19"/>
                <w:color w:val="auto"/>
              </w:rPr>
            </w:pPr>
          </w:p>
        </w:tc>
        <w:tc>
          <w:tcPr>
            <w:tcW w:w="2080" w:type="dxa"/>
            <w:vAlign w:val="bottom"/>
          </w:tcPr>
          <w:p>
            <w:pPr>
              <w:spacing w:after="0"/>
              <w:rPr>
                <w:sz w:val="19"/>
                <w:szCs w:val="19"/>
                <w:color w:val="auto"/>
              </w:rPr>
            </w:pPr>
          </w:p>
        </w:tc>
      </w:tr>
      <w:tr>
        <w:trPr>
          <w:trHeight w:val="229"/>
        </w:trPr>
        <w:tc>
          <w:tcPr>
            <w:tcW w:w="5600" w:type="dxa"/>
            <w:vAlign w:val="bottom"/>
            <w:tcBorders>
              <w:top w:val="single" w:sz="8" w:color="BFA071"/>
            </w:tcBorders>
          </w:tcPr>
          <w:p>
            <w:pPr>
              <w:ind w:left="140"/>
              <w:spacing w:after="0" w:line="230" w:lineRule="exact"/>
              <w:rPr>
                <w:sz w:val="20"/>
                <w:szCs w:val="20"/>
                <w:color w:val="auto"/>
              </w:rPr>
            </w:pPr>
            <w:r>
              <w:rPr>
                <w:rFonts w:ascii="Arial" w:cs="Arial" w:eastAsia="Arial" w:hAnsi="Arial"/>
                <w:sz w:val="14"/>
                <w:szCs w:val="14"/>
                <w:b w:val="1"/>
                <w:bCs w:val="1"/>
                <w:color w:val="001641"/>
              </w:rPr>
              <w:t>Robert Ranftl</w:t>
            </w:r>
            <w:r>
              <w:rPr>
                <w:rFonts w:ascii="Arial" w:cs="Arial" w:eastAsia="Arial" w:hAnsi="Arial"/>
                <w:sz w:val="23"/>
                <w:szCs w:val="23"/>
                <w:b w:val="1"/>
                <w:bCs w:val="1"/>
                <w:color w:val="001641"/>
                <w:vertAlign w:val="superscript"/>
              </w:rPr>
              <w:t>1</w:t>
            </w:r>
          </w:p>
        </w:tc>
        <w:tc>
          <w:tcPr>
            <w:tcW w:w="1500" w:type="dxa"/>
            <w:vAlign w:val="bottom"/>
            <w:tcBorders>
              <w:top w:val="single" w:sz="8" w:color="BFA071"/>
            </w:tcBorders>
            <w:shd w:val="clear" w:color="auto" w:fill="EBE1D2"/>
          </w:tcPr>
          <w:p>
            <w:pPr>
              <w:jc w:val="right"/>
              <w:ind w:right="128"/>
              <w:spacing w:after="0"/>
              <w:rPr>
                <w:sz w:val="20"/>
                <w:szCs w:val="20"/>
                <w:color w:val="auto"/>
              </w:rPr>
            </w:pPr>
            <w:r>
              <w:rPr>
                <w:rFonts w:ascii="Arial" w:cs="Arial" w:eastAsia="Arial" w:hAnsi="Arial"/>
                <w:sz w:val="14"/>
                <w:szCs w:val="14"/>
                <w:color w:val="001641"/>
              </w:rPr>
              <w:t>1,000,000</w:t>
            </w:r>
          </w:p>
        </w:tc>
        <w:tc>
          <w:tcPr>
            <w:tcW w:w="2080" w:type="dxa"/>
            <w:vAlign w:val="bottom"/>
            <w:tcBorders>
              <w:top w:val="single" w:sz="8" w:color="BFA071"/>
            </w:tcBorders>
          </w:tcPr>
          <w:p>
            <w:pPr>
              <w:jc w:val="right"/>
              <w:ind w:right="228"/>
              <w:spacing w:after="0"/>
              <w:rPr>
                <w:sz w:val="20"/>
                <w:szCs w:val="20"/>
                <w:color w:val="auto"/>
              </w:rPr>
            </w:pPr>
            <w:r>
              <w:rPr>
                <w:rFonts w:ascii="Arial" w:cs="Arial" w:eastAsia="Arial" w:hAnsi="Arial"/>
                <w:sz w:val="14"/>
                <w:szCs w:val="14"/>
                <w:color w:val="001641"/>
              </w:rPr>
              <w:t>2,000,000</w:t>
            </w:r>
          </w:p>
        </w:tc>
      </w:tr>
      <w:tr>
        <w:trPr>
          <w:trHeight w:val="223"/>
        </w:trPr>
        <w:tc>
          <w:tcPr>
            <w:tcW w:w="5600" w:type="dxa"/>
            <w:vAlign w:val="bottom"/>
          </w:tcPr>
          <w:p>
            <w:pPr>
              <w:ind w:left="140"/>
              <w:spacing w:after="0"/>
              <w:rPr>
                <w:sz w:val="20"/>
                <w:szCs w:val="20"/>
                <w:color w:val="auto"/>
              </w:rPr>
            </w:pPr>
            <w:r>
              <w:rPr>
                <w:rFonts w:ascii="Arial" w:cs="Arial" w:eastAsia="Arial" w:hAnsi="Arial"/>
                <w:sz w:val="14"/>
                <w:szCs w:val="14"/>
                <w:i w:val="1"/>
                <w:iCs w:val="1"/>
                <w:color w:val="001641"/>
              </w:rPr>
              <w:t>COO</w:t>
            </w:r>
          </w:p>
        </w:tc>
        <w:tc>
          <w:tcPr>
            <w:tcW w:w="1500" w:type="dxa"/>
            <w:vAlign w:val="bottom"/>
            <w:tcBorders>
              <w:bottom w:val="single" w:sz="8" w:color="EBE1D2"/>
            </w:tcBorders>
            <w:shd w:val="clear" w:color="auto" w:fill="EBE1D2"/>
          </w:tcPr>
          <w:p>
            <w:pPr>
              <w:spacing w:after="0"/>
              <w:rPr>
                <w:sz w:val="19"/>
                <w:szCs w:val="19"/>
                <w:color w:val="auto"/>
              </w:rPr>
            </w:pPr>
          </w:p>
        </w:tc>
        <w:tc>
          <w:tcPr>
            <w:tcW w:w="2080" w:type="dxa"/>
            <w:vAlign w:val="bottom"/>
          </w:tcPr>
          <w:p>
            <w:pPr>
              <w:spacing w:after="0"/>
              <w:rPr>
                <w:sz w:val="19"/>
                <w:szCs w:val="19"/>
                <w:color w:val="auto"/>
              </w:rPr>
            </w:pPr>
          </w:p>
        </w:tc>
      </w:tr>
      <w:tr>
        <w:trPr>
          <w:trHeight w:val="229"/>
        </w:trPr>
        <w:tc>
          <w:tcPr>
            <w:tcW w:w="5600" w:type="dxa"/>
            <w:vAlign w:val="bottom"/>
            <w:tcBorders>
              <w:top w:val="single" w:sz="8" w:color="BFA071"/>
            </w:tcBorders>
          </w:tcPr>
          <w:p>
            <w:pPr>
              <w:ind w:left="140"/>
              <w:spacing w:after="0" w:line="230" w:lineRule="exact"/>
              <w:rPr>
                <w:sz w:val="20"/>
                <w:szCs w:val="20"/>
                <w:color w:val="auto"/>
              </w:rPr>
            </w:pPr>
            <w:r>
              <w:rPr>
                <w:rFonts w:ascii="Arial" w:cs="Arial" w:eastAsia="Arial" w:hAnsi="Arial"/>
                <w:sz w:val="14"/>
                <w:szCs w:val="14"/>
                <w:b w:val="1"/>
                <w:bCs w:val="1"/>
                <w:color w:val="001641"/>
              </w:rPr>
              <w:t>Justin Picicci</w:t>
            </w:r>
            <w:r>
              <w:rPr>
                <w:rFonts w:ascii="Arial" w:cs="Arial" w:eastAsia="Arial" w:hAnsi="Arial"/>
                <w:sz w:val="23"/>
                <w:szCs w:val="23"/>
                <w:b w:val="1"/>
                <w:bCs w:val="1"/>
                <w:color w:val="001641"/>
                <w:vertAlign w:val="superscript"/>
              </w:rPr>
              <w:t>1</w:t>
            </w:r>
          </w:p>
        </w:tc>
        <w:tc>
          <w:tcPr>
            <w:tcW w:w="1500" w:type="dxa"/>
            <w:vAlign w:val="bottom"/>
            <w:tcBorders>
              <w:top w:val="single" w:sz="8" w:color="BFA071"/>
            </w:tcBorders>
            <w:shd w:val="clear" w:color="auto" w:fill="EBE1D2"/>
          </w:tcPr>
          <w:p>
            <w:pPr>
              <w:jc w:val="right"/>
              <w:ind w:right="128"/>
              <w:spacing w:after="0"/>
              <w:rPr>
                <w:sz w:val="20"/>
                <w:szCs w:val="20"/>
                <w:color w:val="auto"/>
              </w:rPr>
            </w:pPr>
            <w:r>
              <w:rPr>
                <w:rFonts w:ascii="Arial" w:cs="Arial" w:eastAsia="Arial" w:hAnsi="Arial"/>
                <w:sz w:val="14"/>
                <w:szCs w:val="14"/>
                <w:color w:val="001641"/>
              </w:rPr>
              <w:t>700,000</w:t>
            </w:r>
          </w:p>
        </w:tc>
        <w:tc>
          <w:tcPr>
            <w:tcW w:w="2080" w:type="dxa"/>
            <w:vAlign w:val="bottom"/>
            <w:tcBorders>
              <w:top w:val="single" w:sz="8" w:color="BFA071"/>
            </w:tcBorders>
          </w:tcPr>
          <w:p>
            <w:pPr>
              <w:jc w:val="right"/>
              <w:ind w:right="228"/>
              <w:spacing w:after="0"/>
              <w:rPr>
                <w:sz w:val="20"/>
                <w:szCs w:val="20"/>
                <w:color w:val="auto"/>
              </w:rPr>
            </w:pPr>
            <w:r>
              <w:rPr>
                <w:rFonts w:ascii="Arial" w:cs="Arial" w:eastAsia="Arial" w:hAnsi="Arial"/>
                <w:sz w:val="14"/>
                <w:szCs w:val="14"/>
                <w:color w:val="001641"/>
              </w:rPr>
              <w:t>1,400,000</w:t>
            </w:r>
          </w:p>
        </w:tc>
      </w:tr>
      <w:tr>
        <w:trPr>
          <w:trHeight w:val="223"/>
        </w:trPr>
        <w:tc>
          <w:tcPr>
            <w:tcW w:w="5600" w:type="dxa"/>
            <w:vAlign w:val="bottom"/>
          </w:tcPr>
          <w:p>
            <w:pPr>
              <w:ind w:left="140"/>
              <w:spacing w:after="0"/>
              <w:rPr>
                <w:sz w:val="20"/>
                <w:szCs w:val="20"/>
                <w:color w:val="auto"/>
              </w:rPr>
            </w:pPr>
            <w:r>
              <w:rPr>
                <w:rFonts w:ascii="Arial" w:cs="Arial" w:eastAsia="Arial" w:hAnsi="Arial"/>
                <w:sz w:val="14"/>
                <w:szCs w:val="14"/>
                <w:i w:val="1"/>
                <w:iCs w:val="1"/>
                <w:color w:val="001641"/>
              </w:rPr>
              <w:t>CFO</w:t>
            </w:r>
          </w:p>
        </w:tc>
        <w:tc>
          <w:tcPr>
            <w:tcW w:w="1500" w:type="dxa"/>
            <w:vAlign w:val="bottom"/>
            <w:tcBorders>
              <w:bottom w:val="single" w:sz="8" w:color="EBE1D2"/>
            </w:tcBorders>
            <w:shd w:val="clear" w:color="auto" w:fill="EBE1D2"/>
          </w:tcPr>
          <w:p>
            <w:pPr>
              <w:spacing w:after="0"/>
              <w:rPr>
                <w:sz w:val="19"/>
                <w:szCs w:val="19"/>
                <w:color w:val="auto"/>
              </w:rPr>
            </w:pPr>
          </w:p>
        </w:tc>
        <w:tc>
          <w:tcPr>
            <w:tcW w:w="2080" w:type="dxa"/>
            <w:vAlign w:val="bottom"/>
          </w:tcPr>
          <w:p>
            <w:pPr>
              <w:spacing w:after="0"/>
              <w:rPr>
                <w:sz w:val="19"/>
                <w:szCs w:val="19"/>
                <w:color w:val="auto"/>
              </w:rPr>
            </w:pPr>
          </w:p>
        </w:tc>
      </w:tr>
      <w:tr>
        <w:trPr>
          <w:trHeight w:val="229"/>
        </w:trPr>
        <w:tc>
          <w:tcPr>
            <w:tcW w:w="5600" w:type="dxa"/>
            <w:vAlign w:val="bottom"/>
            <w:tcBorders>
              <w:top w:val="single" w:sz="8" w:color="BFA071"/>
            </w:tcBorders>
          </w:tcPr>
          <w:p>
            <w:pPr>
              <w:ind w:left="140"/>
              <w:spacing w:after="0" w:line="230" w:lineRule="exact"/>
              <w:rPr>
                <w:sz w:val="20"/>
                <w:szCs w:val="20"/>
                <w:color w:val="auto"/>
              </w:rPr>
            </w:pPr>
            <w:r>
              <w:rPr>
                <w:rFonts w:ascii="Arial" w:cs="Arial" w:eastAsia="Arial" w:hAnsi="Arial"/>
                <w:sz w:val="14"/>
                <w:szCs w:val="14"/>
                <w:b w:val="1"/>
                <w:bCs w:val="1"/>
                <w:color w:val="001641"/>
              </w:rPr>
              <w:t>Halide Alagoz</w:t>
            </w:r>
            <w:r>
              <w:rPr>
                <w:rFonts w:ascii="Arial" w:cs="Arial" w:eastAsia="Arial" w:hAnsi="Arial"/>
                <w:sz w:val="23"/>
                <w:szCs w:val="23"/>
                <w:b w:val="1"/>
                <w:bCs w:val="1"/>
                <w:color w:val="001641"/>
                <w:vertAlign w:val="superscript"/>
              </w:rPr>
              <w:t>1</w:t>
            </w:r>
          </w:p>
        </w:tc>
        <w:tc>
          <w:tcPr>
            <w:tcW w:w="1500" w:type="dxa"/>
            <w:vAlign w:val="bottom"/>
            <w:tcBorders>
              <w:top w:val="single" w:sz="8" w:color="BFA071"/>
            </w:tcBorders>
            <w:shd w:val="clear" w:color="auto" w:fill="EBE1D2"/>
          </w:tcPr>
          <w:p>
            <w:pPr>
              <w:jc w:val="right"/>
              <w:ind w:right="128"/>
              <w:spacing w:after="0"/>
              <w:rPr>
                <w:sz w:val="20"/>
                <w:szCs w:val="20"/>
                <w:color w:val="auto"/>
              </w:rPr>
            </w:pPr>
            <w:r>
              <w:rPr>
                <w:rFonts w:ascii="Arial" w:cs="Arial" w:eastAsia="Arial" w:hAnsi="Arial"/>
                <w:sz w:val="14"/>
                <w:szCs w:val="14"/>
                <w:color w:val="001641"/>
              </w:rPr>
              <w:t>1,000,000</w:t>
            </w:r>
          </w:p>
        </w:tc>
        <w:tc>
          <w:tcPr>
            <w:tcW w:w="2080" w:type="dxa"/>
            <w:vAlign w:val="bottom"/>
            <w:tcBorders>
              <w:top w:val="single" w:sz="8" w:color="BFA071"/>
            </w:tcBorders>
          </w:tcPr>
          <w:p>
            <w:pPr>
              <w:jc w:val="right"/>
              <w:ind w:right="228"/>
              <w:spacing w:after="0"/>
              <w:rPr>
                <w:sz w:val="20"/>
                <w:szCs w:val="20"/>
                <w:color w:val="auto"/>
              </w:rPr>
            </w:pPr>
            <w:r>
              <w:rPr>
                <w:rFonts w:ascii="Arial" w:cs="Arial" w:eastAsia="Arial" w:hAnsi="Arial"/>
                <w:sz w:val="14"/>
                <w:szCs w:val="14"/>
                <w:color w:val="001641"/>
              </w:rPr>
              <w:t>2,000,000</w:t>
            </w:r>
          </w:p>
        </w:tc>
      </w:tr>
      <w:tr>
        <w:trPr>
          <w:trHeight w:val="223"/>
        </w:trPr>
        <w:tc>
          <w:tcPr>
            <w:tcW w:w="5600" w:type="dxa"/>
            <w:vAlign w:val="bottom"/>
          </w:tcPr>
          <w:p>
            <w:pPr>
              <w:ind w:left="140"/>
              <w:spacing w:after="0"/>
              <w:rPr>
                <w:sz w:val="20"/>
                <w:szCs w:val="20"/>
                <w:color w:val="auto"/>
              </w:rPr>
            </w:pPr>
            <w:r>
              <w:rPr>
                <w:rFonts w:ascii="Arial" w:cs="Arial" w:eastAsia="Arial" w:hAnsi="Arial"/>
                <w:sz w:val="14"/>
                <w:szCs w:val="14"/>
                <w:i w:val="1"/>
                <w:iCs w:val="1"/>
                <w:color w:val="001641"/>
              </w:rPr>
              <w:t>Chief Product &amp; Merchandising Officer</w:t>
            </w:r>
          </w:p>
        </w:tc>
        <w:tc>
          <w:tcPr>
            <w:tcW w:w="1500" w:type="dxa"/>
            <w:vAlign w:val="bottom"/>
            <w:tcBorders>
              <w:bottom w:val="single" w:sz="8" w:color="EBE1D2"/>
            </w:tcBorders>
            <w:shd w:val="clear" w:color="auto" w:fill="EBE1D2"/>
          </w:tcPr>
          <w:p>
            <w:pPr>
              <w:spacing w:after="0"/>
              <w:rPr>
                <w:sz w:val="19"/>
                <w:szCs w:val="19"/>
                <w:color w:val="auto"/>
              </w:rPr>
            </w:pPr>
          </w:p>
        </w:tc>
        <w:tc>
          <w:tcPr>
            <w:tcW w:w="2080" w:type="dxa"/>
            <w:vAlign w:val="bottom"/>
          </w:tcPr>
          <w:p>
            <w:pPr>
              <w:spacing w:after="0"/>
              <w:rPr>
                <w:sz w:val="19"/>
                <w:szCs w:val="19"/>
                <w:color w:val="auto"/>
              </w:rPr>
            </w:pPr>
          </w:p>
        </w:tc>
      </w:tr>
      <w:tr>
        <w:trPr>
          <w:trHeight w:val="202"/>
        </w:trPr>
        <w:tc>
          <w:tcPr>
            <w:tcW w:w="5600" w:type="dxa"/>
            <w:vAlign w:val="bottom"/>
            <w:tcBorders>
              <w:top w:val="single" w:sz="8" w:color="BFA071"/>
            </w:tcBorders>
          </w:tcPr>
          <w:p>
            <w:pPr>
              <w:ind w:left="140"/>
              <w:spacing w:after="0"/>
              <w:rPr>
                <w:sz w:val="20"/>
                <w:szCs w:val="20"/>
                <w:color w:val="auto"/>
              </w:rPr>
            </w:pPr>
            <w:r>
              <w:rPr>
                <w:rFonts w:ascii="Arial" w:cs="Arial" w:eastAsia="Arial" w:hAnsi="Arial"/>
                <w:sz w:val="14"/>
                <w:szCs w:val="14"/>
                <w:b w:val="1"/>
                <w:bCs w:val="1"/>
                <w:color w:val="001641"/>
              </w:rPr>
              <w:t>David Lauren</w:t>
            </w:r>
          </w:p>
        </w:tc>
        <w:tc>
          <w:tcPr>
            <w:tcW w:w="1500" w:type="dxa"/>
            <w:vAlign w:val="bottom"/>
            <w:tcBorders>
              <w:top w:val="single" w:sz="8" w:color="BFA071"/>
            </w:tcBorders>
            <w:shd w:val="clear" w:color="auto" w:fill="EBE1D2"/>
          </w:tcPr>
          <w:p>
            <w:pPr>
              <w:jc w:val="right"/>
              <w:ind w:right="128"/>
              <w:spacing w:after="0"/>
              <w:rPr>
                <w:sz w:val="20"/>
                <w:szCs w:val="20"/>
                <w:color w:val="auto"/>
              </w:rPr>
            </w:pPr>
            <w:r>
              <w:rPr>
                <w:rFonts w:ascii="Arial" w:cs="Arial" w:eastAsia="Arial" w:hAnsi="Arial"/>
                <w:sz w:val="14"/>
                <w:szCs w:val="14"/>
                <w:color w:val="001641"/>
              </w:rPr>
              <w:t>987,500</w:t>
            </w:r>
          </w:p>
        </w:tc>
        <w:tc>
          <w:tcPr>
            <w:tcW w:w="2080" w:type="dxa"/>
            <w:vAlign w:val="bottom"/>
            <w:tcBorders>
              <w:top w:val="single" w:sz="8" w:color="BFA071"/>
            </w:tcBorders>
          </w:tcPr>
          <w:p>
            <w:pPr>
              <w:jc w:val="right"/>
              <w:ind w:right="228"/>
              <w:spacing w:after="0"/>
              <w:rPr>
                <w:sz w:val="20"/>
                <w:szCs w:val="20"/>
                <w:color w:val="auto"/>
              </w:rPr>
            </w:pPr>
            <w:r>
              <w:rPr>
                <w:rFonts w:ascii="Arial" w:cs="Arial" w:eastAsia="Arial" w:hAnsi="Arial"/>
                <w:sz w:val="14"/>
                <w:szCs w:val="14"/>
                <w:color w:val="001641"/>
              </w:rPr>
              <w:t>1,975,000</w:t>
            </w:r>
          </w:p>
        </w:tc>
      </w:tr>
      <w:tr>
        <w:trPr>
          <w:trHeight w:val="190"/>
        </w:trPr>
        <w:tc>
          <w:tcPr>
            <w:tcW w:w="5600" w:type="dxa"/>
            <w:vAlign w:val="bottom"/>
          </w:tcPr>
          <w:p>
            <w:pPr>
              <w:ind w:left="140"/>
              <w:spacing w:after="0"/>
              <w:rPr>
                <w:sz w:val="20"/>
                <w:szCs w:val="20"/>
                <w:color w:val="auto"/>
              </w:rPr>
            </w:pPr>
            <w:r>
              <w:rPr>
                <w:rFonts w:ascii="Arial" w:cs="Arial" w:eastAsia="Arial" w:hAnsi="Arial"/>
                <w:sz w:val="14"/>
                <w:szCs w:val="14"/>
                <w:i w:val="1"/>
                <w:iCs w:val="1"/>
                <w:color w:val="001641"/>
              </w:rPr>
              <w:t>Chief Branding and Innovation Officer</w:t>
            </w:r>
          </w:p>
        </w:tc>
        <w:tc>
          <w:tcPr>
            <w:tcW w:w="1500" w:type="dxa"/>
            <w:vAlign w:val="bottom"/>
            <w:tcBorders>
              <w:bottom w:val="single" w:sz="8" w:color="EBE1D2"/>
            </w:tcBorders>
            <w:shd w:val="clear" w:color="auto" w:fill="EBE1D2"/>
          </w:tcPr>
          <w:p>
            <w:pPr>
              <w:spacing w:after="0"/>
              <w:rPr>
                <w:sz w:val="16"/>
                <w:szCs w:val="16"/>
                <w:color w:val="auto"/>
              </w:rPr>
            </w:pPr>
          </w:p>
        </w:tc>
        <w:tc>
          <w:tcPr>
            <w:tcW w:w="2080" w:type="dxa"/>
            <w:vAlign w:val="bottom"/>
          </w:tcPr>
          <w:p>
            <w:pPr>
              <w:spacing w:after="0"/>
              <w:rPr>
                <w:sz w:val="16"/>
                <w:szCs w:val="16"/>
                <w:color w:val="auto"/>
              </w:rPr>
            </w:pPr>
          </w:p>
        </w:tc>
      </w:tr>
      <w:tr>
        <w:trPr>
          <w:trHeight w:val="20"/>
        </w:trPr>
        <w:tc>
          <w:tcPr>
            <w:tcW w:w="5600" w:type="dxa"/>
            <w:vAlign w:val="bottom"/>
            <w:shd w:val="clear" w:color="auto" w:fill="001641"/>
          </w:tcPr>
          <w:p>
            <w:pPr>
              <w:spacing w:after="0" w:line="20" w:lineRule="exact"/>
              <w:rPr>
                <w:sz w:val="1"/>
                <w:szCs w:val="1"/>
                <w:color w:val="auto"/>
              </w:rPr>
            </w:pPr>
          </w:p>
        </w:tc>
        <w:tc>
          <w:tcPr>
            <w:tcW w:w="1500" w:type="dxa"/>
            <w:vAlign w:val="bottom"/>
            <w:shd w:val="clear" w:color="auto" w:fill="001641"/>
          </w:tcPr>
          <w:p>
            <w:pPr>
              <w:spacing w:after="0" w:line="20" w:lineRule="exact"/>
              <w:rPr>
                <w:sz w:val="1"/>
                <w:szCs w:val="1"/>
                <w:color w:val="auto"/>
              </w:rPr>
            </w:pPr>
          </w:p>
        </w:tc>
        <w:tc>
          <w:tcPr>
            <w:tcW w:w="2080" w:type="dxa"/>
            <w:vAlign w:val="bottom"/>
            <w:shd w:val="clear" w:color="auto" w:fill="001641"/>
          </w:tcPr>
          <w:p>
            <w:pPr>
              <w:spacing w:after="0" w:line="20" w:lineRule="exact"/>
              <w:rPr>
                <w:sz w:val="1"/>
                <w:szCs w:val="1"/>
                <w:color w:val="auto"/>
              </w:rPr>
            </w:pPr>
          </w:p>
        </w:tc>
      </w:tr>
    </w:tbl>
    <w:p>
      <w:pPr>
        <w:spacing w:after="0" w:line="153" w:lineRule="exact"/>
        <w:rPr>
          <w:sz w:val="20"/>
          <w:szCs w:val="20"/>
          <w:color w:val="auto"/>
        </w:rPr>
      </w:pPr>
    </w:p>
    <w:p>
      <w:pPr>
        <w:ind w:left="246" w:right="40" w:hanging="246"/>
        <w:spacing w:after="0" w:line="285" w:lineRule="auto"/>
        <w:tabs>
          <w:tab w:leader="none" w:pos="246" w:val="left"/>
        </w:tabs>
        <w:numPr>
          <w:ilvl w:val="0"/>
          <w:numId w:val="64"/>
        </w:numPr>
        <w:rPr>
          <w:rFonts w:ascii="Arial" w:cs="Arial" w:eastAsia="Arial" w:hAnsi="Arial"/>
          <w:sz w:val="14"/>
          <w:szCs w:val="14"/>
          <w:color w:val="4C4C4C"/>
        </w:rPr>
      </w:pPr>
      <w:r>
        <w:rPr>
          <w:rFonts w:ascii="Arial" w:cs="Arial" w:eastAsia="Arial" w:hAnsi="Arial"/>
          <w:sz w:val="14"/>
          <w:szCs w:val="14"/>
          <w:color w:val="4C4C4C"/>
        </w:rPr>
        <w:t>Target bonus amounts payable to Messrs. R. Lauren, Louvet, Ranftl and Picicci, and Ms. Alagoz are set forth in their respective employment agreements.</w:t>
      </w:r>
    </w:p>
    <w:p>
      <w:pPr>
        <w:spacing w:after="0" w:line="21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COMPENSATION ELEMENT: LONG-TERM EQUITY-BASED INCENTIVES – FISCAL 2026</w:t>
      </w:r>
    </w:p>
    <w:p>
      <w:pPr>
        <w:spacing w:after="0" w:line="162" w:lineRule="exact"/>
        <w:rPr>
          <w:sz w:val="20"/>
          <w:szCs w:val="20"/>
          <w:color w:val="auto"/>
        </w:rPr>
      </w:pPr>
    </w:p>
    <w:p>
      <w:pPr>
        <w:ind w:left="6" w:right="100"/>
        <w:spacing w:after="0" w:line="256" w:lineRule="auto"/>
        <w:rPr>
          <w:sz w:val="20"/>
          <w:szCs w:val="20"/>
          <w:color w:val="auto"/>
        </w:rPr>
      </w:pPr>
      <w:r>
        <w:rPr>
          <w:rFonts w:ascii="Arial" w:cs="Arial" w:eastAsia="Arial" w:hAnsi="Arial"/>
          <w:sz w:val="16"/>
          <w:szCs w:val="16"/>
          <w:color w:val="auto"/>
        </w:rPr>
        <w:t>Long-term equity-based incentives are intended to align executive and stockholder interests and encourage strong executive decision-making that maximizes stockholder value creation over the long-term. The values, mix, and type of annual grants for each senior executive are discussed by management and the Talent Committee and ultimately approved by the Talent Committee, in consultation with its independent consultant, unless the terms have been previously approved and set forth in an employment agreement.</w:t>
      </w:r>
    </w:p>
    <w:p>
      <w:pPr>
        <w:spacing w:after="0" w:line="126" w:lineRule="exact"/>
        <w:rPr>
          <w:sz w:val="20"/>
          <w:szCs w:val="20"/>
          <w:color w:val="auto"/>
        </w:rPr>
      </w:pPr>
    </w:p>
    <w:p>
      <w:pPr>
        <w:ind w:left="6" w:right="180"/>
        <w:spacing w:after="0" w:line="266" w:lineRule="auto"/>
        <w:rPr>
          <w:sz w:val="20"/>
          <w:szCs w:val="20"/>
          <w:color w:val="auto"/>
        </w:rPr>
      </w:pPr>
      <w:r>
        <w:rPr>
          <w:rFonts w:ascii="Arial" w:cs="Arial" w:eastAsia="Arial" w:hAnsi="Arial"/>
          <w:sz w:val="16"/>
          <w:szCs w:val="16"/>
          <w:color w:val="auto"/>
        </w:rPr>
        <w:t>The determination of the mix and type of Mr. R. Lauren’s Fiscal 2026 annual grant was provided under his employment agreement with 100% of award in the form of PSUs with two performance metrics: 50% weighting on Adjusted ROIC and 50% weighting on 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82930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128905" cy="11112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86" w:lineRule="exact"/>
        <w:rPr>
          <w:sz w:val="20"/>
          <w:szCs w:val="20"/>
          <w:color w:val="auto"/>
        </w:rPr>
      </w:pPr>
    </w:p>
    <w:p>
      <w:pPr>
        <w:ind w:left="6546"/>
        <w:spacing w:after="0"/>
        <w:tabs>
          <w:tab w:leader="none" w:pos="9006"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88" w:name="page89"/>
    <w:bookmarkEnd w:id="8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72" w:lineRule="exact"/>
        <w:rPr>
          <w:sz w:val="20"/>
          <w:szCs w:val="20"/>
          <w:color w:val="auto"/>
        </w:rPr>
      </w:pPr>
    </w:p>
    <w:p>
      <w:pPr>
        <w:ind w:left="6" w:right="80"/>
        <w:spacing w:after="0" w:line="254" w:lineRule="auto"/>
        <w:rPr>
          <w:sz w:val="20"/>
          <w:szCs w:val="20"/>
          <w:color w:val="auto"/>
        </w:rPr>
      </w:pPr>
      <w:r>
        <w:rPr>
          <w:rFonts w:ascii="Arial" w:cs="Arial" w:eastAsia="Arial" w:hAnsi="Arial"/>
          <w:sz w:val="16"/>
          <w:szCs w:val="16"/>
          <w:color w:val="auto"/>
        </w:rPr>
        <w:t>In Fiscal 2026, all equity awards to our NEOs were granted under our 2019 Stock Incentive Plan. These awards all provide the recipient with the opportunity to receive shares of our Class A Common Stock over a specified period. The achievement of our performance goals for performance-based equity awards is subject to adjustment to exclude the effect of certain unbudgeted events and unusual items or transactions, as permitted under the 2019 Stock Incentive Plan, in accordance with the adjustment rules established by the Talent Committee at the beginning of each fiscal year. RSUs granted to all NEOs, with the exception of Mr. R. Lauren, are time-based awards vesting on a pro-rata basis over three years on the anniversary date of the grant.</w:t>
      </w:r>
    </w:p>
    <w:p>
      <w:pPr>
        <w:spacing w:after="0" w:line="209"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Fiscal 2026 awards consisted of:</w:t>
      </w:r>
    </w:p>
    <w:p>
      <w:pPr>
        <w:spacing w:after="0" w:line="195" w:lineRule="exact"/>
        <w:rPr>
          <w:sz w:val="20"/>
          <w:szCs w:val="20"/>
          <w:color w:val="auto"/>
        </w:rPr>
      </w:pPr>
    </w:p>
    <w:tbl>
      <w:tblPr>
        <w:tblLayout w:type="fixed"/>
        <w:tblInd w:w="6" w:type="dxa"/>
        <w:tblCellMar>
          <w:top w:w="0" w:type="dxa"/>
          <w:left w:w="0" w:type="dxa"/>
          <w:bottom w:w="0" w:type="dxa"/>
          <w:right w:w="0" w:type="dxa"/>
        </w:tblCellMar>
      </w:tblPr>
      <w:tr>
        <w:trPr>
          <w:trHeight w:val="290"/>
        </w:trPr>
        <w:tc>
          <w:tcPr>
            <w:tcW w:w="4520" w:type="dxa"/>
            <w:vAlign w:val="bottom"/>
            <w:tcBorders>
              <w:bottom w:val="single" w:sz="8" w:color="001641"/>
            </w:tcBorders>
            <w:shd w:val="clear" w:color="auto" w:fill="001641"/>
          </w:tcPr>
          <w:p>
            <w:pPr>
              <w:ind w:left="140"/>
              <w:spacing w:after="0"/>
              <w:rPr>
                <w:sz w:val="20"/>
                <w:szCs w:val="20"/>
                <w:color w:val="auto"/>
              </w:rPr>
            </w:pPr>
            <w:r>
              <w:rPr>
                <w:rFonts w:ascii="Arial" w:cs="Arial" w:eastAsia="Arial" w:hAnsi="Arial"/>
                <w:sz w:val="14"/>
                <w:szCs w:val="14"/>
                <w:b w:val="1"/>
                <w:bCs w:val="1"/>
                <w:color w:val="FFFFFF"/>
              </w:rPr>
              <w:t>Fiscal 2026 Awards Granted</w:t>
            </w:r>
          </w:p>
        </w:tc>
        <w:tc>
          <w:tcPr>
            <w:tcW w:w="2320" w:type="dxa"/>
            <w:vAlign w:val="bottom"/>
            <w:tcBorders>
              <w:bottom w:val="single" w:sz="8" w:color="BFA071"/>
            </w:tcBorders>
            <w:shd w:val="clear" w:color="auto" w:fill="BFA071"/>
          </w:tcPr>
          <w:p>
            <w:pPr>
              <w:ind w:left="100"/>
              <w:spacing w:after="0"/>
              <w:rPr>
                <w:sz w:val="20"/>
                <w:szCs w:val="20"/>
                <w:color w:val="auto"/>
              </w:rPr>
            </w:pPr>
            <w:r>
              <w:rPr>
                <w:rFonts w:ascii="Arial" w:cs="Arial" w:eastAsia="Arial" w:hAnsi="Arial"/>
                <w:sz w:val="14"/>
                <w:szCs w:val="14"/>
                <w:b w:val="1"/>
                <w:bCs w:val="1"/>
                <w:color w:val="FFFFFF"/>
              </w:rPr>
              <w:t>Performance Measure</w:t>
            </w:r>
          </w:p>
        </w:tc>
        <w:tc>
          <w:tcPr>
            <w:tcW w:w="2340" w:type="dxa"/>
            <w:vAlign w:val="bottom"/>
            <w:tcBorders>
              <w:bottom w:val="single" w:sz="8" w:color="001641"/>
            </w:tcBorders>
            <w:shd w:val="clear" w:color="auto" w:fill="001641"/>
          </w:tcPr>
          <w:p>
            <w:pPr>
              <w:ind w:left="100"/>
              <w:spacing w:after="0"/>
              <w:rPr>
                <w:sz w:val="20"/>
                <w:szCs w:val="20"/>
                <w:color w:val="auto"/>
              </w:rPr>
            </w:pPr>
            <w:r>
              <w:rPr>
                <w:rFonts w:ascii="Arial" w:cs="Arial" w:eastAsia="Arial" w:hAnsi="Arial"/>
                <w:sz w:val="14"/>
                <w:szCs w:val="14"/>
                <w:b w:val="1"/>
                <w:bCs w:val="1"/>
                <w:color w:val="FFFFFF"/>
              </w:rPr>
              <w:t>Performance Period</w:t>
            </w:r>
          </w:p>
        </w:tc>
      </w:tr>
      <w:tr>
        <w:trPr>
          <w:trHeight w:val="297"/>
        </w:trPr>
        <w:tc>
          <w:tcPr>
            <w:tcW w:w="4520" w:type="dxa"/>
            <w:vAlign w:val="bottom"/>
            <w:tcBorders>
              <w:bottom w:val="single" w:sz="8" w:color="BFA071"/>
            </w:tcBorders>
          </w:tcPr>
          <w:p>
            <w:pPr>
              <w:ind w:left="140"/>
              <w:spacing w:after="0"/>
              <w:rPr>
                <w:sz w:val="20"/>
                <w:szCs w:val="20"/>
                <w:color w:val="auto"/>
              </w:rPr>
            </w:pPr>
            <w:r>
              <w:rPr>
                <w:rFonts w:ascii="Arial" w:cs="Arial" w:eastAsia="Arial" w:hAnsi="Arial"/>
                <w:sz w:val="14"/>
                <w:szCs w:val="14"/>
                <w:b w:val="1"/>
                <w:bCs w:val="1"/>
                <w:color w:val="001641"/>
              </w:rPr>
              <w:t>PSUs – Adjusted ROIC</w:t>
            </w:r>
            <w:r>
              <w:rPr>
                <w:rFonts w:ascii="Arial" w:cs="Arial" w:eastAsia="Arial" w:hAnsi="Arial"/>
                <w:sz w:val="23"/>
                <w:szCs w:val="23"/>
                <w:b w:val="1"/>
                <w:bCs w:val="1"/>
                <w:color w:val="001641"/>
                <w:vertAlign w:val="superscript"/>
              </w:rPr>
              <w:t>1</w:t>
            </w:r>
          </w:p>
        </w:tc>
        <w:tc>
          <w:tcPr>
            <w:tcW w:w="2320" w:type="dxa"/>
            <w:vAlign w:val="bottom"/>
            <w:tcBorders>
              <w:bottom w:val="single" w:sz="8" w:color="BFA071"/>
            </w:tcBorders>
            <w:shd w:val="clear" w:color="auto" w:fill="EBE1D2"/>
          </w:tcPr>
          <w:p>
            <w:pPr>
              <w:ind w:left="100"/>
              <w:spacing w:after="0"/>
              <w:rPr>
                <w:sz w:val="20"/>
                <w:szCs w:val="20"/>
                <w:color w:val="auto"/>
              </w:rPr>
            </w:pPr>
            <w:r>
              <w:rPr>
                <w:rFonts w:ascii="Arial" w:cs="Arial" w:eastAsia="Arial" w:hAnsi="Arial"/>
                <w:sz w:val="14"/>
                <w:szCs w:val="14"/>
                <w:color w:val="001641"/>
              </w:rPr>
              <w:t>Adjusted ROIC</w:t>
            </w:r>
          </w:p>
        </w:tc>
        <w:tc>
          <w:tcPr>
            <w:tcW w:w="2340" w:type="dxa"/>
            <w:vAlign w:val="bottom"/>
            <w:tcBorders>
              <w:bottom w:val="single" w:sz="8" w:color="BFA071"/>
            </w:tcBorders>
          </w:tcPr>
          <w:p>
            <w:pPr>
              <w:ind w:left="100"/>
              <w:spacing w:after="0"/>
              <w:rPr>
                <w:sz w:val="20"/>
                <w:szCs w:val="20"/>
                <w:color w:val="auto"/>
              </w:rPr>
            </w:pPr>
            <w:r>
              <w:rPr>
                <w:rFonts w:ascii="Arial" w:cs="Arial" w:eastAsia="Arial" w:hAnsi="Arial"/>
                <w:sz w:val="14"/>
                <w:szCs w:val="14"/>
                <w:color w:val="001641"/>
              </w:rPr>
              <w:t>Fiscal 2026 – Fiscal 2028</w:t>
            </w:r>
          </w:p>
        </w:tc>
      </w:tr>
      <w:tr>
        <w:trPr>
          <w:trHeight w:val="290"/>
        </w:trPr>
        <w:tc>
          <w:tcPr>
            <w:tcW w:w="4520" w:type="dxa"/>
            <w:vAlign w:val="bottom"/>
            <w:tcBorders>
              <w:bottom w:val="single" w:sz="8" w:color="BFA071"/>
            </w:tcBorders>
          </w:tcPr>
          <w:p>
            <w:pPr>
              <w:ind w:left="140"/>
              <w:spacing w:after="0"/>
              <w:rPr>
                <w:sz w:val="20"/>
                <w:szCs w:val="20"/>
                <w:color w:val="auto"/>
              </w:rPr>
            </w:pPr>
            <w:r>
              <w:rPr>
                <w:rFonts w:ascii="Arial" w:cs="Arial" w:eastAsia="Arial" w:hAnsi="Arial"/>
                <w:sz w:val="14"/>
                <w:szCs w:val="14"/>
                <w:b w:val="1"/>
                <w:bCs w:val="1"/>
                <w:color w:val="001641"/>
              </w:rPr>
              <w:t>PSUs – Relative TSR</w:t>
            </w:r>
            <w:r>
              <w:rPr>
                <w:rFonts w:ascii="Arial" w:cs="Arial" w:eastAsia="Arial" w:hAnsi="Arial"/>
                <w:sz w:val="23"/>
                <w:szCs w:val="23"/>
                <w:b w:val="1"/>
                <w:bCs w:val="1"/>
                <w:color w:val="001641"/>
                <w:vertAlign w:val="superscript"/>
              </w:rPr>
              <w:t>1</w:t>
            </w:r>
          </w:p>
        </w:tc>
        <w:tc>
          <w:tcPr>
            <w:tcW w:w="2320" w:type="dxa"/>
            <w:vAlign w:val="bottom"/>
            <w:tcBorders>
              <w:bottom w:val="single" w:sz="8" w:color="BFA071"/>
            </w:tcBorders>
            <w:shd w:val="clear" w:color="auto" w:fill="EBE1D2"/>
          </w:tcPr>
          <w:p>
            <w:pPr>
              <w:ind w:left="100"/>
              <w:spacing w:after="0"/>
              <w:rPr>
                <w:sz w:val="20"/>
                <w:szCs w:val="20"/>
                <w:color w:val="auto"/>
              </w:rPr>
            </w:pPr>
            <w:r>
              <w:rPr>
                <w:rFonts w:ascii="Arial" w:cs="Arial" w:eastAsia="Arial" w:hAnsi="Arial"/>
                <w:sz w:val="14"/>
                <w:szCs w:val="14"/>
                <w:color w:val="001641"/>
              </w:rPr>
              <w:t>Relative TSR</w:t>
            </w:r>
          </w:p>
        </w:tc>
        <w:tc>
          <w:tcPr>
            <w:tcW w:w="2340" w:type="dxa"/>
            <w:vAlign w:val="bottom"/>
            <w:tcBorders>
              <w:bottom w:val="single" w:sz="8" w:color="BFA071"/>
            </w:tcBorders>
          </w:tcPr>
          <w:p>
            <w:pPr>
              <w:ind w:left="100"/>
              <w:spacing w:after="0"/>
              <w:rPr>
                <w:sz w:val="20"/>
                <w:szCs w:val="20"/>
                <w:color w:val="auto"/>
              </w:rPr>
            </w:pPr>
            <w:r>
              <w:rPr>
                <w:rFonts w:ascii="Arial" w:cs="Arial" w:eastAsia="Arial" w:hAnsi="Arial"/>
                <w:sz w:val="14"/>
                <w:szCs w:val="14"/>
                <w:color w:val="001641"/>
              </w:rPr>
              <w:t>Fiscal 2026 – Fiscal 2028</w:t>
            </w:r>
          </w:p>
        </w:tc>
      </w:tr>
      <w:tr>
        <w:trPr>
          <w:trHeight w:val="257"/>
        </w:trPr>
        <w:tc>
          <w:tcPr>
            <w:tcW w:w="4520" w:type="dxa"/>
            <w:vAlign w:val="bottom"/>
          </w:tcPr>
          <w:p>
            <w:pPr>
              <w:ind w:left="140"/>
              <w:spacing w:after="0" w:line="236" w:lineRule="exact"/>
              <w:rPr>
                <w:sz w:val="20"/>
                <w:szCs w:val="20"/>
                <w:color w:val="auto"/>
              </w:rPr>
            </w:pPr>
            <w:r>
              <w:rPr>
                <w:rFonts w:ascii="Arial" w:cs="Arial" w:eastAsia="Arial" w:hAnsi="Arial"/>
                <w:sz w:val="14"/>
                <w:szCs w:val="14"/>
                <w:b w:val="1"/>
                <w:bCs w:val="1"/>
                <w:color w:val="001641"/>
              </w:rPr>
              <w:t>Restricted Stock Units (“RSUs”)</w:t>
            </w:r>
            <w:r>
              <w:rPr>
                <w:rFonts w:ascii="Arial" w:cs="Arial" w:eastAsia="Arial" w:hAnsi="Arial"/>
                <w:sz w:val="23"/>
                <w:szCs w:val="23"/>
                <w:b w:val="1"/>
                <w:bCs w:val="1"/>
                <w:color w:val="001641"/>
                <w:vertAlign w:val="superscript"/>
              </w:rPr>
              <w:t>2</w:t>
            </w:r>
          </w:p>
        </w:tc>
        <w:tc>
          <w:tcPr>
            <w:tcW w:w="2320" w:type="dxa"/>
            <w:vAlign w:val="bottom"/>
            <w:tcBorders>
              <w:bottom w:val="single" w:sz="8" w:color="EBE1D2"/>
            </w:tcBorders>
            <w:shd w:val="clear" w:color="auto" w:fill="EBE1D2"/>
          </w:tcPr>
          <w:p>
            <w:pPr>
              <w:ind w:left="100"/>
              <w:spacing w:after="0"/>
              <w:rPr>
                <w:sz w:val="20"/>
                <w:szCs w:val="20"/>
                <w:color w:val="auto"/>
              </w:rPr>
            </w:pPr>
            <w:r>
              <w:rPr>
                <w:rFonts w:ascii="Arial" w:cs="Arial" w:eastAsia="Arial" w:hAnsi="Arial"/>
                <w:sz w:val="14"/>
                <w:szCs w:val="14"/>
                <w:color w:val="001641"/>
              </w:rPr>
              <w:t>N/A (Time-based)</w:t>
            </w:r>
          </w:p>
        </w:tc>
        <w:tc>
          <w:tcPr>
            <w:tcW w:w="2340" w:type="dxa"/>
            <w:vAlign w:val="bottom"/>
          </w:tcPr>
          <w:p>
            <w:pPr>
              <w:ind w:left="100"/>
              <w:spacing w:after="0"/>
              <w:rPr>
                <w:sz w:val="20"/>
                <w:szCs w:val="20"/>
                <w:color w:val="auto"/>
              </w:rPr>
            </w:pPr>
            <w:r>
              <w:rPr>
                <w:rFonts w:ascii="Arial" w:cs="Arial" w:eastAsia="Arial" w:hAnsi="Arial"/>
                <w:sz w:val="14"/>
                <w:szCs w:val="14"/>
                <w:color w:val="001641"/>
              </w:rPr>
              <w:t>N/A (Three-year pro-rata vesting)</w:t>
            </w:r>
          </w:p>
        </w:tc>
      </w:tr>
      <w:tr>
        <w:trPr>
          <w:trHeight w:val="20"/>
        </w:trPr>
        <w:tc>
          <w:tcPr>
            <w:tcW w:w="4520" w:type="dxa"/>
            <w:vAlign w:val="bottom"/>
            <w:shd w:val="clear" w:color="auto" w:fill="001641"/>
          </w:tcPr>
          <w:p>
            <w:pPr>
              <w:spacing w:after="0" w:line="20" w:lineRule="exact"/>
              <w:rPr>
                <w:sz w:val="1"/>
                <w:szCs w:val="1"/>
                <w:color w:val="auto"/>
              </w:rPr>
            </w:pPr>
          </w:p>
        </w:tc>
        <w:tc>
          <w:tcPr>
            <w:tcW w:w="2320" w:type="dxa"/>
            <w:vAlign w:val="bottom"/>
            <w:shd w:val="clear" w:color="auto" w:fill="001641"/>
          </w:tcPr>
          <w:p>
            <w:pPr>
              <w:spacing w:after="0" w:line="20" w:lineRule="exact"/>
              <w:rPr>
                <w:sz w:val="1"/>
                <w:szCs w:val="1"/>
                <w:color w:val="auto"/>
              </w:rPr>
            </w:pPr>
          </w:p>
        </w:tc>
        <w:tc>
          <w:tcPr>
            <w:tcW w:w="2340" w:type="dxa"/>
            <w:vAlign w:val="bottom"/>
            <w:shd w:val="clear" w:color="auto" w:fill="001641"/>
          </w:tcPr>
          <w:p>
            <w:pPr>
              <w:spacing w:after="0" w:line="20" w:lineRule="exact"/>
              <w:rPr>
                <w:sz w:val="1"/>
                <w:szCs w:val="1"/>
                <w:color w:val="auto"/>
              </w:rPr>
            </w:pPr>
          </w:p>
        </w:tc>
      </w:tr>
    </w:tbl>
    <w:p>
      <w:pPr>
        <w:spacing w:after="0" w:line="153" w:lineRule="exact"/>
        <w:rPr>
          <w:sz w:val="20"/>
          <w:szCs w:val="20"/>
          <w:color w:val="auto"/>
        </w:rPr>
      </w:pPr>
    </w:p>
    <w:p>
      <w:pPr>
        <w:ind w:left="246" w:right="320" w:hanging="246"/>
        <w:spacing w:after="0" w:line="281" w:lineRule="auto"/>
        <w:tabs>
          <w:tab w:leader="none" w:pos="246" w:val="left"/>
        </w:tabs>
        <w:numPr>
          <w:ilvl w:val="0"/>
          <w:numId w:val="65"/>
        </w:numPr>
        <w:rPr>
          <w:rFonts w:ascii="Arial" w:cs="Arial" w:eastAsia="Arial" w:hAnsi="Arial"/>
          <w:sz w:val="14"/>
          <w:szCs w:val="14"/>
          <w:color w:val="4C4C4C"/>
        </w:rPr>
      </w:pPr>
      <w:r>
        <w:rPr>
          <w:rFonts w:ascii="Arial" w:cs="Arial" w:eastAsia="Arial" w:hAnsi="Arial"/>
          <w:sz w:val="14"/>
          <w:szCs w:val="14"/>
          <w:color w:val="4C4C4C"/>
        </w:rPr>
        <w:t>Represents 50% of annual equity award for Mr. R. Lauren and 25% of annual equity award for the other NEOs for each respective fiscal year.</w:t>
      </w:r>
    </w:p>
    <w:p>
      <w:pPr>
        <w:spacing w:after="0" w:line="1" w:lineRule="exact"/>
        <w:rPr>
          <w:rFonts w:ascii="Arial" w:cs="Arial" w:eastAsia="Arial" w:hAnsi="Arial"/>
          <w:sz w:val="14"/>
          <w:szCs w:val="14"/>
          <w:color w:val="4C4C4C"/>
        </w:rPr>
      </w:pPr>
    </w:p>
    <w:p>
      <w:pPr>
        <w:ind w:left="246" w:right="600" w:hanging="246"/>
        <w:spacing w:after="0" w:line="285" w:lineRule="auto"/>
        <w:tabs>
          <w:tab w:leader="none" w:pos="246" w:val="left"/>
        </w:tabs>
        <w:numPr>
          <w:ilvl w:val="0"/>
          <w:numId w:val="65"/>
        </w:numPr>
        <w:rPr>
          <w:rFonts w:ascii="Arial" w:cs="Arial" w:eastAsia="Arial" w:hAnsi="Arial"/>
          <w:sz w:val="14"/>
          <w:szCs w:val="14"/>
          <w:color w:val="4C4C4C"/>
        </w:rPr>
      </w:pPr>
      <w:r>
        <w:rPr>
          <w:rFonts w:ascii="Arial" w:cs="Arial" w:eastAsia="Arial" w:hAnsi="Arial"/>
          <w:sz w:val="14"/>
          <w:szCs w:val="14"/>
          <w:color w:val="4C4C4C"/>
        </w:rPr>
        <w:t>Represents 50% of annual equity award for NEOs except for Mr. R. Lauren who receives 100% of his award in the form of PSUs as provided under his employment agreement.</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color w:val="auto"/>
        </w:rPr>
        <w:t>Details regarding the PSUs and RSUs are outlined below.</w:t>
      </w:r>
    </w:p>
    <w:p>
      <w:pPr>
        <w:spacing w:after="0" w:line="127" w:lineRule="exact"/>
        <w:rPr>
          <w:sz w:val="20"/>
          <w:szCs w:val="20"/>
          <w:color w:val="auto"/>
        </w:rPr>
      </w:pPr>
    </w:p>
    <w:p>
      <w:pPr>
        <w:ind w:left="166" w:right="20" w:hanging="166"/>
        <w:spacing w:after="0" w:line="259" w:lineRule="auto"/>
        <w:tabs>
          <w:tab w:leader="none" w:pos="166"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001641"/>
        </w:rPr>
        <w:t xml:space="preserve">PSUs-Adjusted ROIC. </w:t>
      </w:r>
      <w:r>
        <w:rPr>
          <w:rFonts w:ascii="Arial" w:cs="Arial" w:eastAsia="Arial" w:hAnsi="Arial"/>
          <w:sz w:val="16"/>
          <w:szCs w:val="16"/>
          <w:color w:val="000000"/>
        </w:rPr>
        <w:t>Adjusted ROIC is used as a performance measure to provide a clear link to value creation for our</w:t>
      </w:r>
      <w:r>
        <w:rPr>
          <w:rFonts w:ascii="Arial" w:cs="Arial" w:eastAsia="Arial" w:hAnsi="Arial"/>
          <w:sz w:val="16"/>
          <w:szCs w:val="16"/>
          <w:b w:val="1"/>
          <w:bCs w:val="1"/>
          <w:color w:val="001641"/>
        </w:rPr>
        <w:t xml:space="preserve"> </w:t>
      </w:r>
      <w:r>
        <w:rPr>
          <w:rFonts w:ascii="Arial" w:cs="Arial" w:eastAsia="Arial" w:hAnsi="Arial"/>
          <w:sz w:val="16"/>
          <w:szCs w:val="16"/>
          <w:color w:val="000000"/>
        </w:rPr>
        <w:t>stockholders, reward management for successful decisions on capital allocation and investments and differentiate measures in bonus and equity plans to prevent overlap. Awards granted in Fiscal 2026 may pay out from 0% to 200% of target based on three-year cumulative Adjusted ROIC results (Fiscal 2026 – Fiscal 2028).</w:t>
      </w:r>
    </w:p>
    <w:p>
      <w:pPr>
        <w:spacing w:after="0" w:line="123" w:lineRule="exact"/>
        <w:rPr>
          <w:rFonts w:ascii="Arial" w:cs="Arial" w:eastAsia="Arial" w:hAnsi="Arial"/>
          <w:sz w:val="16"/>
          <w:szCs w:val="16"/>
          <w:color w:val="auto"/>
        </w:rPr>
      </w:pPr>
    </w:p>
    <w:p>
      <w:pPr>
        <w:ind w:left="166" w:right="80"/>
        <w:spacing w:after="0" w:line="254" w:lineRule="auto"/>
        <w:rPr>
          <w:rFonts w:ascii="Arial" w:cs="Arial" w:eastAsia="Arial" w:hAnsi="Arial"/>
          <w:sz w:val="16"/>
          <w:szCs w:val="16"/>
          <w:color w:val="auto"/>
        </w:rPr>
      </w:pPr>
      <w:r>
        <w:rPr>
          <w:rFonts w:ascii="Arial" w:cs="Arial" w:eastAsia="Arial" w:hAnsi="Arial"/>
          <w:sz w:val="16"/>
          <w:szCs w:val="16"/>
          <w:color w:val="auto"/>
        </w:rPr>
        <w:t>The table below provides a summary of performance and payout levels for the PSUs-Adjusted ROIC. The Talent Committee believes the payout percentages for our PSUs provide an appropriate balance between the performance levels required relative to the level of payout, based on targets that require significant effort for achievement over a multi-year period. Once an award is granted in any fiscal year, the pre-established performance measures, performance goals, vesting schedule or payout schedule cannot be modified for that grant, unless otherwise approved by the Talent Committee, during the applicable performance period.</w:t>
      </w:r>
    </w:p>
    <w:p>
      <w:pPr>
        <w:spacing w:after="0" w:line="155" w:lineRule="exact"/>
        <w:rPr>
          <w:sz w:val="20"/>
          <w:szCs w:val="20"/>
          <w:color w:val="auto"/>
        </w:rPr>
      </w:pPr>
    </w:p>
    <w:tbl>
      <w:tblPr>
        <w:tblLayout w:type="fixed"/>
        <w:tblInd w:w="166" w:type="dxa"/>
        <w:tblCellMar>
          <w:top w:w="0" w:type="dxa"/>
          <w:left w:w="0" w:type="dxa"/>
          <w:bottom w:w="0" w:type="dxa"/>
          <w:right w:w="0" w:type="dxa"/>
        </w:tblCellMar>
      </w:tblPr>
      <w:tr>
        <w:trPr>
          <w:trHeight w:val="290"/>
        </w:trPr>
        <w:tc>
          <w:tcPr>
            <w:tcW w:w="3180" w:type="dxa"/>
            <w:vAlign w:val="bottom"/>
            <w:tcBorders>
              <w:bottom w:val="single" w:sz="8" w:color="001641"/>
            </w:tcBorders>
            <w:shd w:val="clear" w:color="auto" w:fill="001641"/>
          </w:tcPr>
          <w:p>
            <w:pPr>
              <w:ind w:left="160"/>
              <w:spacing w:after="0"/>
              <w:rPr>
                <w:sz w:val="20"/>
                <w:szCs w:val="20"/>
                <w:color w:val="auto"/>
              </w:rPr>
            </w:pPr>
            <w:r>
              <w:rPr>
                <w:rFonts w:ascii="Arial" w:cs="Arial" w:eastAsia="Arial" w:hAnsi="Arial"/>
                <w:sz w:val="14"/>
                <w:szCs w:val="14"/>
                <w:b w:val="1"/>
                <w:bCs w:val="1"/>
                <w:color w:val="FFFFFF"/>
              </w:rPr>
              <w:t>Performance Level</w:t>
            </w:r>
          </w:p>
        </w:tc>
        <w:tc>
          <w:tcPr>
            <w:tcW w:w="3540" w:type="dxa"/>
            <w:vAlign w:val="bottom"/>
            <w:tcBorders>
              <w:bottom w:val="single" w:sz="8" w:color="001641"/>
            </w:tcBorders>
            <w:shd w:val="clear" w:color="auto" w:fill="001641"/>
          </w:tcPr>
          <w:p>
            <w:pPr>
              <w:ind w:left="1740"/>
              <w:spacing w:after="0"/>
              <w:rPr>
                <w:sz w:val="20"/>
                <w:szCs w:val="20"/>
                <w:color w:val="auto"/>
              </w:rPr>
            </w:pPr>
            <w:r>
              <w:rPr>
                <w:rFonts w:ascii="Arial" w:cs="Arial" w:eastAsia="Arial" w:hAnsi="Arial"/>
                <w:sz w:val="14"/>
                <w:szCs w:val="14"/>
                <w:b w:val="1"/>
                <w:bCs w:val="1"/>
                <w:color w:val="FFFFFF"/>
              </w:rPr>
              <w:t>% of Goal Achieved</w:t>
            </w:r>
          </w:p>
        </w:tc>
        <w:tc>
          <w:tcPr>
            <w:tcW w:w="2300" w:type="dxa"/>
            <w:vAlign w:val="bottom"/>
            <w:tcBorders>
              <w:bottom w:val="single" w:sz="8" w:color="BFA071"/>
            </w:tcBorders>
            <w:shd w:val="clear" w:color="auto" w:fill="BFA071"/>
          </w:tcPr>
          <w:p>
            <w:pPr>
              <w:ind w:left="500"/>
              <w:spacing w:after="0"/>
              <w:rPr>
                <w:sz w:val="20"/>
                <w:szCs w:val="20"/>
                <w:color w:val="auto"/>
              </w:rPr>
            </w:pPr>
            <w:r>
              <w:rPr>
                <w:rFonts w:ascii="Arial" w:cs="Arial" w:eastAsia="Arial" w:hAnsi="Arial"/>
                <w:sz w:val="14"/>
                <w:szCs w:val="14"/>
                <w:b w:val="1"/>
                <w:bCs w:val="1"/>
                <w:color w:val="FFFFFF"/>
              </w:rPr>
              <w:t>% of PSUs Vested</w:t>
            </w:r>
          </w:p>
        </w:tc>
      </w:tr>
      <w:tr>
        <w:trPr>
          <w:trHeight w:val="270"/>
        </w:trPr>
        <w:tc>
          <w:tcPr>
            <w:tcW w:w="3180" w:type="dxa"/>
            <w:vAlign w:val="bottom"/>
          </w:tcPr>
          <w:p>
            <w:pPr>
              <w:ind w:left="160"/>
              <w:spacing w:after="0"/>
              <w:rPr>
                <w:sz w:val="20"/>
                <w:szCs w:val="20"/>
                <w:color w:val="auto"/>
              </w:rPr>
            </w:pPr>
            <w:r>
              <w:rPr>
                <w:rFonts w:ascii="Arial" w:cs="Arial" w:eastAsia="Arial" w:hAnsi="Arial"/>
                <w:sz w:val="14"/>
                <w:szCs w:val="14"/>
                <w:b w:val="1"/>
                <w:bCs w:val="1"/>
                <w:color w:val="001641"/>
              </w:rPr>
              <w:t>Threshold</w:t>
            </w:r>
          </w:p>
        </w:tc>
        <w:tc>
          <w:tcPr>
            <w:tcW w:w="3540" w:type="dxa"/>
            <w:vAlign w:val="bottom"/>
          </w:tcPr>
          <w:p>
            <w:pPr>
              <w:jc w:val="center"/>
              <w:ind w:left="1228"/>
              <w:spacing w:after="0"/>
              <w:rPr>
                <w:sz w:val="20"/>
                <w:szCs w:val="20"/>
                <w:color w:val="auto"/>
              </w:rPr>
            </w:pPr>
            <w:r>
              <w:rPr>
                <w:rFonts w:ascii="Arial" w:cs="Arial" w:eastAsia="Arial" w:hAnsi="Arial"/>
                <w:sz w:val="14"/>
                <w:szCs w:val="14"/>
                <w:color w:val="001641"/>
                <w:w w:val="99"/>
              </w:rPr>
              <w:t>90%</w:t>
            </w:r>
          </w:p>
        </w:tc>
        <w:tc>
          <w:tcPr>
            <w:tcW w:w="2300" w:type="dxa"/>
            <w:vAlign w:val="bottom"/>
            <w:tcBorders>
              <w:bottom w:val="single" w:sz="8" w:color="EBE1D2"/>
            </w:tcBorders>
            <w:shd w:val="clear" w:color="auto" w:fill="EBE1D2"/>
          </w:tcPr>
          <w:p>
            <w:pPr>
              <w:jc w:val="center"/>
              <w:spacing w:after="0"/>
              <w:rPr>
                <w:sz w:val="20"/>
                <w:szCs w:val="20"/>
                <w:color w:val="auto"/>
              </w:rPr>
            </w:pPr>
            <w:r>
              <w:rPr>
                <w:rFonts w:ascii="Arial" w:cs="Arial" w:eastAsia="Arial" w:hAnsi="Arial"/>
                <w:sz w:val="14"/>
                <w:szCs w:val="14"/>
                <w:color w:val="001641"/>
                <w:w w:val="99"/>
              </w:rPr>
              <w:t>50%</w:t>
            </w:r>
          </w:p>
        </w:tc>
      </w:tr>
      <w:tr>
        <w:trPr>
          <w:trHeight w:val="263"/>
        </w:trPr>
        <w:tc>
          <w:tcPr>
            <w:tcW w:w="3180" w:type="dxa"/>
            <w:vAlign w:val="bottom"/>
            <w:tcBorders>
              <w:top w:val="single" w:sz="8" w:color="BFA071"/>
            </w:tcBorders>
          </w:tcPr>
          <w:p>
            <w:pPr>
              <w:ind w:left="160"/>
              <w:spacing w:after="0"/>
              <w:rPr>
                <w:sz w:val="20"/>
                <w:szCs w:val="20"/>
                <w:color w:val="auto"/>
              </w:rPr>
            </w:pPr>
            <w:r>
              <w:rPr>
                <w:rFonts w:ascii="Arial" w:cs="Arial" w:eastAsia="Arial" w:hAnsi="Arial"/>
                <w:sz w:val="14"/>
                <w:szCs w:val="14"/>
                <w:b w:val="1"/>
                <w:bCs w:val="1"/>
                <w:color w:val="001641"/>
              </w:rPr>
              <w:t>Target</w:t>
            </w:r>
          </w:p>
        </w:tc>
        <w:tc>
          <w:tcPr>
            <w:tcW w:w="3540" w:type="dxa"/>
            <w:vAlign w:val="bottom"/>
            <w:tcBorders>
              <w:top w:val="single" w:sz="8" w:color="BFA071"/>
            </w:tcBorders>
          </w:tcPr>
          <w:p>
            <w:pPr>
              <w:jc w:val="center"/>
              <w:ind w:left="1228"/>
              <w:spacing w:after="0"/>
              <w:rPr>
                <w:sz w:val="20"/>
                <w:szCs w:val="20"/>
                <w:color w:val="auto"/>
              </w:rPr>
            </w:pPr>
            <w:r>
              <w:rPr>
                <w:rFonts w:ascii="Arial" w:cs="Arial" w:eastAsia="Arial" w:hAnsi="Arial"/>
                <w:sz w:val="14"/>
                <w:szCs w:val="14"/>
                <w:color w:val="001641"/>
              </w:rPr>
              <w:t>100%</w:t>
            </w:r>
          </w:p>
        </w:tc>
        <w:tc>
          <w:tcPr>
            <w:tcW w:w="2300" w:type="dxa"/>
            <w:vAlign w:val="bottom"/>
            <w:tcBorders>
              <w:top w:val="single" w:sz="8" w:color="BFA071"/>
              <w:bottom w:val="single" w:sz="8" w:color="EBE1D2"/>
            </w:tcBorders>
            <w:shd w:val="clear" w:color="auto" w:fill="EBE1D2"/>
          </w:tcPr>
          <w:p>
            <w:pPr>
              <w:jc w:val="center"/>
              <w:spacing w:after="0"/>
              <w:rPr>
                <w:sz w:val="20"/>
                <w:szCs w:val="20"/>
                <w:color w:val="auto"/>
              </w:rPr>
            </w:pPr>
            <w:r>
              <w:rPr>
                <w:rFonts w:ascii="Arial" w:cs="Arial" w:eastAsia="Arial" w:hAnsi="Arial"/>
                <w:sz w:val="14"/>
                <w:szCs w:val="14"/>
                <w:color w:val="001641"/>
              </w:rPr>
              <w:t>100%</w:t>
            </w:r>
          </w:p>
        </w:tc>
      </w:tr>
      <w:tr>
        <w:trPr>
          <w:trHeight w:val="230"/>
        </w:trPr>
        <w:tc>
          <w:tcPr>
            <w:tcW w:w="3180" w:type="dxa"/>
            <w:vAlign w:val="bottom"/>
            <w:tcBorders>
              <w:top w:val="single" w:sz="8" w:color="BFA071"/>
            </w:tcBorders>
          </w:tcPr>
          <w:p>
            <w:pPr>
              <w:ind w:left="160"/>
              <w:spacing w:after="0"/>
              <w:rPr>
                <w:sz w:val="20"/>
                <w:szCs w:val="20"/>
                <w:color w:val="auto"/>
              </w:rPr>
            </w:pPr>
            <w:r>
              <w:rPr>
                <w:rFonts w:ascii="Arial" w:cs="Arial" w:eastAsia="Arial" w:hAnsi="Arial"/>
                <w:sz w:val="14"/>
                <w:szCs w:val="14"/>
                <w:b w:val="1"/>
                <w:bCs w:val="1"/>
                <w:color w:val="001641"/>
              </w:rPr>
              <w:t>Maximum</w:t>
            </w:r>
          </w:p>
        </w:tc>
        <w:tc>
          <w:tcPr>
            <w:tcW w:w="3540" w:type="dxa"/>
            <w:vAlign w:val="bottom"/>
            <w:tcBorders>
              <w:top w:val="single" w:sz="8" w:color="BFA071"/>
            </w:tcBorders>
          </w:tcPr>
          <w:p>
            <w:pPr>
              <w:jc w:val="center"/>
              <w:ind w:left="1228"/>
              <w:spacing w:after="0"/>
              <w:rPr>
                <w:sz w:val="20"/>
                <w:szCs w:val="20"/>
                <w:color w:val="auto"/>
              </w:rPr>
            </w:pPr>
            <w:r>
              <w:rPr>
                <w:rFonts w:ascii="Arial" w:cs="Arial" w:eastAsia="Arial" w:hAnsi="Arial"/>
                <w:sz w:val="14"/>
                <w:szCs w:val="14"/>
                <w:color w:val="001641"/>
              </w:rPr>
              <w:t>110%</w:t>
            </w:r>
          </w:p>
        </w:tc>
        <w:tc>
          <w:tcPr>
            <w:tcW w:w="2300" w:type="dxa"/>
            <w:vAlign w:val="bottom"/>
            <w:tcBorders>
              <w:top w:val="single" w:sz="8" w:color="BFA071"/>
              <w:bottom w:val="single" w:sz="8" w:color="EBE1D2"/>
            </w:tcBorders>
            <w:shd w:val="clear" w:color="auto" w:fill="EBE1D2"/>
          </w:tcPr>
          <w:p>
            <w:pPr>
              <w:jc w:val="center"/>
              <w:spacing w:after="0"/>
              <w:rPr>
                <w:sz w:val="20"/>
                <w:szCs w:val="20"/>
                <w:color w:val="auto"/>
              </w:rPr>
            </w:pPr>
            <w:r>
              <w:rPr>
                <w:rFonts w:ascii="Arial" w:cs="Arial" w:eastAsia="Arial" w:hAnsi="Arial"/>
                <w:sz w:val="14"/>
                <w:szCs w:val="14"/>
                <w:color w:val="001641"/>
              </w:rPr>
              <w:t>200%</w:t>
            </w:r>
          </w:p>
        </w:tc>
      </w:tr>
      <w:tr>
        <w:trPr>
          <w:trHeight w:val="20"/>
        </w:trPr>
        <w:tc>
          <w:tcPr>
            <w:tcW w:w="3180" w:type="dxa"/>
            <w:vAlign w:val="bottom"/>
            <w:shd w:val="clear" w:color="auto" w:fill="001641"/>
          </w:tcPr>
          <w:p>
            <w:pPr>
              <w:spacing w:after="0" w:line="20" w:lineRule="exact"/>
              <w:rPr>
                <w:sz w:val="1"/>
                <w:szCs w:val="1"/>
                <w:color w:val="auto"/>
              </w:rPr>
            </w:pPr>
          </w:p>
        </w:tc>
        <w:tc>
          <w:tcPr>
            <w:tcW w:w="3540" w:type="dxa"/>
            <w:vAlign w:val="bottom"/>
            <w:shd w:val="clear" w:color="auto" w:fill="001641"/>
          </w:tcPr>
          <w:p>
            <w:pPr>
              <w:spacing w:after="0" w:line="20" w:lineRule="exact"/>
              <w:rPr>
                <w:sz w:val="1"/>
                <w:szCs w:val="1"/>
                <w:color w:val="auto"/>
              </w:rPr>
            </w:pPr>
          </w:p>
        </w:tc>
        <w:tc>
          <w:tcPr>
            <w:tcW w:w="2300" w:type="dxa"/>
            <w:vAlign w:val="bottom"/>
            <w:shd w:val="clear" w:color="auto" w:fill="001641"/>
          </w:tcPr>
          <w:p>
            <w:pPr>
              <w:spacing w:after="0" w:line="20" w:lineRule="exact"/>
              <w:rPr>
                <w:sz w:val="1"/>
                <w:szCs w:val="1"/>
                <w:color w:val="auto"/>
              </w:rPr>
            </w:pPr>
          </w:p>
        </w:tc>
      </w:tr>
    </w:tbl>
    <w:p>
      <w:pPr>
        <w:spacing w:after="0" w:line="155" w:lineRule="exact"/>
        <w:rPr>
          <w:sz w:val="20"/>
          <w:szCs w:val="20"/>
          <w:color w:val="auto"/>
        </w:rPr>
      </w:pPr>
    </w:p>
    <w:p>
      <w:pPr>
        <w:ind w:left="166" w:right="400"/>
        <w:spacing w:after="0" w:line="282" w:lineRule="auto"/>
        <w:rPr>
          <w:sz w:val="20"/>
          <w:szCs w:val="20"/>
          <w:color w:val="auto"/>
        </w:rPr>
      </w:pPr>
      <w:r>
        <w:rPr>
          <w:rFonts w:ascii="Arial" w:cs="Arial" w:eastAsia="Arial" w:hAnsi="Arial"/>
          <w:sz w:val="14"/>
          <w:szCs w:val="14"/>
          <w:i w:val="1"/>
          <w:iCs w:val="1"/>
          <w:color w:val="4C4C4C"/>
        </w:rPr>
        <w:t>No payout is earned for performance below threshold. Vesting is interpolated for performance between 90% and 100% of target, and for performance between 100% and 110% of target.</w:t>
      </w:r>
    </w:p>
    <w:p>
      <w:pPr>
        <w:spacing w:after="0" w:line="141" w:lineRule="exact"/>
        <w:rPr>
          <w:sz w:val="20"/>
          <w:szCs w:val="20"/>
          <w:color w:val="auto"/>
        </w:rPr>
      </w:pPr>
    </w:p>
    <w:p>
      <w:pPr>
        <w:ind w:left="166" w:right="60" w:hanging="166"/>
        <w:spacing w:after="0" w:line="252" w:lineRule="auto"/>
        <w:tabs>
          <w:tab w:leader="none" w:pos="166"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001641"/>
        </w:rPr>
        <w:t xml:space="preserve">PSUs-Relative TSR. </w:t>
      </w:r>
      <w:r>
        <w:rPr>
          <w:rFonts w:ascii="Arial" w:cs="Arial" w:eastAsia="Arial" w:hAnsi="Arial"/>
          <w:sz w:val="16"/>
          <w:szCs w:val="16"/>
          <w:color w:val="000000"/>
        </w:rPr>
        <w:t>Relative TSR is used as a performance measure to align our executives with the interests of our</w:t>
      </w:r>
      <w:r>
        <w:rPr>
          <w:rFonts w:ascii="Arial" w:cs="Arial" w:eastAsia="Arial" w:hAnsi="Arial"/>
          <w:sz w:val="16"/>
          <w:szCs w:val="16"/>
          <w:b w:val="1"/>
          <w:bCs w:val="1"/>
          <w:color w:val="001641"/>
        </w:rPr>
        <w:t xml:space="preserve"> </w:t>
      </w:r>
      <w:r>
        <w:rPr>
          <w:rFonts w:ascii="Arial" w:cs="Arial" w:eastAsia="Arial" w:hAnsi="Arial"/>
          <w:sz w:val="16"/>
          <w:szCs w:val="16"/>
          <w:color w:val="000000"/>
        </w:rPr>
        <w:t>stockholders. Awards granted in Fiscal 2026 may pay out from 0% to 200% of target based on the performance of the Company’s stock as compared to the performance of stock in a comparator group of companies (“PSU Comparator Group”) over the three-year performance period (Fiscal 2026 – Fiscal 2028). Relative TSR is defined as stock price appreciation, plus dividends reinvested, with starting and ending share prices based on average closing stock prices for the 20 trading days ending immediately prior to the beginning and end of the performance period. The PSU Comparator Group is approved at the time of grant and if any PSU Comparator Group companies are removed for any reason over the performance period, they are removed from the final performance calculation at the end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582930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93"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78</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89" w:name="page90"/>
    <w:bookmarkEnd w:id="8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72" w:lineRule="exact"/>
        <w:rPr>
          <w:sz w:val="20"/>
          <w:szCs w:val="20"/>
          <w:color w:val="auto"/>
        </w:rPr>
      </w:pPr>
    </w:p>
    <w:p>
      <w:pPr>
        <w:ind w:left="166" w:right="480"/>
        <w:spacing w:after="0" w:line="266" w:lineRule="auto"/>
        <w:rPr>
          <w:sz w:val="20"/>
          <w:szCs w:val="20"/>
          <w:color w:val="auto"/>
        </w:rPr>
      </w:pPr>
      <w:r>
        <w:rPr>
          <w:rFonts w:ascii="Arial" w:cs="Arial" w:eastAsia="Arial" w:hAnsi="Arial"/>
          <w:sz w:val="16"/>
          <w:szCs w:val="16"/>
          <w:color w:val="auto"/>
        </w:rPr>
        <w:t>The PSU Comparator Group which is being used for the Fiscal 2026 PSUs — Relative TSR is shown below. The PSU Comparator Group includes luxury retail peers, certain department stores and apparel wholesalers, and select non-U.S. luxury brands. Hanesbrand, Inc. and Nordstrom, Inc. have been removed as they are no longer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92075</wp:posOffset>
            </wp:positionV>
            <wp:extent cx="572643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pacing w:after="0" w:line="219" w:lineRule="exact"/>
        <w:rPr>
          <w:sz w:val="20"/>
          <w:szCs w:val="20"/>
          <w:color w:val="auto"/>
        </w:rPr>
      </w:pPr>
    </w:p>
    <w:tbl>
      <w:tblPr>
        <w:tblLayout w:type="fixed"/>
        <w:tblInd w:w="166" w:type="dxa"/>
        <w:tblCellMar>
          <w:top w:w="0" w:type="dxa"/>
          <w:left w:w="0" w:type="dxa"/>
          <w:bottom w:w="0" w:type="dxa"/>
          <w:right w:w="0" w:type="dxa"/>
        </w:tblCellMar>
      </w:tblPr>
      <w:tr>
        <w:trPr>
          <w:trHeight w:val="215"/>
        </w:trPr>
        <w:tc>
          <w:tcPr>
            <w:tcW w:w="2100" w:type="dxa"/>
            <w:vAlign w:val="bottom"/>
          </w:tcPr>
          <w:p>
            <w:pPr>
              <w:ind w:left="160"/>
              <w:spacing w:after="0"/>
              <w:rPr>
                <w:sz w:val="20"/>
                <w:szCs w:val="20"/>
                <w:color w:val="auto"/>
              </w:rPr>
            </w:pPr>
            <w:r>
              <w:rPr>
                <w:rFonts w:ascii="Arial" w:cs="Arial" w:eastAsia="Arial" w:hAnsi="Arial"/>
                <w:sz w:val="16"/>
                <w:szCs w:val="16"/>
                <w:color w:val="001641"/>
              </w:rPr>
              <w:t>Abercrombie &amp; Fitch Co.</w:t>
            </w:r>
          </w:p>
        </w:tc>
        <w:tc>
          <w:tcPr>
            <w:tcW w:w="2120" w:type="dxa"/>
            <w:vAlign w:val="bottom"/>
          </w:tcPr>
          <w:p>
            <w:pPr>
              <w:ind w:left="160"/>
              <w:spacing w:after="0"/>
              <w:rPr>
                <w:sz w:val="20"/>
                <w:szCs w:val="20"/>
                <w:color w:val="auto"/>
              </w:rPr>
            </w:pPr>
            <w:r>
              <w:rPr>
                <w:rFonts w:ascii="Arial" w:cs="Arial" w:eastAsia="Arial" w:hAnsi="Arial"/>
                <w:sz w:val="16"/>
                <w:szCs w:val="16"/>
                <w:color w:val="001641"/>
              </w:rPr>
              <w:t>The Gap, Inc.</w:t>
            </w:r>
          </w:p>
        </w:tc>
        <w:tc>
          <w:tcPr>
            <w:tcW w:w="2000" w:type="dxa"/>
            <w:vAlign w:val="bottom"/>
          </w:tcPr>
          <w:p>
            <w:pPr>
              <w:ind w:left="320"/>
              <w:spacing w:after="0"/>
              <w:rPr>
                <w:sz w:val="20"/>
                <w:szCs w:val="20"/>
                <w:color w:val="auto"/>
              </w:rPr>
            </w:pPr>
            <w:r>
              <w:rPr>
                <w:rFonts w:ascii="Arial" w:cs="Arial" w:eastAsia="Arial" w:hAnsi="Arial"/>
                <w:sz w:val="16"/>
                <w:szCs w:val="16"/>
                <w:color w:val="001641"/>
              </w:rPr>
              <w:t>Moncler S.p.A.</w:t>
            </w:r>
          </w:p>
        </w:tc>
        <w:tc>
          <w:tcPr>
            <w:tcW w:w="2800" w:type="dxa"/>
            <w:vAlign w:val="bottom"/>
          </w:tcPr>
          <w:p>
            <w:pPr>
              <w:ind w:left="600"/>
              <w:spacing w:after="0"/>
              <w:rPr>
                <w:sz w:val="20"/>
                <w:szCs w:val="20"/>
                <w:color w:val="auto"/>
              </w:rPr>
            </w:pPr>
            <w:r>
              <w:rPr>
                <w:rFonts w:ascii="Arial" w:cs="Arial" w:eastAsia="Arial" w:hAnsi="Arial"/>
                <w:sz w:val="16"/>
                <w:szCs w:val="16"/>
                <w:color w:val="001641"/>
              </w:rPr>
              <w:t>Under Armour, Inc.</w:t>
            </w:r>
          </w:p>
        </w:tc>
      </w:tr>
      <w:tr>
        <w:trPr>
          <w:trHeight w:val="43"/>
        </w:trPr>
        <w:tc>
          <w:tcPr>
            <w:tcW w:w="2100" w:type="dxa"/>
            <w:vAlign w:val="bottom"/>
            <w:tcBorders>
              <w:bottom w:val="single" w:sz="8" w:color="BFA071"/>
            </w:tcBorders>
          </w:tcPr>
          <w:p>
            <w:pPr>
              <w:spacing w:after="0"/>
              <w:rPr>
                <w:sz w:val="3"/>
                <w:szCs w:val="3"/>
                <w:color w:val="auto"/>
              </w:rPr>
            </w:pPr>
          </w:p>
        </w:tc>
        <w:tc>
          <w:tcPr>
            <w:tcW w:w="2120" w:type="dxa"/>
            <w:vAlign w:val="bottom"/>
            <w:tcBorders>
              <w:bottom w:val="single" w:sz="8" w:color="BFA071"/>
            </w:tcBorders>
          </w:tcPr>
          <w:p>
            <w:pPr>
              <w:spacing w:after="0"/>
              <w:rPr>
                <w:sz w:val="3"/>
                <w:szCs w:val="3"/>
                <w:color w:val="auto"/>
              </w:rPr>
            </w:pPr>
          </w:p>
        </w:tc>
        <w:tc>
          <w:tcPr>
            <w:tcW w:w="2000" w:type="dxa"/>
            <w:vAlign w:val="bottom"/>
            <w:tcBorders>
              <w:bottom w:val="single" w:sz="8" w:color="BFA071"/>
            </w:tcBorders>
          </w:tcPr>
          <w:p>
            <w:pPr>
              <w:spacing w:after="0"/>
              <w:rPr>
                <w:sz w:val="3"/>
                <w:szCs w:val="3"/>
                <w:color w:val="auto"/>
              </w:rPr>
            </w:pPr>
          </w:p>
        </w:tc>
        <w:tc>
          <w:tcPr>
            <w:tcW w:w="2800" w:type="dxa"/>
            <w:vAlign w:val="bottom"/>
            <w:tcBorders>
              <w:bottom w:val="single" w:sz="8" w:color="BFA071"/>
            </w:tcBorders>
          </w:tcPr>
          <w:p>
            <w:pPr>
              <w:spacing w:after="0"/>
              <w:rPr>
                <w:sz w:val="3"/>
                <w:szCs w:val="3"/>
                <w:color w:val="auto"/>
              </w:rPr>
            </w:pPr>
          </w:p>
        </w:tc>
      </w:tr>
      <w:tr>
        <w:trPr>
          <w:trHeight w:val="234"/>
        </w:trPr>
        <w:tc>
          <w:tcPr>
            <w:tcW w:w="2100" w:type="dxa"/>
            <w:vAlign w:val="bottom"/>
          </w:tcPr>
          <w:p>
            <w:pPr>
              <w:ind w:left="160"/>
              <w:spacing w:after="0"/>
              <w:rPr>
                <w:sz w:val="20"/>
                <w:szCs w:val="20"/>
                <w:color w:val="auto"/>
              </w:rPr>
            </w:pPr>
            <w:r>
              <w:rPr>
                <w:rFonts w:ascii="Arial" w:cs="Arial" w:eastAsia="Arial" w:hAnsi="Arial"/>
                <w:sz w:val="16"/>
                <w:szCs w:val="16"/>
                <w:color w:val="001641"/>
              </w:rPr>
              <w:t>Burberry Limited</w:t>
            </w:r>
          </w:p>
        </w:tc>
        <w:tc>
          <w:tcPr>
            <w:tcW w:w="2120" w:type="dxa"/>
            <w:vAlign w:val="bottom"/>
          </w:tcPr>
          <w:p>
            <w:pPr>
              <w:ind w:left="160"/>
              <w:spacing w:after="0"/>
              <w:rPr>
                <w:sz w:val="20"/>
                <w:szCs w:val="20"/>
                <w:color w:val="auto"/>
              </w:rPr>
            </w:pPr>
            <w:r>
              <w:rPr>
                <w:rFonts w:ascii="Arial" w:cs="Arial" w:eastAsia="Arial" w:hAnsi="Arial"/>
                <w:sz w:val="16"/>
                <w:szCs w:val="16"/>
                <w:color w:val="001641"/>
              </w:rPr>
              <w:t>Hugo Boss AG</w:t>
            </w:r>
          </w:p>
        </w:tc>
        <w:tc>
          <w:tcPr>
            <w:tcW w:w="2000" w:type="dxa"/>
            <w:vAlign w:val="bottom"/>
          </w:tcPr>
          <w:p>
            <w:pPr>
              <w:ind w:left="320"/>
              <w:spacing w:after="0"/>
              <w:rPr>
                <w:sz w:val="20"/>
                <w:szCs w:val="20"/>
                <w:color w:val="auto"/>
              </w:rPr>
            </w:pPr>
            <w:r>
              <w:rPr>
                <w:rFonts w:ascii="Arial" w:cs="Arial" w:eastAsia="Arial" w:hAnsi="Arial"/>
                <w:sz w:val="16"/>
                <w:szCs w:val="16"/>
                <w:color w:val="001641"/>
              </w:rPr>
              <w:t>Nike, Inc.</w:t>
            </w:r>
          </w:p>
        </w:tc>
        <w:tc>
          <w:tcPr>
            <w:tcW w:w="2800" w:type="dxa"/>
            <w:vAlign w:val="bottom"/>
          </w:tcPr>
          <w:p>
            <w:pPr>
              <w:ind w:left="600"/>
              <w:spacing w:after="0"/>
              <w:rPr>
                <w:sz w:val="20"/>
                <w:szCs w:val="20"/>
                <w:color w:val="auto"/>
              </w:rPr>
            </w:pPr>
            <w:r>
              <w:rPr>
                <w:rFonts w:ascii="Arial" w:cs="Arial" w:eastAsia="Arial" w:hAnsi="Arial"/>
                <w:sz w:val="16"/>
                <w:szCs w:val="16"/>
                <w:color w:val="001641"/>
              </w:rPr>
              <w:t>Urban Outfitters, Inc.</w:t>
            </w:r>
          </w:p>
        </w:tc>
      </w:tr>
      <w:tr>
        <w:trPr>
          <w:trHeight w:val="43"/>
        </w:trPr>
        <w:tc>
          <w:tcPr>
            <w:tcW w:w="2100" w:type="dxa"/>
            <w:vAlign w:val="bottom"/>
            <w:tcBorders>
              <w:bottom w:val="single" w:sz="8" w:color="BFA071"/>
            </w:tcBorders>
          </w:tcPr>
          <w:p>
            <w:pPr>
              <w:spacing w:after="0"/>
              <w:rPr>
                <w:sz w:val="3"/>
                <w:szCs w:val="3"/>
                <w:color w:val="auto"/>
              </w:rPr>
            </w:pPr>
          </w:p>
        </w:tc>
        <w:tc>
          <w:tcPr>
            <w:tcW w:w="2120" w:type="dxa"/>
            <w:vAlign w:val="bottom"/>
            <w:tcBorders>
              <w:bottom w:val="single" w:sz="8" w:color="BFA071"/>
            </w:tcBorders>
          </w:tcPr>
          <w:p>
            <w:pPr>
              <w:spacing w:after="0"/>
              <w:rPr>
                <w:sz w:val="3"/>
                <w:szCs w:val="3"/>
                <w:color w:val="auto"/>
              </w:rPr>
            </w:pPr>
          </w:p>
        </w:tc>
        <w:tc>
          <w:tcPr>
            <w:tcW w:w="2000" w:type="dxa"/>
            <w:vAlign w:val="bottom"/>
            <w:tcBorders>
              <w:bottom w:val="single" w:sz="8" w:color="BFA071"/>
            </w:tcBorders>
          </w:tcPr>
          <w:p>
            <w:pPr>
              <w:spacing w:after="0"/>
              <w:rPr>
                <w:sz w:val="3"/>
                <w:szCs w:val="3"/>
                <w:color w:val="auto"/>
              </w:rPr>
            </w:pPr>
          </w:p>
        </w:tc>
        <w:tc>
          <w:tcPr>
            <w:tcW w:w="2800" w:type="dxa"/>
            <w:vAlign w:val="bottom"/>
            <w:tcBorders>
              <w:bottom w:val="single" w:sz="8" w:color="BFA071"/>
            </w:tcBorders>
          </w:tcPr>
          <w:p>
            <w:pPr>
              <w:spacing w:after="0"/>
              <w:rPr>
                <w:sz w:val="3"/>
                <w:szCs w:val="3"/>
                <w:color w:val="auto"/>
              </w:rPr>
            </w:pPr>
          </w:p>
        </w:tc>
      </w:tr>
      <w:tr>
        <w:trPr>
          <w:trHeight w:val="234"/>
        </w:trPr>
        <w:tc>
          <w:tcPr>
            <w:tcW w:w="2100" w:type="dxa"/>
            <w:vAlign w:val="bottom"/>
          </w:tcPr>
          <w:p>
            <w:pPr>
              <w:ind w:left="160"/>
              <w:spacing w:after="0"/>
              <w:rPr>
                <w:sz w:val="20"/>
                <w:szCs w:val="20"/>
                <w:color w:val="auto"/>
              </w:rPr>
            </w:pPr>
            <w:r>
              <w:rPr>
                <w:rFonts w:ascii="Arial" w:cs="Arial" w:eastAsia="Arial" w:hAnsi="Arial"/>
                <w:sz w:val="16"/>
                <w:szCs w:val="16"/>
                <w:color w:val="001641"/>
              </w:rPr>
              <w:t>Capri Holdings Ltd.</w:t>
            </w:r>
          </w:p>
        </w:tc>
        <w:tc>
          <w:tcPr>
            <w:tcW w:w="2120" w:type="dxa"/>
            <w:vAlign w:val="bottom"/>
          </w:tcPr>
          <w:p>
            <w:pPr>
              <w:ind w:left="160"/>
              <w:spacing w:after="0"/>
              <w:rPr>
                <w:sz w:val="20"/>
                <w:szCs w:val="20"/>
                <w:color w:val="auto"/>
              </w:rPr>
            </w:pPr>
            <w:r>
              <w:rPr>
                <w:rFonts w:ascii="Arial" w:cs="Arial" w:eastAsia="Arial" w:hAnsi="Arial"/>
                <w:sz w:val="16"/>
                <w:szCs w:val="16"/>
                <w:color w:val="001641"/>
              </w:rPr>
              <w:t>Levi Strauss &amp; Co.</w:t>
            </w:r>
          </w:p>
        </w:tc>
        <w:tc>
          <w:tcPr>
            <w:tcW w:w="2000" w:type="dxa"/>
            <w:vAlign w:val="bottom"/>
          </w:tcPr>
          <w:p>
            <w:pPr>
              <w:ind w:left="320"/>
              <w:spacing w:after="0"/>
              <w:rPr>
                <w:sz w:val="20"/>
                <w:szCs w:val="20"/>
                <w:color w:val="auto"/>
              </w:rPr>
            </w:pPr>
            <w:r>
              <w:rPr>
                <w:rFonts w:ascii="Arial" w:cs="Arial" w:eastAsia="Arial" w:hAnsi="Arial"/>
                <w:sz w:val="16"/>
                <w:szCs w:val="16"/>
                <w:color w:val="001641"/>
              </w:rPr>
              <w:t>PVH Corp.</w:t>
            </w:r>
          </w:p>
        </w:tc>
        <w:tc>
          <w:tcPr>
            <w:tcW w:w="2800" w:type="dxa"/>
            <w:vAlign w:val="bottom"/>
          </w:tcPr>
          <w:p>
            <w:pPr>
              <w:ind w:left="600"/>
              <w:spacing w:after="0"/>
              <w:rPr>
                <w:sz w:val="20"/>
                <w:szCs w:val="20"/>
                <w:color w:val="auto"/>
              </w:rPr>
            </w:pPr>
            <w:r>
              <w:rPr>
                <w:rFonts w:ascii="Arial" w:cs="Arial" w:eastAsia="Arial" w:hAnsi="Arial"/>
                <w:sz w:val="16"/>
                <w:szCs w:val="16"/>
                <w:color w:val="001641"/>
              </w:rPr>
              <w:t>V.F. Corporation</w:t>
            </w:r>
          </w:p>
        </w:tc>
      </w:tr>
      <w:tr>
        <w:trPr>
          <w:trHeight w:val="43"/>
        </w:trPr>
        <w:tc>
          <w:tcPr>
            <w:tcW w:w="2100" w:type="dxa"/>
            <w:vAlign w:val="bottom"/>
            <w:tcBorders>
              <w:bottom w:val="single" w:sz="8" w:color="BFA071"/>
            </w:tcBorders>
          </w:tcPr>
          <w:p>
            <w:pPr>
              <w:spacing w:after="0"/>
              <w:rPr>
                <w:sz w:val="3"/>
                <w:szCs w:val="3"/>
                <w:color w:val="auto"/>
              </w:rPr>
            </w:pPr>
          </w:p>
        </w:tc>
        <w:tc>
          <w:tcPr>
            <w:tcW w:w="2120" w:type="dxa"/>
            <w:vAlign w:val="bottom"/>
            <w:tcBorders>
              <w:bottom w:val="single" w:sz="8" w:color="BFA071"/>
            </w:tcBorders>
          </w:tcPr>
          <w:p>
            <w:pPr>
              <w:spacing w:after="0"/>
              <w:rPr>
                <w:sz w:val="3"/>
                <w:szCs w:val="3"/>
                <w:color w:val="auto"/>
              </w:rPr>
            </w:pPr>
          </w:p>
        </w:tc>
        <w:tc>
          <w:tcPr>
            <w:tcW w:w="2000" w:type="dxa"/>
            <w:vAlign w:val="bottom"/>
            <w:tcBorders>
              <w:bottom w:val="single" w:sz="8" w:color="BFA071"/>
            </w:tcBorders>
          </w:tcPr>
          <w:p>
            <w:pPr>
              <w:spacing w:after="0"/>
              <w:rPr>
                <w:sz w:val="3"/>
                <w:szCs w:val="3"/>
                <w:color w:val="auto"/>
              </w:rPr>
            </w:pPr>
          </w:p>
        </w:tc>
        <w:tc>
          <w:tcPr>
            <w:tcW w:w="2800" w:type="dxa"/>
            <w:vAlign w:val="bottom"/>
            <w:tcBorders>
              <w:bottom w:val="single" w:sz="8" w:color="BFA071"/>
            </w:tcBorders>
          </w:tcPr>
          <w:p>
            <w:pPr>
              <w:spacing w:after="0"/>
              <w:rPr>
                <w:sz w:val="3"/>
                <w:szCs w:val="3"/>
                <w:color w:val="auto"/>
              </w:rPr>
            </w:pPr>
          </w:p>
        </w:tc>
      </w:tr>
      <w:tr>
        <w:trPr>
          <w:trHeight w:val="234"/>
        </w:trPr>
        <w:tc>
          <w:tcPr>
            <w:tcW w:w="2100" w:type="dxa"/>
            <w:vAlign w:val="bottom"/>
          </w:tcPr>
          <w:p>
            <w:pPr>
              <w:ind w:left="160"/>
              <w:spacing w:after="0"/>
              <w:rPr>
                <w:sz w:val="20"/>
                <w:szCs w:val="20"/>
                <w:color w:val="auto"/>
              </w:rPr>
            </w:pPr>
            <w:r>
              <w:rPr>
                <w:rFonts w:ascii="Arial" w:cs="Arial" w:eastAsia="Arial" w:hAnsi="Arial"/>
                <w:sz w:val="16"/>
                <w:szCs w:val="16"/>
                <w:color w:val="001641"/>
              </w:rPr>
              <w:t>Dillard’s, Inc.</w:t>
            </w:r>
          </w:p>
        </w:tc>
        <w:tc>
          <w:tcPr>
            <w:tcW w:w="2120" w:type="dxa"/>
            <w:vAlign w:val="bottom"/>
          </w:tcPr>
          <w:p>
            <w:pPr>
              <w:ind w:left="160"/>
              <w:spacing w:after="0"/>
              <w:rPr>
                <w:sz w:val="20"/>
                <w:szCs w:val="20"/>
                <w:color w:val="auto"/>
              </w:rPr>
            </w:pPr>
            <w:r>
              <w:rPr>
                <w:rFonts w:ascii="Arial" w:cs="Arial" w:eastAsia="Arial" w:hAnsi="Arial"/>
                <w:sz w:val="16"/>
                <w:szCs w:val="16"/>
                <w:color w:val="001641"/>
              </w:rPr>
              <w:t>lululemon athletica inc.</w:t>
            </w:r>
          </w:p>
        </w:tc>
        <w:tc>
          <w:tcPr>
            <w:tcW w:w="2000" w:type="dxa"/>
            <w:vAlign w:val="bottom"/>
          </w:tcPr>
          <w:p>
            <w:pPr>
              <w:ind w:left="320"/>
              <w:spacing w:after="0"/>
              <w:rPr>
                <w:sz w:val="20"/>
                <w:szCs w:val="20"/>
                <w:color w:val="auto"/>
              </w:rPr>
            </w:pPr>
            <w:r>
              <w:rPr>
                <w:rFonts w:ascii="Arial" w:cs="Arial" w:eastAsia="Arial" w:hAnsi="Arial"/>
                <w:sz w:val="16"/>
                <w:szCs w:val="16"/>
                <w:color w:val="001641"/>
              </w:rPr>
              <w:t>RH</w:t>
            </w:r>
          </w:p>
        </w:tc>
        <w:tc>
          <w:tcPr>
            <w:tcW w:w="2800" w:type="dxa"/>
            <w:vAlign w:val="bottom"/>
          </w:tcPr>
          <w:p>
            <w:pPr>
              <w:ind w:left="600"/>
              <w:spacing w:after="0"/>
              <w:rPr>
                <w:sz w:val="20"/>
                <w:szCs w:val="20"/>
                <w:color w:val="auto"/>
              </w:rPr>
            </w:pPr>
            <w:r>
              <w:rPr>
                <w:rFonts w:ascii="Arial" w:cs="Arial" w:eastAsia="Arial" w:hAnsi="Arial"/>
                <w:sz w:val="16"/>
                <w:szCs w:val="16"/>
                <w:color w:val="001641"/>
              </w:rPr>
              <w:t>Williams-Sonoma, Inc.</w:t>
            </w:r>
          </w:p>
        </w:tc>
      </w:tr>
      <w:tr>
        <w:trPr>
          <w:trHeight w:val="43"/>
        </w:trPr>
        <w:tc>
          <w:tcPr>
            <w:tcW w:w="2100" w:type="dxa"/>
            <w:vAlign w:val="bottom"/>
            <w:tcBorders>
              <w:bottom w:val="single" w:sz="8" w:color="BFA071"/>
            </w:tcBorders>
          </w:tcPr>
          <w:p>
            <w:pPr>
              <w:spacing w:after="0"/>
              <w:rPr>
                <w:sz w:val="3"/>
                <w:szCs w:val="3"/>
                <w:color w:val="auto"/>
              </w:rPr>
            </w:pPr>
          </w:p>
        </w:tc>
        <w:tc>
          <w:tcPr>
            <w:tcW w:w="2120" w:type="dxa"/>
            <w:vAlign w:val="bottom"/>
            <w:tcBorders>
              <w:bottom w:val="single" w:sz="8" w:color="BFA071"/>
            </w:tcBorders>
          </w:tcPr>
          <w:p>
            <w:pPr>
              <w:spacing w:after="0"/>
              <w:rPr>
                <w:sz w:val="3"/>
                <w:szCs w:val="3"/>
                <w:color w:val="auto"/>
              </w:rPr>
            </w:pPr>
          </w:p>
        </w:tc>
        <w:tc>
          <w:tcPr>
            <w:tcW w:w="2000" w:type="dxa"/>
            <w:vAlign w:val="bottom"/>
            <w:tcBorders>
              <w:bottom w:val="single" w:sz="8" w:color="BFA071"/>
            </w:tcBorders>
          </w:tcPr>
          <w:p>
            <w:pPr>
              <w:spacing w:after="0"/>
              <w:rPr>
                <w:sz w:val="3"/>
                <w:szCs w:val="3"/>
                <w:color w:val="auto"/>
              </w:rPr>
            </w:pPr>
          </w:p>
        </w:tc>
        <w:tc>
          <w:tcPr>
            <w:tcW w:w="2800" w:type="dxa"/>
            <w:vAlign w:val="bottom"/>
            <w:tcBorders>
              <w:bottom w:val="single" w:sz="8" w:color="BFA071"/>
            </w:tcBorders>
          </w:tcPr>
          <w:p>
            <w:pPr>
              <w:spacing w:after="0"/>
              <w:rPr>
                <w:sz w:val="3"/>
                <w:szCs w:val="3"/>
                <w:color w:val="auto"/>
              </w:rPr>
            </w:pPr>
          </w:p>
        </w:tc>
      </w:tr>
      <w:tr>
        <w:trPr>
          <w:trHeight w:val="235"/>
        </w:trPr>
        <w:tc>
          <w:tcPr>
            <w:tcW w:w="2100" w:type="dxa"/>
            <w:vAlign w:val="bottom"/>
            <w:tcBorders>
              <w:bottom w:val="single" w:sz="8" w:color="BFA071"/>
            </w:tcBorders>
          </w:tcPr>
          <w:p>
            <w:pPr>
              <w:ind w:left="160"/>
              <w:spacing w:after="0"/>
              <w:rPr>
                <w:sz w:val="20"/>
                <w:szCs w:val="20"/>
                <w:color w:val="auto"/>
              </w:rPr>
            </w:pPr>
            <w:r>
              <w:rPr>
                <w:rFonts w:ascii="Arial" w:cs="Arial" w:eastAsia="Arial" w:hAnsi="Arial"/>
                <w:sz w:val="16"/>
                <w:szCs w:val="16"/>
                <w:color w:val="001641"/>
              </w:rPr>
              <w:t>G-III Apparel, Ltd.</w:t>
            </w:r>
          </w:p>
        </w:tc>
        <w:tc>
          <w:tcPr>
            <w:tcW w:w="2120" w:type="dxa"/>
            <w:vAlign w:val="bottom"/>
            <w:tcBorders>
              <w:bottom w:val="single" w:sz="8" w:color="BFA071"/>
            </w:tcBorders>
          </w:tcPr>
          <w:p>
            <w:pPr>
              <w:ind w:left="160"/>
              <w:spacing w:after="0"/>
              <w:rPr>
                <w:sz w:val="20"/>
                <w:szCs w:val="20"/>
                <w:color w:val="auto"/>
              </w:rPr>
            </w:pPr>
            <w:r>
              <w:rPr>
                <w:rFonts w:ascii="Arial" w:cs="Arial" w:eastAsia="Arial" w:hAnsi="Arial"/>
                <w:sz w:val="16"/>
                <w:szCs w:val="16"/>
                <w:color w:val="001641"/>
              </w:rPr>
              <w:t>Macy’s Inc.</w:t>
            </w:r>
          </w:p>
        </w:tc>
        <w:tc>
          <w:tcPr>
            <w:tcW w:w="2000" w:type="dxa"/>
            <w:vAlign w:val="bottom"/>
            <w:tcBorders>
              <w:bottom w:val="single" w:sz="8" w:color="BFA071"/>
            </w:tcBorders>
          </w:tcPr>
          <w:p>
            <w:pPr>
              <w:ind w:left="320"/>
              <w:spacing w:after="0"/>
              <w:rPr>
                <w:sz w:val="20"/>
                <w:szCs w:val="20"/>
                <w:color w:val="auto"/>
              </w:rPr>
            </w:pPr>
            <w:r>
              <w:rPr>
                <w:rFonts w:ascii="Arial" w:cs="Arial" w:eastAsia="Arial" w:hAnsi="Arial"/>
                <w:sz w:val="16"/>
                <w:szCs w:val="16"/>
                <w:color w:val="001641"/>
              </w:rPr>
              <w:t>Tapestry, Inc.</w:t>
            </w:r>
          </w:p>
        </w:tc>
        <w:tc>
          <w:tcPr>
            <w:tcW w:w="2800" w:type="dxa"/>
            <w:vAlign w:val="bottom"/>
            <w:tcBorders>
              <w:bottom w:val="single" w:sz="8" w:color="BFA071"/>
            </w:tcBorders>
          </w:tcPr>
          <w:p>
            <w:pPr>
              <w:spacing w:after="0"/>
              <w:rPr>
                <w:sz w:val="20"/>
                <w:szCs w:val="20"/>
                <w:color w:val="auto"/>
              </w:rPr>
            </w:pPr>
          </w:p>
        </w:tc>
      </w:tr>
    </w:tbl>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performance and payout levels for the PSUs-Relative TSR are summarized as follows:</w:t>
      </w:r>
    </w:p>
    <w:p>
      <w:pPr>
        <w:spacing w:after="0" w:line="195" w:lineRule="exact"/>
        <w:rPr>
          <w:sz w:val="20"/>
          <w:szCs w:val="20"/>
          <w:color w:val="auto"/>
        </w:rPr>
      </w:pPr>
    </w:p>
    <w:tbl>
      <w:tblPr>
        <w:tblLayout w:type="fixed"/>
        <w:tblInd w:w="6" w:type="dxa"/>
        <w:tblCellMar>
          <w:top w:w="0" w:type="dxa"/>
          <w:left w:w="0" w:type="dxa"/>
          <w:bottom w:w="0" w:type="dxa"/>
          <w:right w:w="0" w:type="dxa"/>
        </w:tblCellMar>
      </w:tblPr>
      <w:tr>
        <w:trPr>
          <w:trHeight w:val="291"/>
        </w:trPr>
        <w:tc>
          <w:tcPr>
            <w:tcW w:w="2300" w:type="dxa"/>
            <w:vAlign w:val="bottom"/>
            <w:tcBorders>
              <w:bottom w:val="single" w:sz="8" w:color="001641"/>
            </w:tcBorders>
            <w:shd w:val="clear" w:color="auto" w:fill="001641"/>
          </w:tcPr>
          <w:p>
            <w:pPr>
              <w:ind w:left="160"/>
              <w:spacing w:after="0"/>
              <w:rPr>
                <w:sz w:val="20"/>
                <w:szCs w:val="20"/>
                <w:color w:val="auto"/>
              </w:rPr>
            </w:pPr>
            <w:r>
              <w:rPr>
                <w:rFonts w:ascii="Arial" w:cs="Arial" w:eastAsia="Arial" w:hAnsi="Arial"/>
                <w:sz w:val="14"/>
                <w:szCs w:val="14"/>
                <w:b w:val="1"/>
                <w:bCs w:val="1"/>
                <w:color w:val="FFFFFF"/>
              </w:rPr>
              <w:t>Performance Level</w:t>
            </w:r>
          </w:p>
        </w:tc>
        <w:tc>
          <w:tcPr>
            <w:tcW w:w="3800" w:type="dxa"/>
            <w:vAlign w:val="bottom"/>
            <w:tcBorders>
              <w:bottom w:val="single" w:sz="8" w:color="001641"/>
            </w:tcBorders>
            <w:shd w:val="clear" w:color="auto" w:fill="001641"/>
          </w:tcPr>
          <w:p>
            <w:pPr>
              <w:ind w:left="860"/>
              <w:spacing w:after="0"/>
              <w:rPr>
                <w:sz w:val="20"/>
                <w:szCs w:val="20"/>
                <w:color w:val="auto"/>
              </w:rPr>
            </w:pPr>
            <w:r>
              <w:rPr>
                <w:rFonts w:ascii="Arial" w:cs="Arial" w:eastAsia="Arial" w:hAnsi="Arial"/>
                <w:sz w:val="14"/>
                <w:szCs w:val="14"/>
                <w:b w:val="1"/>
                <w:bCs w:val="1"/>
                <w:color w:val="FFFFFF"/>
              </w:rPr>
              <w:t>Relative TSR Performance</w:t>
            </w:r>
          </w:p>
        </w:tc>
        <w:tc>
          <w:tcPr>
            <w:tcW w:w="3080" w:type="dxa"/>
            <w:vAlign w:val="bottom"/>
            <w:tcBorders>
              <w:bottom w:val="single" w:sz="8" w:color="BFA071"/>
            </w:tcBorders>
            <w:shd w:val="clear" w:color="auto" w:fill="BFA071"/>
          </w:tcPr>
          <w:p>
            <w:pPr>
              <w:ind w:left="920"/>
              <w:spacing w:after="0"/>
              <w:rPr>
                <w:sz w:val="20"/>
                <w:szCs w:val="20"/>
                <w:color w:val="auto"/>
              </w:rPr>
            </w:pPr>
            <w:r>
              <w:rPr>
                <w:rFonts w:ascii="Arial" w:cs="Arial" w:eastAsia="Arial" w:hAnsi="Arial"/>
                <w:sz w:val="14"/>
                <w:szCs w:val="14"/>
                <w:b w:val="1"/>
                <w:bCs w:val="1"/>
                <w:color w:val="FFFFFF"/>
              </w:rPr>
              <w:t>% of PSUs Vested</w:t>
            </w:r>
          </w:p>
        </w:tc>
      </w:tr>
      <w:tr>
        <w:trPr>
          <w:trHeight w:val="297"/>
        </w:trPr>
        <w:tc>
          <w:tcPr>
            <w:tcW w:w="2300" w:type="dxa"/>
            <w:vAlign w:val="bottom"/>
            <w:tcBorders>
              <w:bottom w:val="single" w:sz="8" w:color="BFA071"/>
            </w:tcBorders>
          </w:tcPr>
          <w:p>
            <w:pPr>
              <w:ind w:left="160"/>
              <w:spacing w:after="0"/>
              <w:rPr>
                <w:sz w:val="20"/>
                <w:szCs w:val="20"/>
                <w:color w:val="auto"/>
              </w:rPr>
            </w:pPr>
            <w:r>
              <w:rPr>
                <w:rFonts w:ascii="Arial" w:cs="Arial" w:eastAsia="Arial" w:hAnsi="Arial"/>
                <w:sz w:val="14"/>
                <w:szCs w:val="14"/>
                <w:b w:val="1"/>
                <w:bCs w:val="1"/>
                <w:color w:val="001641"/>
              </w:rPr>
              <w:t>Below Threshold</w:t>
            </w:r>
          </w:p>
        </w:tc>
        <w:tc>
          <w:tcPr>
            <w:tcW w:w="3800" w:type="dxa"/>
            <w:vAlign w:val="bottom"/>
            <w:tcBorders>
              <w:bottom w:val="single" w:sz="8" w:color="BFA071"/>
            </w:tcBorders>
          </w:tcPr>
          <w:p>
            <w:pPr>
              <w:ind w:left="860"/>
              <w:spacing w:after="0"/>
              <w:rPr>
                <w:sz w:val="20"/>
                <w:szCs w:val="20"/>
                <w:color w:val="auto"/>
              </w:rPr>
            </w:pPr>
            <w:r>
              <w:rPr>
                <w:rFonts w:ascii="Arial" w:cs="Arial" w:eastAsia="Arial" w:hAnsi="Arial"/>
                <w:sz w:val="14"/>
                <w:szCs w:val="14"/>
                <w:color w:val="001641"/>
              </w:rPr>
              <w:t>Below 30</w:t>
            </w:r>
            <w:r>
              <w:rPr>
                <w:rFonts w:ascii="Arial" w:cs="Arial" w:eastAsia="Arial" w:hAnsi="Arial"/>
                <w:sz w:val="23"/>
                <w:szCs w:val="23"/>
                <w:color w:val="001641"/>
                <w:vertAlign w:val="superscript"/>
              </w:rPr>
              <w:t>th</w:t>
            </w:r>
            <w:r>
              <w:rPr>
                <w:rFonts w:ascii="Arial" w:cs="Arial" w:eastAsia="Arial" w:hAnsi="Arial"/>
                <w:sz w:val="14"/>
                <w:szCs w:val="14"/>
                <w:color w:val="001641"/>
              </w:rPr>
              <w:t xml:space="preserve"> Percentile</w:t>
            </w:r>
          </w:p>
        </w:tc>
        <w:tc>
          <w:tcPr>
            <w:tcW w:w="3080" w:type="dxa"/>
            <w:vAlign w:val="bottom"/>
            <w:tcBorders>
              <w:bottom w:val="single" w:sz="8" w:color="BFA071"/>
            </w:tcBorders>
            <w:shd w:val="clear" w:color="auto" w:fill="EBE1D2"/>
          </w:tcPr>
          <w:p>
            <w:pPr>
              <w:jc w:val="center"/>
              <w:spacing w:after="0"/>
              <w:rPr>
                <w:sz w:val="20"/>
                <w:szCs w:val="20"/>
                <w:color w:val="auto"/>
              </w:rPr>
            </w:pPr>
            <w:r>
              <w:rPr>
                <w:rFonts w:ascii="Arial" w:cs="Arial" w:eastAsia="Arial" w:hAnsi="Arial"/>
                <w:sz w:val="14"/>
                <w:szCs w:val="14"/>
                <w:color w:val="001641"/>
              </w:rPr>
              <w:t>0%</w:t>
            </w:r>
          </w:p>
        </w:tc>
      </w:tr>
      <w:tr>
        <w:trPr>
          <w:trHeight w:val="291"/>
        </w:trPr>
        <w:tc>
          <w:tcPr>
            <w:tcW w:w="2300" w:type="dxa"/>
            <w:vAlign w:val="bottom"/>
            <w:tcBorders>
              <w:bottom w:val="single" w:sz="8" w:color="BFA071"/>
            </w:tcBorders>
          </w:tcPr>
          <w:p>
            <w:pPr>
              <w:ind w:left="160"/>
              <w:spacing w:after="0"/>
              <w:rPr>
                <w:sz w:val="20"/>
                <w:szCs w:val="20"/>
                <w:color w:val="auto"/>
              </w:rPr>
            </w:pPr>
            <w:r>
              <w:rPr>
                <w:rFonts w:ascii="Arial" w:cs="Arial" w:eastAsia="Arial" w:hAnsi="Arial"/>
                <w:sz w:val="14"/>
                <w:szCs w:val="14"/>
                <w:b w:val="1"/>
                <w:bCs w:val="1"/>
                <w:color w:val="001641"/>
              </w:rPr>
              <w:t>Threshold</w:t>
            </w:r>
          </w:p>
        </w:tc>
        <w:tc>
          <w:tcPr>
            <w:tcW w:w="3800" w:type="dxa"/>
            <w:vAlign w:val="bottom"/>
            <w:tcBorders>
              <w:bottom w:val="single" w:sz="8" w:color="BFA071"/>
            </w:tcBorders>
          </w:tcPr>
          <w:p>
            <w:pPr>
              <w:ind w:left="860"/>
              <w:spacing w:after="0"/>
              <w:rPr>
                <w:sz w:val="20"/>
                <w:szCs w:val="20"/>
                <w:color w:val="auto"/>
              </w:rPr>
            </w:pPr>
            <w:r>
              <w:rPr>
                <w:rFonts w:ascii="Arial" w:cs="Arial" w:eastAsia="Arial" w:hAnsi="Arial"/>
                <w:sz w:val="14"/>
                <w:szCs w:val="14"/>
                <w:color w:val="001641"/>
              </w:rPr>
              <w:t>30</w:t>
            </w:r>
            <w:r>
              <w:rPr>
                <w:rFonts w:ascii="Arial" w:cs="Arial" w:eastAsia="Arial" w:hAnsi="Arial"/>
                <w:sz w:val="23"/>
                <w:szCs w:val="23"/>
                <w:color w:val="001641"/>
                <w:vertAlign w:val="superscript"/>
              </w:rPr>
              <w:t>th</w:t>
            </w:r>
            <w:r>
              <w:rPr>
                <w:rFonts w:ascii="Arial" w:cs="Arial" w:eastAsia="Arial" w:hAnsi="Arial"/>
                <w:sz w:val="14"/>
                <w:szCs w:val="14"/>
                <w:color w:val="001641"/>
              </w:rPr>
              <w:t xml:space="preserve"> Percentile</w:t>
            </w:r>
          </w:p>
        </w:tc>
        <w:tc>
          <w:tcPr>
            <w:tcW w:w="3080" w:type="dxa"/>
            <w:vAlign w:val="bottom"/>
            <w:tcBorders>
              <w:bottom w:val="single" w:sz="8" w:color="BFA071"/>
            </w:tcBorders>
            <w:shd w:val="clear" w:color="auto" w:fill="EBE1D2"/>
          </w:tcPr>
          <w:p>
            <w:pPr>
              <w:jc w:val="center"/>
              <w:spacing w:after="0"/>
              <w:rPr>
                <w:sz w:val="20"/>
                <w:szCs w:val="20"/>
                <w:color w:val="auto"/>
              </w:rPr>
            </w:pPr>
            <w:r>
              <w:rPr>
                <w:rFonts w:ascii="Arial" w:cs="Arial" w:eastAsia="Arial" w:hAnsi="Arial"/>
                <w:sz w:val="14"/>
                <w:szCs w:val="14"/>
                <w:color w:val="001641"/>
              </w:rPr>
              <w:t>50%</w:t>
            </w:r>
          </w:p>
        </w:tc>
      </w:tr>
      <w:tr>
        <w:trPr>
          <w:trHeight w:val="290"/>
        </w:trPr>
        <w:tc>
          <w:tcPr>
            <w:tcW w:w="2300" w:type="dxa"/>
            <w:vAlign w:val="bottom"/>
            <w:tcBorders>
              <w:bottom w:val="single" w:sz="8" w:color="BFA071"/>
            </w:tcBorders>
          </w:tcPr>
          <w:p>
            <w:pPr>
              <w:ind w:left="160"/>
              <w:spacing w:after="0"/>
              <w:rPr>
                <w:sz w:val="20"/>
                <w:szCs w:val="20"/>
                <w:color w:val="auto"/>
              </w:rPr>
            </w:pPr>
            <w:r>
              <w:rPr>
                <w:rFonts w:ascii="Arial" w:cs="Arial" w:eastAsia="Arial" w:hAnsi="Arial"/>
                <w:sz w:val="14"/>
                <w:szCs w:val="14"/>
                <w:b w:val="1"/>
                <w:bCs w:val="1"/>
                <w:color w:val="001641"/>
              </w:rPr>
              <w:t>Target</w:t>
            </w:r>
          </w:p>
        </w:tc>
        <w:tc>
          <w:tcPr>
            <w:tcW w:w="3800" w:type="dxa"/>
            <w:vAlign w:val="bottom"/>
            <w:tcBorders>
              <w:bottom w:val="single" w:sz="8" w:color="BFA071"/>
            </w:tcBorders>
          </w:tcPr>
          <w:p>
            <w:pPr>
              <w:ind w:left="860"/>
              <w:spacing w:after="0"/>
              <w:rPr>
                <w:sz w:val="20"/>
                <w:szCs w:val="20"/>
                <w:color w:val="auto"/>
              </w:rPr>
            </w:pPr>
            <w:r>
              <w:rPr>
                <w:rFonts w:ascii="Arial" w:cs="Arial" w:eastAsia="Arial" w:hAnsi="Arial"/>
                <w:sz w:val="14"/>
                <w:szCs w:val="14"/>
                <w:color w:val="001641"/>
              </w:rPr>
              <w:t>50</w:t>
            </w:r>
            <w:r>
              <w:rPr>
                <w:rFonts w:ascii="Arial" w:cs="Arial" w:eastAsia="Arial" w:hAnsi="Arial"/>
                <w:sz w:val="23"/>
                <w:szCs w:val="23"/>
                <w:color w:val="001641"/>
                <w:vertAlign w:val="superscript"/>
              </w:rPr>
              <w:t>th</w:t>
            </w:r>
            <w:r>
              <w:rPr>
                <w:rFonts w:ascii="Arial" w:cs="Arial" w:eastAsia="Arial" w:hAnsi="Arial"/>
                <w:sz w:val="14"/>
                <w:szCs w:val="14"/>
                <w:color w:val="001641"/>
              </w:rPr>
              <w:t xml:space="preserve"> Percentile</w:t>
            </w:r>
          </w:p>
        </w:tc>
        <w:tc>
          <w:tcPr>
            <w:tcW w:w="3080" w:type="dxa"/>
            <w:vAlign w:val="bottom"/>
            <w:tcBorders>
              <w:bottom w:val="single" w:sz="8" w:color="BFA071"/>
            </w:tcBorders>
            <w:shd w:val="clear" w:color="auto" w:fill="EBE1D2"/>
          </w:tcPr>
          <w:p>
            <w:pPr>
              <w:jc w:val="center"/>
              <w:spacing w:after="0"/>
              <w:rPr>
                <w:sz w:val="20"/>
                <w:szCs w:val="20"/>
                <w:color w:val="auto"/>
              </w:rPr>
            </w:pPr>
            <w:r>
              <w:rPr>
                <w:rFonts w:ascii="Arial" w:cs="Arial" w:eastAsia="Arial" w:hAnsi="Arial"/>
                <w:sz w:val="14"/>
                <w:szCs w:val="14"/>
                <w:color w:val="001641"/>
              </w:rPr>
              <w:t>100%</w:t>
            </w:r>
          </w:p>
        </w:tc>
      </w:tr>
      <w:tr>
        <w:trPr>
          <w:trHeight w:val="291"/>
        </w:trPr>
        <w:tc>
          <w:tcPr>
            <w:tcW w:w="2300" w:type="dxa"/>
            <w:vAlign w:val="bottom"/>
            <w:tcBorders>
              <w:bottom w:val="single" w:sz="8" w:color="BFA071"/>
            </w:tcBorders>
          </w:tcPr>
          <w:p>
            <w:pPr>
              <w:ind w:left="160"/>
              <w:spacing w:after="0"/>
              <w:rPr>
                <w:sz w:val="20"/>
                <w:szCs w:val="20"/>
                <w:color w:val="auto"/>
              </w:rPr>
            </w:pPr>
            <w:r>
              <w:rPr>
                <w:rFonts w:ascii="Arial" w:cs="Arial" w:eastAsia="Arial" w:hAnsi="Arial"/>
                <w:sz w:val="14"/>
                <w:szCs w:val="14"/>
                <w:b w:val="1"/>
                <w:bCs w:val="1"/>
                <w:color w:val="001641"/>
              </w:rPr>
              <w:t>Stretch</w:t>
            </w:r>
          </w:p>
        </w:tc>
        <w:tc>
          <w:tcPr>
            <w:tcW w:w="3800" w:type="dxa"/>
            <w:vAlign w:val="bottom"/>
            <w:tcBorders>
              <w:bottom w:val="single" w:sz="8" w:color="BFA071"/>
            </w:tcBorders>
          </w:tcPr>
          <w:p>
            <w:pPr>
              <w:ind w:left="860"/>
              <w:spacing w:after="0"/>
              <w:rPr>
                <w:sz w:val="20"/>
                <w:szCs w:val="20"/>
                <w:color w:val="auto"/>
              </w:rPr>
            </w:pPr>
            <w:r>
              <w:rPr>
                <w:rFonts w:ascii="Arial" w:cs="Arial" w:eastAsia="Arial" w:hAnsi="Arial"/>
                <w:sz w:val="14"/>
                <w:szCs w:val="14"/>
                <w:color w:val="001641"/>
              </w:rPr>
              <w:t>70</w:t>
            </w:r>
            <w:r>
              <w:rPr>
                <w:rFonts w:ascii="Arial" w:cs="Arial" w:eastAsia="Arial" w:hAnsi="Arial"/>
                <w:sz w:val="23"/>
                <w:szCs w:val="23"/>
                <w:color w:val="001641"/>
                <w:vertAlign w:val="superscript"/>
              </w:rPr>
              <w:t>th</w:t>
            </w:r>
            <w:r>
              <w:rPr>
                <w:rFonts w:ascii="Arial" w:cs="Arial" w:eastAsia="Arial" w:hAnsi="Arial"/>
                <w:sz w:val="14"/>
                <w:szCs w:val="14"/>
                <w:color w:val="001641"/>
              </w:rPr>
              <w:t xml:space="preserve"> Percentile</w:t>
            </w:r>
          </w:p>
        </w:tc>
        <w:tc>
          <w:tcPr>
            <w:tcW w:w="3080" w:type="dxa"/>
            <w:vAlign w:val="bottom"/>
            <w:tcBorders>
              <w:bottom w:val="single" w:sz="8" w:color="BFA071"/>
            </w:tcBorders>
            <w:shd w:val="clear" w:color="auto" w:fill="EBE1D2"/>
          </w:tcPr>
          <w:p>
            <w:pPr>
              <w:jc w:val="center"/>
              <w:spacing w:after="0"/>
              <w:rPr>
                <w:sz w:val="20"/>
                <w:szCs w:val="20"/>
                <w:color w:val="auto"/>
              </w:rPr>
            </w:pPr>
            <w:r>
              <w:rPr>
                <w:rFonts w:ascii="Arial" w:cs="Arial" w:eastAsia="Arial" w:hAnsi="Arial"/>
                <w:sz w:val="14"/>
                <w:szCs w:val="14"/>
                <w:color w:val="001641"/>
              </w:rPr>
              <w:t>150%</w:t>
            </w:r>
          </w:p>
        </w:tc>
      </w:tr>
      <w:tr>
        <w:trPr>
          <w:trHeight w:val="257"/>
        </w:trPr>
        <w:tc>
          <w:tcPr>
            <w:tcW w:w="2300" w:type="dxa"/>
            <w:vAlign w:val="bottom"/>
          </w:tcPr>
          <w:p>
            <w:pPr>
              <w:ind w:left="160"/>
              <w:spacing w:after="0"/>
              <w:rPr>
                <w:sz w:val="20"/>
                <w:szCs w:val="20"/>
                <w:color w:val="auto"/>
              </w:rPr>
            </w:pPr>
            <w:r>
              <w:rPr>
                <w:rFonts w:ascii="Arial" w:cs="Arial" w:eastAsia="Arial" w:hAnsi="Arial"/>
                <w:sz w:val="14"/>
                <w:szCs w:val="14"/>
                <w:b w:val="1"/>
                <w:bCs w:val="1"/>
                <w:color w:val="001641"/>
              </w:rPr>
              <w:t>Maximum</w:t>
            </w:r>
          </w:p>
        </w:tc>
        <w:tc>
          <w:tcPr>
            <w:tcW w:w="3800" w:type="dxa"/>
            <w:vAlign w:val="bottom"/>
          </w:tcPr>
          <w:p>
            <w:pPr>
              <w:ind w:left="860"/>
              <w:spacing w:after="0" w:line="236" w:lineRule="exact"/>
              <w:rPr>
                <w:sz w:val="20"/>
                <w:szCs w:val="20"/>
                <w:color w:val="auto"/>
              </w:rPr>
            </w:pPr>
            <w:r>
              <w:rPr>
                <w:rFonts w:ascii="Arial" w:cs="Arial" w:eastAsia="Arial" w:hAnsi="Arial"/>
                <w:sz w:val="14"/>
                <w:szCs w:val="14"/>
                <w:color w:val="001641"/>
              </w:rPr>
              <w:t>90</w:t>
            </w:r>
            <w:r>
              <w:rPr>
                <w:rFonts w:ascii="Arial" w:cs="Arial" w:eastAsia="Arial" w:hAnsi="Arial"/>
                <w:sz w:val="23"/>
                <w:szCs w:val="23"/>
                <w:color w:val="001641"/>
                <w:vertAlign w:val="superscript"/>
              </w:rPr>
              <w:t>th</w:t>
            </w:r>
            <w:r>
              <w:rPr>
                <w:rFonts w:ascii="Arial" w:cs="Arial" w:eastAsia="Arial" w:hAnsi="Arial"/>
                <w:sz w:val="14"/>
                <w:szCs w:val="14"/>
                <w:color w:val="001641"/>
              </w:rPr>
              <w:t xml:space="preserve"> Percentile and above</w:t>
            </w:r>
          </w:p>
        </w:tc>
        <w:tc>
          <w:tcPr>
            <w:tcW w:w="3080" w:type="dxa"/>
            <w:vAlign w:val="bottom"/>
            <w:tcBorders>
              <w:bottom w:val="single" w:sz="8" w:color="EBE1D2"/>
            </w:tcBorders>
            <w:shd w:val="clear" w:color="auto" w:fill="EBE1D2"/>
          </w:tcPr>
          <w:p>
            <w:pPr>
              <w:jc w:val="center"/>
              <w:spacing w:after="0"/>
              <w:rPr>
                <w:sz w:val="20"/>
                <w:szCs w:val="20"/>
                <w:color w:val="auto"/>
              </w:rPr>
            </w:pPr>
            <w:r>
              <w:rPr>
                <w:rFonts w:ascii="Arial" w:cs="Arial" w:eastAsia="Arial" w:hAnsi="Arial"/>
                <w:sz w:val="14"/>
                <w:szCs w:val="14"/>
                <w:color w:val="001641"/>
              </w:rPr>
              <w:t>200%</w:t>
            </w:r>
          </w:p>
        </w:tc>
      </w:tr>
      <w:tr>
        <w:trPr>
          <w:trHeight w:val="20"/>
        </w:trPr>
        <w:tc>
          <w:tcPr>
            <w:tcW w:w="2300" w:type="dxa"/>
            <w:vAlign w:val="bottom"/>
            <w:shd w:val="clear" w:color="auto" w:fill="001641"/>
          </w:tcPr>
          <w:p>
            <w:pPr>
              <w:spacing w:after="0" w:line="20" w:lineRule="exact"/>
              <w:rPr>
                <w:sz w:val="1"/>
                <w:szCs w:val="1"/>
                <w:color w:val="auto"/>
              </w:rPr>
            </w:pPr>
          </w:p>
        </w:tc>
        <w:tc>
          <w:tcPr>
            <w:tcW w:w="3800" w:type="dxa"/>
            <w:vAlign w:val="bottom"/>
            <w:shd w:val="clear" w:color="auto" w:fill="001641"/>
          </w:tcPr>
          <w:p>
            <w:pPr>
              <w:spacing w:after="0" w:line="20" w:lineRule="exact"/>
              <w:rPr>
                <w:sz w:val="1"/>
                <w:szCs w:val="1"/>
                <w:color w:val="auto"/>
              </w:rPr>
            </w:pPr>
          </w:p>
        </w:tc>
        <w:tc>
          <w:tcPr>
            <w:tcW w:w="3080" w:type="dxa"/>
            <w:vAlign w:val="bottom"/>
            <w:shd w:val="clear" w:color="auto" w:fill="001641"/>
          </w:tcPr>
          <w:p>
            <w:pPr>
              <w:spacing w:after="0" w:line="20" w:lineRule="exact"/>
              <w:rPr>
                <w:sz w:val="1"/>
                <w:szCs w:val="1"/>
                <w:color w:val="auto"/>
              </w:rPr>
            </w:pPr>
          </w:p>
        </w:tc>
      </w:tr>
    </w:tbl>
    <w:p>
      <w:pPr>
        <w:spacing w:after="0" w:line="155" w:lineRule="exact"/>
        <w:rPr>
          <w:sz w:val="20"/>
          <w:szCs w:val="20"/>
          <w:color w:val="auto"/>
        </w:rPr>
      </w:pPr>
    </w:p>
    <w:p>
      <w:pPr>
        <w:ind w:left="6" w:right="220"/>
        <w:spacing w:after="0" w:line="282" w:lineRule="auto"/>
        <w:rPr>
          <w:sz w:val="20"/>
          <w:szCs w:val="20"/>
          <w:color w:val="auto"/>
        </w:rPr>
      </w:pPr>
      <w:r>
        <w:rPr>
          <w:rFonts w:ascii="Arial" w:cs="Arial" w:eastAsia="Arial" w:hAnsi="Arial"/>
          <w:sz w:val="14"/>
          <w:szCs w:val="14"/>
          <w:i w:val="1"/>
          <w:iCs w:val="1"/>
          <w:color w:val="4C4C4C"/>
        </w:rPr>
        <w:t>No payout is earned for performance below threshold. The number of PSUs earned is interpolated on a linear basis for performance between Threshold and Target, between Target and Stretch, and between Stretch and Maximum.</w:t>
      </w:r>
    </w:p>
    <w:p>
      <w:pPr>
        <w:spacing w:after="0" w:line="141" w:lineRule="exact"/>
        <w:rPr>
          <w:sz w:val="20"/>
          <w:szCs w:val="20"/>
          <w:color w:val="auto"/>
        </w:rPr>
      </w:pPr>
    </w:p>
    <w:p>
      <w:pPr>
        <w:ind w:left="166" w:right="340" w:hanging="166"/>
        <w:spacing w:after="0" w:line="286" w:lineRule="auto"/>
        <w:tabs>
          <w:tab w:leader="none" w:pos="166"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RSUs</w:t>
      </w:r>
      <w:r>
        <w:rPr>
          <w:rFonts w:ascii="Arial" w:cs="Arial" w:eastAsia="Arial" w:hAnsi="Arial"/>
          <w:sz w:val="16"/>
          <w:szCs w:val="16"/>
          <w:color w:val="auto"/>
        </w:rPr>
        <w:t>. RSUs granted to all NEOs, with the exception of Mr. R. Lauren, are time-based awards vesting on a pro-rata basis</w:t>
      </w:r>
      <w:r>
        <w:rPr>
          <w:rFonts w:ascii="Arial" w:cs="Arial" w:eastAsia="Arial" w:hAnsi="Arial"/>
          <w:sz w:val="16"/>
          <w:szCs w:val="16"/>
          <w:b w:val="1"/>
          <w:bCs w:val="1"/>
          <w:color w:val="auto"/>
        </w:rPr>
        <w:t xml:space="preserve"> </w:t>
      </w:r>
      <w:r>
        <w:rPr>
          <w:rFonts w:ascii="Arial" w:cs="Arial" w:eastAsia="Arial" w:hAnsi="Arial"/>
          <w:sz w:val="16"/>
          <w:szCs w:val="16"/>
          <w:color w:val="auto"/>
        </w:rPr>
        <w:t>over three years on the anniversary date of the grant.</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Fiscal 2026, each of our NEOs received long-term equity awards granted in the form of share units on August 15, 2025.</w:t>
      </w:r>
    </w:p>
    <w:p>
      <w:pPr>
        <w:spacing w:after="0" w:line="208" w:lineRule="exact"/>
        <w:rPr>
          <w:sz w:val="20"/>
          <w:szCs w:val="20"/>
          <w:color w:val="auto"/>
        </w:rPr>
      </w:pPr>
    </w:p>
    <w:tbl>
      <w:tblPr>
        <w:tblLayout w:type="fixed"/>
        <w:tblInd w:w="6" w:type="dxa"/>
        <w:tblCellMar>
          <w:top w:w="0" w:type="dxa"/>
          <w:left w:w="0" w:type="dxa"/>
          <w:bottom w:w="0" w:type="dxa"/>
          <w:right w:w="0" w:type="dxa"/>
        </w:tblCellMar>
      </w:tblPr>
      <w:tr>
        <w:trPr>
          <w:trHeight w:val="338"/>
        </w:trPr>
        <w:tc>
          <w:tcPr>
            <w:tcW w:w="100" w:type="dxa"/>
            <w:vAlign w:val="bottom"/>
            <w:shd w:val="clear" w:color="auto" w:fill="001641"/>
          </w:tcPr>
          <w:p>
            <w:pPr>
              <w:spacing w:after="0"/>
              <w:rPr>
                <w:sz w:val="24"/>
                <w:szCs w:val="24"/>
                <w:color w:val="auto"/>
              </w:rPr>
            </w:pPr>
          </w:p>
        </w:tc>
        <w:tc>
          <w:tcPr>
            <w:tcW w:w="4000" w:type="dxa"/>
            <w:vAlign w:val="bottom"/>
            <w:tcBorders>
              <w:right w:val="single" w:sz="8" w:color="BFA071"/>
            </w:tcBorders>
            <w:shd w:val="clear" w:color="auto" w:fill="001641"/>
          </w:tcPr>
          <w:p>
            <w:pPr>
              <w:ind w:left="60"/>
              <w:spacing w:after="0"/>
              <w:rPr>
                <w:sz w:val="20"/>
                <w:szCs w:val="20"/>
                <w:color w:val="auto"/>
              </w:rPr>
            </w:pPr>
            <w:r>
              <w:rPr>
                <w:rFonts w:ascii="Arial" w:cs="Arial" w:eastAsia="Arial" w:hAnsi="Arial"/>
                <w:sz w:val="14"/>
                <w:szCs w:val="14"/>
                <w:b w:val="1"/>
                <w:bCs w:val="1"/>
                <w:color w:val="FFFFFF"/>
              </w:rPr>
              <w:t>Name / Title</w:t>
            </w:r>
          </w:p>
        </w:tc>
        <w:tc>
          <w:tcPr>
            <w:tcW w:w="1640" w:type="dxa"/>
            <w:vAlign w:val="bottom"/>
            <w:shd w:val="clear" w:color="auto" w:fill="BFA071"/>
          </w:tcPr>
          <w:p>
            <w:pPr>
              <w:jc w:val="right"/>
              <w:ind w:right="28"/>
              <w:spacing w:after="0"/>
              <w:rPr>
                <w:sz w:val="20"/>
                <w:szCs w:val="20"/>
                <w:color w:val="auto"/>
              </w:rPr>
            </w:pPr>
            <w:r>
              <w:rPr>
                <w:rFonts w:ascii="Arial" w:cs="Arial" w:eastAsia="Arial" w:hAnsi="Arial"/>
                <w:sz w:val="14"/>
                <w:szCs w:val="14"/>
                <w:b w:val="1"/>
                <w:bCs w:val="1"/>
                <w:color w:val="FFFFFF"/>
              </w:rPr>
              <w:t>PSUs-Adjusted ROIC</w:t>
            </w:r>
            <w:r>
              <w:rPr>
                <w:rFonts w:ascii="Arial" w:cs="Arial" w:eastAsia="Arial" w:hAnsi="Arial"/>
                <w:sz w:val="23"/>
                <w:szCs w:val="23"/>
                <w:b w:val="1"/>
                <w:bCs w:val="1"/>
                <w:color w:val="FFFFFF"/>
                <w:vertAlign w:val="superscript"/>
              </w:rPr>
              <w:t>1</w:t>
            </w:r>
          </w:p>
        </w:tc>
        <w:tc>
          <w:tcPr>
            <w:tcW w:w="1740" w:type="dxa"/>
            <w:vAlign w:val="bottom"/>
            <w:tcBorders>
              <w:right w:val="single" w:sz="8" w:color="BFA071"/>
            </w:tcBorders>
            <w:shd w:val="clear" w:color="auto" w:fill="001641"/>
          </w:tcPr>
          <w:p>
            <w:pPr>
              <w:jc w:val="right"/>
              <w:ind w:right="148"/>
              <w:spacing w:after="0"/>
              <w:rPr>
                <w:sz w:val="20"/>
                <w:szCs w:val="20"/>
                <w:color w:val="auto"/>
              </w:rPr>
            </w:pPr>
            <w:r>
              <w:rPr>
                <w:rFonts w:ascii="Arial" w:cs="Arial" w:eastAsia="Arial" w:hAnsi="Arial"/>
                <w:sz w:val="14"/>
                <w:szCs w:val="14"/>
                <w:b w:val="1"/>
                <w:bCs w:val="1"/>
                <w:color w:val="FFFFFF"/>
              </w:rPr>
              <w:t>PSUs-Relative TSR</w:t>
            </w:r>
            <w:r>
              <w:rPr>
                <w:rFonts w:ascii="Arial" w:cs="Arial" w:eastAsia="Arial" w:hAnsi="Arial"/>
                <w:sz w:val="23"/>
                <w:szCs w:val="23"/>
                <w:b w:val="1"/>
                <w:bCs w:val="1"/>
                <w:color w:val="FFFFFF"/>
                <w:vertAlign w:val="superscript"/>
              </w:rPr>
              <w:t>1</w:t>
            </w:r>
          </w:p>
        </w:tc>
        <w:tc>
          <w:tcPr>
            <w:tcW w:w="1700" w:type="dxa"/>
            <w:vAlign w:val="bottom"/>
            <w:shd w:val="clear" w:color="auto" w:fill="BFA071"/>
          </w:tcPr>
          <w:p>
            <w:pPr>
              <w:ind w:left="300"/>
              <w:spacing w:after="0"/>
              <w:rPr>
                <w:sz w:val="20"/>
                <w:szCs w:val="20"/>
                <w:color w:val="auto"/>
              </w:rPr>
            </w:pPr>
            <w:r>
              <w:rPr>
                <w:rFonts w:ascii="Arial" w:cs="Arial" w:eastAsia="Arial" w:hAnsi="Arial"/>
                <w:sz w:val="14"/>
                <w:szCs w:val="14"/>
                <w:b w:val="1"/>
                <w:bCs w:val="1"/>
                <w:color w:val="FFFFFF"/>
              </w:rPr>
              <w:t>RSUs-Pro-rata</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4000" w:type="dxa"/>
            <w:vAlign w:val="bottom"/>
            <w:tcBorders>
              <w:right w:val="single" w:sz="8" w:color="EBE1D2"/>
            </w:tcBorders>
          </w:tcPr>
          <w:p>
            <w:pPr>
              <w:ind w:left="60"/>
              <w:spacing w:after="0"/>
              <w:rPr>
                <w:sz w:val="20"/>
                <w:szCs w:val="20"/>
                <w:color w:val="auto"/>
              </w:rPr>
            </w:pPr>
            <w:r>
              <w:rPr>
                <w:rFonts w:ascii="Arial" w:cs="Arial" w:eastAsia="Arial" w:hAnsi="Arial"/>
                <w:sz w:val="14"/>
                <w:szCs w:val="14"/>
                <w:b w:val="1"/>
                <w:bCs w:val="1"/>
                <w:color w:val="001641"/>
              </w:rPr>
              <w:t>Ralph Lauren</w:t>
            </w:r>
          </w:p>
        </w:tc>
        <w:tc>
          <w:tcPr>
            <w:tcW w:w="1640" w:type="dxa"/>
            <w:vAlign w:val="bottom"/>
            <w:vMerge w:val="restart"/>
            <w:shd w:val="clear" w:color="auto" w:fill="EBE1D2"/>
          </w:tcPr>
          <w:p>
            <w:pPr>
              <w:jc w:val="right"/>
              <w:ind w:right="528"/>
              <w:spacing w:after="0"/>
              <w:rPr>
                <w:sz w:val="20"/>
                <w:szCs w:val="20"/>
                <w:color w:val="auto"/>
              </w:rPr>
            </w:pPr>
            <w:r>
              <w:rPr>
                <w:rFonts w:ascii="Arial" w:cs="Arial" w:eastAsia="Arial" w:hAnsi="Arial"/>
                <w:sz w:val="14"/>
                <w:szCs w:val="14"/>
                <w:color w:val="001641"/>
              </w:rPr>
              <w:t>18,982</w:t>
            </w:r>
          </w:p>
        </w:tc>
        <w:tc>
          <w:tcPr>
            <w:tcW w:w="1740" w:type="dxa"/>
            <w:vAlign w:val="bottom"/>
            <w:tcBorders>
              <w:right w:val="single" w:sz="8" w:color="EBE1D2"/>
            </w:tcBorders>
            <w:vMerge w:val="restart"/>
          </w:tcPr>
          <w:p>
            <w:pPr>
              <w:jc w:val="right"/>
              <w:ind w:right="588"/>
              <w:spacing w:after="0"/>
              <w:rPr>
                <w:sz w:val="20"/>
                <w:szCs w:val="20"/>
                <w:color w:val="auto"/>
              </w:rPr>
            </w:pPr>
            <w:r>
              <w:rPr>
                <w:rFonts w:ascii="Arial" w:cs="Arial" w:eastAsia="Arial" w:hAnsi="Arial"/>
                <w:sz w:val="14"/>
                <w:szCs w:val="14"/>
                <w:color w:val="001641"/>
              </w:rPr>
              <w:t>12,360</w:t>
            </w:r>
          </w:p>
        </w:tc>
        <w:tc>
          <w:tcPr>
            <w:tcW w:w="1700" w:type="dxa"/>
            <w:vAlign w:val="bottom"/>
            <w:vMerge w:val="restart"/>
            <w:shd w:val="clear" w:color="auto" w:fill="EBE1D2"/>
          </w:tcPr>
          <w:p>
            <w:pPr>
              <w:jc w:val="center"/>
              <w:ind w:right="48"/>
              <w:spacing w:after="0"/>
              <w:rPr>
                <w:sz w:val="20"/>
                <w:szCs w:val="20"/>
                <w:color w:val="auto"/>
              </w:rPr>
            </w:pPr>
            <w:r>
              <w:rPr>
                <w:rFonts w:ascii="Arial" w:cs="Arial" w:eastAsia="Arial" w:hAnsi="Arial"/>
                <w:sz w:val="14"/>
                <w:szCs w:val="14"/>
                <w:color w:val="001641"/>
                <w:w w:val="99"/>
              </w:rPr>
              <w:t>—</w:t>
            </w: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4000" w:type="dxa"/>
            <w:vAlign w:val="bottom"/>
            <w:tcBorders>
              <w:right w:val="single" w:sz="8" w:color="EBE1D2"/>
            </w:tcBorders>
            <w:vMerge w:val="restart"/>
          </w:tcPr>
          <w:p>
            <w:pPr>
              <w:ind w:left="60"/>
              <w:spacing w:after="0"/>
              <w:rPr>
                <w:sz w:val="20"/>
                <w:szCs w:val="20"/>
                <w:color w:val="auto"/>
              </w:rPr>
            </w:pPr>
            <w:r>
              <w:rPr>
                <w:rFonts w:ascii="Arial" w:cs="Arial" w:eastAsia="Arial" w:hAnsi="Arial"/>
                <w:sz w:val="14"/>
                <w:szCs w:val="14"/>
                <w:i w:val="1"/>
                <w:iCs w:val="1"/>
                <w:color w:val="001641"/>
              </w:rPr>
              <w:t>Executive Chairman and Chief Creative Officer</w:t>
            </w:r>
          </w:p>
        </w:tc>
        <w:tc>
          <w:tcPr>
            <w:tcW w:w="1640" w:type="dxa"/>
            <w:vAlign w:val="bottom"/>
            <w:vMerge w:val="continue"/>
            <w:shd w:val="clear" w:color="auto" w:fill="EBE1D2"/>
          </w:tcPr>
          <w:p>
            <w:pPr>
              <w:spacing w:after="0"/>
              <w:rPr>
                <w:sz w:val="9"/>
                <w:szCs w:val="9"/>
                <w:color w:val="auto"/>
              </w:rPr>
            </w:pPr>
          </w:p>
        </w:tc>
        <w:tc>
          <w:tcPr>
            <w:tcW w:w="1740" w:type="dxa"/>
            <w:vAlign w:val="bottom"/>
            <w:tcBorders>
              <w:right w:val="single" w:sz="8" w:color="EBE1D2"/>
            </w:tcBorders>
            <w:vMerge w:val="continue"/>
          </w:tcPr>
          <w:p>
            <w:pPr>
              <w:spacing w:after="0"/>
              <w:rPr>
                <w:sz w:val="9"/>
                <w:szCs w:val="9"/>
                <w:color w:val="auto"/>
              </w:rPr>
            </w:pPr>
          </w:p>
        </w:tc>
        <w:tc>
          <w:tcPr>
            <w:tcW w:w="1700" w:type="dxa"/>
            <w:vAlign w:val="bottom"/>
            <w:vMerge w:val="continue"/>
            <w:shd w:val="clear" w:color="auto" w:fill="EBE1D2"/>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00" w:type="dxa"/>
            <w:vAlign w:val="bottom"/>
          </w:tcPr>
          <w:p>
            <w:pPr>
              <w:spacing w:after="0"/>
              <w:rPr>
                <w:sz w:val="10"/>
                <w:szCs w:val="10"/>
                <w:color w:val="auto"/>
              </w:rPr>
            </w:pPr>
          </w:p>
        </w:tc>
        <w:tc>
          <w:tcPr>
            <w:tcW w:w="4000" w:type="dxa"/>
            <w:vAlign w:val="bottom"/>
            <w:tcBorders>
              <w:right w:val="single" w:sz="8" w:color="EBE1D2"/>
            </w:tcBorders>
            <w:vMerge w:val="continue"/>
          </w:tcPr>
          <w:p>
            <w:pPr>
              <w:spacing w:after="0"/>
              <w:rPr>
                <w:sz w:val="10"/>
                <w:szCs w:val="10"/>
                <w:color w:val="auto"/>
              </w:rPr>
            </w:pPr>
          </w:p>
        </w:tc>
        <w:tc>
          <w:tcPr>
            <w:tcW w:w="1640" w:type="dxa"/>
            <w:vAlign w:val="bottom"/>
            <w:tcBorders>
              <w:bottom w:val="single" w:sz="8" w:color="EBE1D2"/>
            </w:tcBorders>
            <w:shd w:val="clear" w:color="auto" w:fill="EBE1D2"/>
          </w:tcPr>
          <w:p>
            <w:pPr>
              <w:spacing w:after="0"/>
              <w:rPr>
                <w:sz w:val="10"/>
                <w:szCs w:val="10"/>
                <w:color w:val="auto"/>
              </w:rPr>
            </w:pPr>
          </w:p>
        </w:tc>
        <w:tc>
          <w:tcPr>
            <w:tcW w:w="1740" w:type="dxa"/>
            <w:vAlign w:val="bottom"/>
            <w:tcBorders>
              <w:right w:val="single" w:sz="8" w:color="EBE1D2"/>
            </w:tcBorders>
          </w:tcPr>
          <w:p>
            <w:pPr>
              <w:spacing w:after="0"/>
              <w:rPr>
                <w:sz w:val="10"/>
                <w:szCs w:val="10"/>
                <w:color w:val="auto"/>
              </w:rPr>
            </w:pPr>
          </w:p>
        </w:tc>
        <w:tc>
          <w:tcPr>
            <w:tcW w:w="1700" w:type="dxa"/>
            <w:vAlign w:val="bottom"/>
            <w:tcBorders>
              <w:bottom w:val="single" w:sz="8" w:color="EBE1D2"/>
            </w:tcBorders>
            <w:shd w:val="clear" w:color="auto" w:fill="EBE1D2"/>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00" w:type="dxa"/>
            <w:vAlign w:val="bottom"/>
            <w:tcBorders>
              <w:top w:val="single" w:sz="8" w:color="BFA071"/>
            </w:tcBorders>
          </w:tcPr>
          <w:p>
            <w:pPr>
              <w:spacing w:after="0"/>
              <w:rPr>
                <w:sz w:val="17"/>
                <w:szCs w:val="17"/>
                <w:color w:val="auto"/>
              </w:rPr>
            </w:pPr>
          </w:p>
        </w:tc>
        <w:tc>
          <w:tcPr>
            <w:tcW w:w="4000" w:type="dxa"/>
            <w:vAlign w:val="bottom"/>
            <w:tcBorders>
              <w:top w:val="single" w:sz="8" w:color="BFA071"/>
              <w:right w:val="single" w:sz="8" w:color="EBE1D2"/>
            </w:tcBorders>
          </w:tcPr>
          <w:p>
            <w:pPr>
              <w:ind w:left="60"/>
              <w:spacing w:after="0"/>
              <w:rPr>
                <w:sz w:val="20"/>
                <w:szCs w:val="20"/>
                <w:color w:val="auto"/>
              </w:rPr>
            </w:pPr>
            <w:r>
              <w:rPr>
                <w:rFonts w:ascii="Arial" w:cs="Arial" w:eastAsia="Arial" w:hAnsi="Arial"/>
                <w:sz w:val="14"/>
                <w:szCs w:val="14"/>
                <w:b w:val="1"/>
                <w:bCs w:val="1"/>
                <w:color w:val="001641"/>
              </w:rPr>
              <w:t>Patrice Louvet</w:t>
            </w:r>
          </w:p>
        </w:tc>
        <w:tc>
          <w:tcPr>
            <w:tcW w:w="1640" w:type="dxa"/>
            <w:vAlign w:val="bottom"/>
            <w:tcBorders>
              <w:top w:val="single" w:sz="8" w:color="BFA071"/>
            </w:tcBorders>
            <w:vMerge w:val="restart"/>
            <w:shd w:val="clear" w:color="auto" w:fill="EBE1D2"/>
          </w:tcPr>
          <w:p>
            <w:pPr>
              <w:jc w:val="right"/>
              <w:ind w:right="528"/>
              <w:spacing w:after="0"/>
              <w:rPr>
                <w:sz w:val="20"/>
                <w:szCs w:val="20"/>
                <w:color w:val="auto"/>
              </w:rPr>
            </w:pPr>
            <w:r>
              <w:rPr>
                <w:rFonts w:ascii="Arial" w:cs="Arial" w:eastAsia="Arial" w:hAnsi="Arial"/>
                <w:sz w:val="14"/>
                <w:szCs w:val="14"/>
                <w:color w:val="001641"/>
              </w:rPr>
              <w:t>12,079</w:t>
            </w:r>
          </w:p>
        </w:tc>
        <w:tc>
          <w:tcPr>
            <w:tcW w:w="1740" w:type="dxa"/>
            <w:vAlign w:val="bottom"/>
            <w:tcBorders>
              <w:top w:val="single" w:sz="8" w:color="BFA071"/>
              <w:right w:val="single" w:sz="8" w:color="EBE1D2"/>
            </w:tcBorders>
            <w:vMerge w:val="restart"/>
          </w:tcPr>
          <w:p>
            <w:pPr>
              <w:jc w:val="right"/>
              <w:ind w:right="588"/>
              <w:spacing w:after="0"/>
              <w:rPr>
                <w:sz w:val="20"/>
                <w:szCs w:val="20"/>
                <w:color w:val="auto"/>
              </w:rPr>
            </w:pPr>
            <w:r>
              <w:rPr>
                <w:rFonts w:ascii="Arial" w:cs="Arial" w:eastAsia="Arial" w:hAnsi="Arial"/>
                <w:sz w:val="14"/>
                <w:szCs w:val="14"/>
                <w:color w:val="001641"/>
              </w:rPr>
              <w:t>8,128</w:t>
            </w:r>
          </w:p>
        </w:tc>
        <w:tc>
          <w:tcPr>
            <w:tcW w:w="1700" w:type="dxa"/>
            <w:vAlign w:val="bottom"/>
            <w:tcBorders>
              <w:top w:val="single" w:sz="8" w:color="BFA071"/>
            </w:tcBorders>
            <w:vMerge w:val="restart"/>
            <w:shd w:val="clear" w:color="auto" w:fill="EBE1D2"/>
          </w:tcPr>
          <w:p>
            <w:pPr>
              <w:jc w:val="center"/>
              <w:ind w:right="68"/>
              <w:spacing w:after="0"/>
              <w:rPr>
                <w:sz w:val="20"/>
                <w:szCs w:val="20"/>
                <w:color w:val="auto"/>
              </w:rPr>
            </w:pPr>
            <w:r>
              <w:rPr>
                <w:rFonts w:ascii="Arial" w:cs="Arial" w:eastAsia="Arial" w:hAnsi="Arial"/>
                <w:sz w:val="14"/>
                <w:szCs w:val="14"/>
                <w:color w:val="001641"/>
              </w:rPr>
              <w:t>24,159</w:t>
            </w: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4000" w:type="dxa"/>
            <w:vAlign w:val="bottom"/>
            <w:tcBorders>
              <w:right w:val="single" w:sz="8" w:color="EBE1D2"/>
            </w:tcBorders>
            <w:vMerge w:val="restart"/>
          </w:tcPr>
          <w:p>
            <w:pPr>
              <w:ind w:left="60"/>
              <w:spacing w:after="0"/>
              <w:rPr>
                <w:sz w:val="20"/>
                <w:szCs w:val="20"/>
                <w:color w:val="auto"/>
              </w:rPr>
            </w:pPr>
            <w:r>
              <w:rPr>
                <w:rFonts w:ascii="Arial" w:cs="Arial" w:eastAsia="Arial" w:hAnsi="Arial"/>
                <w:sz w:val="14"/>
                <w:szCs w:val="14"/>
                <w:i w:val="1"/>
                <w:iCs w:val="1"/>
                <w:color w:val="001641"/>
              </w:rPr>
              <w:t>CEO</w:t>
            </w:r>
          </w:p>
        </w:tc>
        <w:tc>
          <w:tcPr>
            <w:tcW w:w="1640" w:type="dxa"/>
            <w:vAlign w:val="bottom"/>
            <w:vMerge w:val="continue"/>
            <w:shd w:val="clear" w:color="auto" w:fill="EBE1D2"/>
          </w:tcPr>
          <w:p>
            <w:pPr>
              <w:spacing w:after="0"/>
              <w:rPr>
                <w:sz w:val="9"/>
                <w:szCs w:val="9"/>
                <w:color w:val="auto"/>
              </w:rPr>
            </w:pPr>
          </w:p>
        </w:tc>
        <w:tc>
          <w:tcPr>
            <w:tcW w:w="1740" w:type="dxa"/>
            <w:vAlign w:val="bottom"/>
            <w:tcBorders>
              <w:right w:val="single" w:sz="8" w:color="EBE1D2"/>
            </w:tcBorders>
            <w:vMerge w:val="continue"/>
          </w:tcPr>
          <w:p>
            <w:pPr>
              <w:spacing w:after="0"/>
              <w:rPr>
                <w:sz w:val="9"/>
                <w:szCs w:val="9"/>
                <w:color w:val="auto"/>
              </w:rPr>
            </w:pPr>
          </w:p>
        </w:tc>
        <w:tc>
          <w:tcPr>
            <w:tcW w:w="1700" w:type="dxa"/>
            <w:vAlign w:val="bottom"/>
            <w:vMerge w:val="continue"/>
            <w:shd w:val="clear" w:color="auto" w:fill="EBE1D2"/>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00" w:type="dxa"/>
            <w:vAlign w:val="bottom"/>
          </w:tcPr>
          <w:p>
            <w:pPr>
              <w:spacing w:after="0"/>
              <w:rPr>
                <w:sz w:val="10"/>
                <w:szCs w:val="10"/>
                <w:color w:val="auto"/>
              </w:rPr>
            </w:pPr>
          </w:p>
        </w:tc>
        <w:tc>
          <w:tcPr>
            <w:tcW w:w="4000" w:type="dxa"/>
            <w:vAlign w:val="bottom"/>
            <w:tcBorders>
              <w:right w:val="single" w:sz="8" w:color="EBE1D2"/>
            </w:tcBorders>
            <w:vMerge w:val="continue"/>
          </w:tcPr>
          <w:p>
            <w:pPr>
              <w:spacing w:after="0"/>
              <w:rPr>
                <w:sz w:val="10"/>
                <w:szCs w:val="10"/>
                <w:color w:val="auto"/>
              </w:rPr>
            </w:pPr>
          </w:p>
        </w:tc>
        <w:tc>
          <w:tcPr>
            <w:tcW w:w="1640" w:type="dxa"/>
            <w:vAlign w:val="bottom"/>
            <w:tcBorders>
              <w:bottom w:val="single" w:sz="8" w:color="EBE1D2"/>
            </w:tcBorders>
            <w:shd w:val="clear" w:color="auto" w:fill="EBE1D2"/>
          </w:tcPr>
          <w:p>
            <w:pPr>
              <w:spacing w:after="0"/>
              <w:rPr>
                <w:sz w:val="10"/>
                <w:szCs w:val="10"/>
                <w:color w:val="auto"/>
              </w:rPr>
            </w:pPr>
          </w:p>
        </w:tc>
        <w:tc>
          <w:tcPr>
            <w:tcW w:w="1740" w:type="dxa"/>
            <w:vAlign w:val="bottom"/>
            <w:tcBorders>
              <w:right w:val="single" w:sz="8" w:color="EBE1D2"/>
            </w:tcBorders>
          </w:tcPr>
          <w:p>
            <w:pPr>
              <w:spacing w:after="0"/>
              <w:rPr>
                <w:sz w:val="10"/>
                <w:szCs w:val="10"/>
                <w:color w:val="auto"/>
              </w:rPr>
            </w:pPr>
          </w:p>
        </w:tc>
        <w:tc>
          <w:tcPr>
            <w:tcW w:w="1700" w:type="dxa"/>
            <w:vAlign w:val="bottom"/>
            <w:tcBorders>
              <w:bottom w:val="single" w:sz="8" w:color="EBE1D2"/>
            </w:tcBorders>
            <w:shd w:val="clear" w:color="auto" w:fill="EBE1D2"/>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00" w:type="dxa"/>
            <w:vAlign w:val="bottom"/>
            <w:tcBorders>
              <w:top w:val="single" w:sz="8" w:color="BFA071"/>
            </w:tcBorders>
          </w:tcPr>
          <w:p>
            <w:pPr>
              <w:spacing w:after="0"/>
              <w:rPr>
                <w:sz w:val="17"/>
                <w:szCs w:val="17"/>
                <w:color w:val="auto"/>
              </w:rPr>
            </w:pPr>
          </w:p>
        </w:tc>
        <w:tc>
          <w:tcPr>
            <w:tcW w:w="4000" w:type="dxa"/>
            <w:vAlign w:val="bottom"/>
            <w:tcBorders>
              <w:top w:val="single" w:sz="8" w:color="BFA071"/>
              <w:right w:val="single" w:sz="8" w:color="EBE1D2"/>
            </w:tcBorders>
          </w:tcPr>
          <w:p>
            <w:pPr>
              <w:ind w:left="60"/>
              <w:spacing w:after="0"/>
              <w:rPr>
                <w:sz w:val="20"/>
                <w:szCs w:val="20"/>
                <w:color w:val="auto"/>
              </w:rPr>
            </w:pPr>
            <w:r>
              <w:rPr>
                <w:rFonts w:ascii="Arial" w:cs="Arial" w:eastAsia="Arial" w:hAnsi="Arial"/>
                <w:sz w:val="14"/>
                <w:szCs w:val="14"/>
                <w:b w:val="1"/>
                <w:bCs w:val="1"/>
                <w:color w:val="001641"/>
              </w:rPr>
              <w:t>Robert Ranftl</w:t>
            </w:r>
          </w:p>
        </w:tc>
        <w:tc>
          <w:tcPr>
            <w:tcW w:w="1640" w:type="dxa"/>
            <w:vAlign w:val="bottom"/>
            <w:tcBorders>
              <w:top w:val="single" w:sz="8" w:color="BFA071"/>
            </w:tcBorders>
            <w:vMerge w:val="restart"/>
            <w:shd w:val="clear" w:color="auto" w:fill="EBE1D2"/>
          </w:tcPr>
          <w:p>
            <w:pPr>
              <w:jc w:val="right"/>
              <w:ind w:right="528"/>
              <w:spacing w:after="0"/>
              <w:rPr>
                <w:sz w:val="20"/>
                <w:szCs w:val="20"/>
                <w:color w:val="auto"/>
              </w:rPr>
            </w:pPr>
            <w:r>
              <w:rPr>
                <w:rFonts w:ascii="Arial" w:cs="Arial" w:eastAsia="Arial" w:hAnsi="Arial"/>
                <w:sz w:val="14"/>
                <w:szCs w:val="14"/>
                <w:color w:val="001641"/>
              </w:rPr>
              <w:t>1,941</w:t>
            </w:r>
          </w:p>
        </w:tc>
        <w:tc>
          <w:tcPr>
            <w:tcW w:w="1740" w:type="dxa"/>
            <w:vAlign w:val="bottom"/>
            <w:tcBorders>
              <w:top w:val="single" w:sz="8" w:color="BFA071"/>
              <w:right w:val="single" w:sz="8" w:color="EBE1D2"/>
            </w:tcBorders>
            <w:vMerge w:val="restart"/>
          </w:tcPr>
          <w:p>
            <w:pPr>
              <w:jc w:val="right"/>
              <w:ind w:right="588"/>
              <w:spacing w:after="0"/>
              <w:rPr>
                <w:sz w:val="20"/>
                <w:szCs w:val="20"/>
                <w:color w:val="auto"/>
              </w:rPr>
            </w:pPr>
            <w:r>
              <w:rPr>
                <w:rFonts w:ascii="Arial" w:cs="Arial" w:eastAsia="Arial" w:hAnsi="Arial"/>
                <w:sz w:val="14"/>
                <w:szCs w:val="14"/>
                <w:color w:val="001641"/>
              </w:rPr>
              <w:t>1,306</w:t>
            </w:r>
          </w:p>
        </w:tc>
        <w:tc>
          <w:tcPr>
            <w:tcW w:w="1700" w:type="dxa"/>
            <w:vAlign w:val="bottom"/>
            <w:tcBorders>
              <w:top w:val="single" w:sz="8" w:color="BFA071"/>
            </w:tcBorders>
            <w:vMerge w:val="restart"/>
            <w:shd w:val="clear" w:color="auto" w:fill="EBE1D2"/>
          </w:tcPr>
          <w:p>
            <w:pPr>
              <w:jc w:val="center"/>
              <w:ind w:right="68"/>
              <w:spacing w:after="0"/>
              <w:rPr>
                <w:sz w:val="20"/>
                <w:szCs w:val="20"/>
                <w:color w:val="auto"/>
              </w:rPr>
            </w:pPr>
            <w:r>
              <w:rPr>
                <w:rFonts w:ascii="Arial" w:cs="Arial" w:eastAsia="Arial" w:hAnsi="Arial"/>
                <w:sz w:val="14"/>
                <w:szCs w:val="14"/>
                <w:color w:val="001641"/>
              </w:rPr>
              <w:t>3,882</w:t>
            </w: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4000" w:type="dxa"/>
            <w:vAlign w:val="bottom"/>
            <w:tcBorders>
              <w:right w:val="single" w:sz="8" w:color="EBE1D2"/>
            </w:tcBorders>
            <w:vMerge w:val="restart"/>
          </w:tcPr>
          <w:p>
            <w:pPr>
              <w:ind w:left="60"/>
              <w:spacing w:after="0"/>
              <w:rPr>
                <w:sz w:val="20"/>
                <w:szCs w:val="20"/>
                <w:color w:val="auto"/>
              </w:rPr>
            </w:pPr>
            <w:r>
              <w:rPr>
                <w:rFonts w:ascii="Arial" w:cs="Arial" w:eastAsia="Arial" w:hAnsi="Arial"/>
                <w:sz w:val="14"/>
                <w:szCs w:val="14"/>
                <w:i w:val="1"/>
                <w:iCs w:val="1"/>
                <w:color w:val="001641"/>
              </w:rPr>
              <w:t>COO</w:t>
            </w:r>
          </w:p>
        </w:tc>
        <w:tc>
          <w:tcPr>
            <w:tcW w:w="1640" w:type="dxa"/>
            <w:vAlign w:val="bottom"/>
            <w:vMerge w:val="continue"/>
            <w:shd w:val="clear" w:color="auto" w:fill="EBE1D2"/>
          </w:tcPr>
          <w:p>
            <w:pPr>
              <w:spacing w:after="0"/>
              <w:rPr>
                <w:sz w:val="9"/>
                <w:szCs w:val="9"/>
                <w:color w:val="auto"/>
              </w:rPr>
            </w:pPr>
          </w:p>
        </w:tc>
        <w:tc>
          <w:tcPr>
            <w:tcW w:w="1740" w:type="dxa"/>
            <w:vAlign w:val="bottom"/>
            <w:tcBorders>
              <w:right w:val="single" w:sz="8" w:color="EBE1D2"/>
            </w:tcBorders>
            <w:vMerge w:val="continue"/>
          </w:tcPr>
          <w:p>
            <w:pPr>
              <w:spacing w:after="0"/>
              <w:rPr>
                <w:sz w:val="9"/>
                <w:szCs w:val="9"/>
                <w:color w:val="auto"/>
              </w:rPr>
            </w:pPr>
          </w:p>
        </w:tc>
        <w:tc>
          <w:tcPr>
            <w:tcW w:w="1700" w:type="dxa"/>
            <w:vAlign w:val="bottom"/>
            <w:vMerge w:val="continue"/>
            <w:shd w:val="clear" w:color="auto" w:fill="EBE1D2"/>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00" w:type="dxa"/>
            <w:vAlign w:val="bottom"/>
          </w:tcPr>
          <w:p>
            <w:pPr>
              <w:spacing w:after="0"/>
              <w:rPr>
                <w:sz w:val="10"/>
                <w:szCs w:val="10"/>
                <w:color w:val="auto"/>
              </w:rPr>
            </w:pPr>
          </w:p>
        </w:tc>
        <w:tc>
          <w:tcPr>
            <w:tcW w:w="4000" w:type="dxa"/>
            <w:vAlign w:val="bottom"/>
            <w:tcBorders>
              <w:right w:val="single" w:sz="8" w:color="EBE1D2"/>
            </w:tcBorders>
            <w:vMerge w:val="continue"/>
          </w:tcPr>
          <w:p>
            <w:pPr>
              <w:spacing w:after="0"/>
              <w:rPr>
                <w:sz w:val="10"/>
                <w:szCs w:val="10"/>
                <w:color w:val="auto"/>
              </w:rPr>
            </w:pPr>
          </w:p>
        </w:tc>
        <w:tc>
          <w:tcPr>
            <w:tcW w:w="1640" w:type="dxa"/>
            <w:vAlign w:val="bottom"/>
            <w:tcBorders>
              <w:bottom w:val="single" w:sz="8" w:color="EBE1D2"/>
            </w:tcBorders>
            <w:shd w:val="clear" w:color="auto" w:fill="EBE1D2"/>
          </w:tcPr>
          <w:p>
            <w:pPr>
              <w:spacing w:after="0"/>
              <w:rPr>
                <w:sz w:val="10"/>
                <w:szCs w:val="10"/>
                <w:color w:val="auto"/>
              </w:rPr>
            </w:pPr>
          </w:p>
        </w:tc>
        <w:tc>
          <w:tcPr>
            <w:tcW w:w="1740" w:type="dxa"/>
            <w:vAlign w:val="bottom"/>
            <w:tcBorders>
              <w:right w:val="single" w:sz="8" w:color="EBE1D2"/>
            </w:tcBorders>
          </w:tcPr>
          <w:p>
            <w:pPr>
              <w:spacing w:after="0"/>
              <w:rPr>
                <w:sz w:val="10"/>
                <w:szCs w:val="10"/>
                <w:color w:val="auto"/>
              </w:rPr>
            </w:pPr>
          </w:p>
        </w:tc>
        <w:tc>
          <w:tcPr>
            <w:tcW w:w="1700" w:type="dxa"/>
            <w:vAlign w:val="bottom"/>
            <w:tcBorders>
              <w:bottom w:val="single" w:sz="8" w:color="EBE1D2"/>
            </w:tcBorders>
            <w:shd w:val="clear" w:color="auto" w:fill="EBE1D2"/>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00" w:type="dxa"/>
            <w:vAlign w:val="bottom"/>
            <w:tcBorders>
              <w:top w:val="single" w:sz="8" w:color="BFA071"/>
            </w:tcBorders>
          </w:tcPr>
          <w:p>
            <w:pPr>
              <w:spacing w:after="0"/>
              <w:rPr>
                <w:sz w:val="17"/>
                <w:szCs w:val="17"/>
                <w:color w:val="auto"/>
              </w:rPr>
            </w:pPr>
          </w:p>
        </w:tc>
        <w:tc>
          <w:tcPr>
            <w:tcW w:w="4000" w:type="dxa"/>
            <w:vAlign w:val="bottom"/>
            <w:tcBorders>
              <w:top w:val="single" w:sz="8" w:color="BFA071"/>
              <w:right w:val="single" w:sz="8" w:color="EBE1D2"/>
            </w:tcBorders>
          </w:tcPr>
          <w:p>
            <w:pPr>
              <w:ind w:left="60"/>
              <w:spacing w:after="0"/>
              <w:rPr>
                <w:sz w:val="20"/>
                <w:szCs w:val="20"/>
                <w:color w:val="auto"/>
              </w:rPr>
            </w:pPr>
            <w:r>
              <w:rPr>
                <w:rFonts w:ascii="Arial" w:cs="Arial" w:eastAsia="Arial" w:hAnsi="Arial"/>
                <w:sz w:val="14"/>
                <w:szCs w:val="14"/>
                <w:b w:val="1"/>
                <w:bCs w:val="1"/>
                <w:color w:val="001641"/>
              </w:rPr>
              <w:t>Justin Picicci</w:t>
            </w:r>
          </w:p>
        </w:tc>
        <w:tc>
          <w:tcPr>
            <w:tcW w:w="1640" w:type="dxa"/>
            <w:vAlign w:val="bottom"/>
            <w:tcBorders>
              <w:top w:val="single" w:sz="8" w:color="BFA071"/>
            </w:tcBorders>
            <w:vMerge w:val="restart"/>
            <w:shd w:val="clear" w:color="auto" w:fill="EBE1D2"/>
          </w:tcPr>
          <w:p>
            <w:pPr>
              <w:jc w:val="right"/>
              <w:ind w:right="528"/>
              <w:spacing w:after="0"/>
              <w:rPr>
                <w:sz w:val="20"/>
                <w:szCs w:val="20"/>
                <w:color w:val="auto"/>
              </w:rPr>
            </w:pPr>
            <w:r>
              <w:rPr>
                <w:rFonts w:ascii="Arial" w:cs="Arial" w:eastAsia="Arial" w:hAnsi="Arial"/>
                <w:sz w:val="14"/>
                <w:szCs w:val="14"/>
                <w:color w:val="001641"/>
              </w:rPr>
              <w:t>1,035</w:t>
            </w:r>
          </w:p>
        </w:tc>
        <w:tc>
          <w:tcPr>
            <w:tcW w:w="1740" w:type="dxa"/>
            <w:vAlign w:val="bottom"/>
            <w:tcBorders>
              <w:top w:val="single" w:sz="8" w:color="BFA071"/>
              <w:right w:val="single" w:sz="8" w:color="EBE1D2"/>
            </w:tcBorders>
            <w:vMerge w:val="restart"/>
          </w:tcPr>
          <w:p>
            <w:pPr>
              <w:jc w:val="right"/>
              <w:ind w:right="568"/>
              <w:spacing w:after="0"/>
              <w:rPr>
                <w:sz w:val="20"/>
                <w:szCs w:val="20"/>
                <w:color w:val="auto"/>
              </w:rPr>
            </w:pPr>
            <w:r>
              <w:rPr>
                <w:rFonts w:ascii="Arial" w:cs="Arial" w:eastAsia="Arial" w:hAnsi="Arial"/>
                <w:sz w:val="14"/>
                <w:szCs w:val="14"/>
                <w:color w:val="001641"/>
              </w:rPr>
              <w:t>697</w:t>
            </w:r>
          </w:p>
        </w:tc>
        <w:tc>
          <w:tcPr>
            <w:tcW w:w="1700" w:type="dxa"/>
            <w:vAlign w:val="bottom"/>
            <w:tcBorders>
              <w:top w:val="single" w:sz="8" w:color="BFA071"/>
            </w:tcBorders>
            <w:vMerge w:val="restart"/>
            <w:shd w:val="clear" w:color="auto" w:fill="EBE1D2"/>
          </w:tcPr>
          <w:p>
            <w:pPr>
              <w:jc w:val="center"/>
              <w:ind w:right="68"/>
              <w:spacing w:after="0"/>
              <w:rPr>
                <w:sz w:val="20"/>
                <w:szCs w:val="20"/>
                <w:color w:val="auto"/>
              </w:rPr>
            </w:pPr>
            <w:r>
              <w:rPr>
                <w:rFonts w:ascii="Arial" w:cs="Arial" w:eastAsia="Arial" w:hAnsi="Arial"/>
                <w:sz w:val="14"/>
                <w:szCs w:val="14"/>
                <w:color w:val="001641"/>
              </w:rPr>
              <w:t>2,070</w:t>
            </w: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4000" w:type="dxa"/>
            <w:vAlign w:val="bottom"/>
            <w:tcBorders>
              <w:right w:val="single" w:sz="8" w:color="EBE1D2"/>
            </w:tcBorders>
            <w:vMerge w:val="restart"/>
          </w:tcPr>
          <w:p>
            <w:pPr>
              <w:ind w:left="60"/>
              <w:spacing w:after="0"/>
              <w:rPr>
                <w:sz w:val="20"/>
                <w:szCs w:val="20"/>
                <w:color w:val="auto"/>
              </w:rPr>
            </w:pPr>
            <w:r>
              <w:rPr>
                <w:rFonts w:ascii="Arial" w:cs="Arial" w:eastAsia="Arial" w:hAnsi="Arial"/>
                <w:sz w:val="14"/>
                <w:szCs w:val="14"/>
                <w:i w:val="1"/>
                <w:iCs w:val="1"/>
                <w:color w:val="001641"/>
              </w:rPr>
              <w:t>CFO</w:t>
            </w:r>
          </w:p>
        </w:tc>
        <w:tc>
          <w:tcPr>
            <w:tcW w:w="1640" w:type="dxa"/>
            <w:vAlign w:val="bottom"/>
            <w:vMerge w:val="continue"/>
            <w:shd w:val="clear" w:color="auto" w:fill="EBE1D2"/>
          </w:tcPr>
          <w:p>
            <w:pPr>
              <w:spacing w:after="0"/>
              <w:rPr>
                <w:sz w:val="9"/>
                <w:szCs w:val="9"/>
                <w:color w:val="auto"/>
              </w:rPr>
            </w:pPr>
          </w:p>
        </w:tc>
        <w:tc>
          <w:tcPr>
            <w:tcW w:w="1740" w:type="dxa"/>
            <w:vAlign w:val="bottom"/>
            <w:tcBorders>
              <w:right w:val="single" w:sz="8" w:color="EBE1D2"/>
            </w:tcBorders>
            <w:vMerge w:val="continue"/>
          </w:tcPr>
          <w:p>
            <w:pPr>
              <w:spacing w:after="0"/>
              <w:rPr>
                <w:sz w:val="9"/>
                <w:szCs w:val="9"/>
                <w:color w:val="auto"/>
              </w:rPr>
            </w:pPr>
          </w:p>
        </w:tc>
        <w:tc>
          <w:tcPr>
            <w:tcW w:w="1700" w:type="dxa"/>
            <w:vAlign w:val="bottom"/>
            <w:vMerge w:val="continue"/>
            <w:shd w:val="clear" w:color="auto" w:fill="EBE1D2"/>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00" w:type="dxa"/>
            <w:vAlign w:val="bottom"/>
          </w:tcPr>
          <w:p>
            <w:pPr>
              <w:spacing w:after="0"/>
              <w:rPr>
                <w:sz w:val="10"/>
                <w:szCs w:val="10"/>
                <w:color w:val="auto"/>
              </w:rPr>
            </w:pPr>
          </w:p>
        </w:tc>
        <w:tc>
          <w:tcPr>
            <w:tcW w:w="4000" w:type="dxa"/>
            <w:vAlign w:val="bottom"/>
            <w:tcBorders>
              <w:right w:val="single" w:sz="8" w:color="EBE1D2"/>
            </w:tcBorders>
            <w:vMerge w:val="continue"/>
          </w:tcPr>
          <w:p>
            <w:pPr>
              <w:spacing w:after="0"/>
              <w:rPr>
                <w:sz w:val="10"/>
                <w:szCs w:val="10"/>
                <w:color w:val="auto"/>
              </w:rPr>
            </w:pPr>
          </w:p>
        </w:tc>
        <w:tc>
          <w:tcPr>
            <w:tcW w:w="1640" w:type="dxa"/>
            <w:vAlign w:val="bottom"/>
            <w:tcBorders>
              <w:bottom w:val="single" w:sz="8" w:color="EBE1D2"/>
            </w:tcBorders>
            <w:shd w:val="clear" w:color="auto" w:fill="EBE1D2"/>
          </w:tcPr>
          <w:p>
            <w:pPr>
              <w:spacing w:after="0"/>
              <w:rPr>
                <w:sz w:val="10"/>
                <w:szCs w:val="10"/>
                <w:color w:val="auto"/>
              </w:rPr>
            </w:pPr>
          </w:p>
        </w:tc>
        <w:tc>
          <w:tcPr>
            <w:tcW w:w="1740" w:type="dxa"/>
            <w:vAlign w:val="bottom"/>
            <w:tcBorders>
              <w:right w:val="single" w:sz="8" w:color="EBE1D2"/>
            </w:tcBorders>
          </w:tcPr>
          <w:p>
            <w:pPr>
              <w:spacing w:after="0"/>
              <w:rPr>
                <w:sz w:val="10"/>
                <w:szCs w:val="10"/>
                <w:color w:val="auto"/>
              </w:rPr>
            </w:pPr>
          </w:p>
        </w:tc>
        <w:tc>
          <w:tcPr>
            <w:tcW w:w="1700" w:type="dxa"/>
            <w:vAlign w:val="bottom"/>
            <w:tcBorders>
              <w:bottom w:val="single" w:sz="8" w:color="EBE1D2"/>
            </w:tcBorders>
            <w:shd w:val="clear" w:color="auto" w:fill="EBE1D2"/>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00" w:type="dxa"/>
            <w:vAlign w:val="bottom"/>
            <w:tcBorders>
              <w:top w:val="single" w:sz="8" w:color="BFA071"/>
            </w:tcBorders>
          </w:tcPr>
          <w:p>
            <w:pPr>
              <w:spacing w:after="0"/>
              <w:rPr>
                <w:sz w:val="17"/>
                <w:szCs w:val="17"/>
                <w:color w:val="auto"/>
              </w:rPr>
            </w:pPr>
          </w:p>
        </w:tc>
        <w:tc>
          <w:tcPr>
            <w:tcW w:w="4000" w:type="dxa"/>
            <w:vAlign w:val="bottom"/>
            <w:tcBorders>
              <w:top w:val="single" w:sz="8" w:color="BFA071"/>
              <w:right w:val="single" w:sz="8" w:color="EBE1D2"/>
            </w:tcBorders>
          </w:tcPr>
          <w:p>
            <w:pPr>
              <w:ind w:left="60"/>
              <w:spacing w:after="0"/>
              <w:rPr>
                <w:sz w:val="20"/>
                <w:szCs w:val="20"/>
                <w:color w:val="auto"/>
              </w:rPr>
            </w:pPr>
            <w:r>
              <w:rPr>
                <w:rFonts w:ascii="Arial" w:cs="Arial" w:eastAsia="Arial" w:hAnsi="Arial"/>
                <w:sz w:val="14"/>
                <w:szCs w:val="14"/>
                <w:b w:val="1"/>
                <w:bCs w:val="1"/>
                <w:color w:val="001641"/>
              </w:rPr>
              <w:t>Halide Alagoz</w:t>
            </w:r>
          </w:p>
        </w:tc>
        <w:tc>
          <w:tcPr>
            <w:tcW w:w="1640" w:type="dxa"/>
            <w:vAlign w:val="bottom"/>
            <w:tcBorders>
              <w:top w:val="single" w:sz="8" w:color="BFA071"/>
            </w:tcBorders>
            <w:vMerge w:val="restart"/>
            <w:shd w:val="clear" w:color="auto" w:fill="EBE1D2"/>
          </w:tcPr>
          <w:p>
            <w:pPr>
              <w:jc w:val="right"/>
              <w:ind w:right="528"/>
              <w:spacing w:after="0"/>
              <w:rPr>
                <w:sz w:val="20"/>
                <w:szCs w:val="20"/>
                <w:color w:val="auto"/>
              </w:rPr>
            </w:pPr>
            <w:r>
              <w:rPr>
                <w:rFonts w:ascii="Arial" w:cs="Arial" w:eastAsia="Arial" w:hAnsi="Arial"/>
                <w:sz w:val="14"/>
                <w:szCs w:val="14"/>
                <w:color w:val="001641"/>
              </w:rPr>
              <w:t>1,726</w:t>
            </w:r>
          </w:p>
        </w:tc>
        <w:tc>
          <w:tcPr>
            <w:tcW w:w="1740" w:type="dxa"/>
            <w:vAlign w:val="bottom"/>
            <w:tcBorders>
              <w:top w:val="single" w:sz="8" w:color="BFA071"/>
              <w:right w:val="single" w:sz="8" w:color="EBE1D2"/>
            </w:tcBorders>
            <w:vMerge w:val="restart"/>
          </w:tcPr>
          <w:p>
            <w:pPr>
              <w:jc w:val="right"/>
              <w:ind w:right="588"/>
              <w:spacing w:after="0"/>
              <w:rPr>
                <w:sz w:val="20"/>
                <w:szCs w:val="20"/>
                <w:color w:val="auto"/>
              </w:rPr>
            </w:pPr>
            <w:r>
              <w:rPr>
                <w:rFonts w:ascii="Arial" w:cs="Arial" w:eastAsia="Arial" w:hAnsi="Arial"/>
                <w:sz w:val="14"/>
                <w:szCs w:val="14"/>
                <w:color w:val="001641"/>
              </w:rPr>
              <w:t>1,161</w:t>
            </w:r>
          </w:p>
        </w:tc>
        <w:tc>
          <w:tcPr>
            <w:tcW w:w="1700" w:type="dxa"/>
            <w:vAlign w:val="bottom"/>
            <w:tcBorders>
              <w:top w:val="single" w:sz="8" w:color="BFA071"/>
            </w:tcBorders>
            <w:vMerge w:val="restart"/>
            <w:shd w:val="clear" w:color="auto" w:fill="EBE1D2"/>
          </w:tcPr>
          <w:p>
            <w:pPr>
              <w:jc w:val="center"/>
              <w:ind w:right="68"/>
              <w:spacing w:after="0"/>
              <w:rPr>
                <w:sz w:val="20"/>
                <w:szCs w:val="20"/>
                <w:color w:val="auto"/>
              </w:rPr>
            </w:pPr>
            <w:r>
              <w:rPr>
                <w:rFonts w:ascii="Arial" w:cs="Arial" w:eastAsia="Arial" w:hAnsi="Arial"/>
                <w:sz w:val="14"/>
                <w:szCs w:val="14"/>
                <w:color w:val="001641"/>
              </w:rPr>
              <w:t>3,450</w:t>
            </w: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4000" w:type="dxa"/>
            <w:vAlign w:val="bottom"/>
            <w:tcBorders>
              <w:right w:val="single" w:sz="8" w:color="EBE1D2"/>
            </w:tcBorders>
            <w:vMerge w:val="restart"/>
          </w:tcPr>
          <w:p>
            <w:pPr>
              <w:ind w:left="60"/>
              <w:spacing w:after="0"/>
              <w:rPr>
                <w:sz w:val="20"/>
                <w:szCs w:val="20"/>
                <w:color w:val="auto"/>
              </w:rPr>
            </w:pPr>
            <w:r>
              <w:rPr>
                <w:rFonts w:ascii="Arial" w:cs="Arial" w:eastAsia="Arial" w:hAnsi="Arial"/>
                <w:sz w:val="14"/>
                <w:szCs w:val="14"/>
                <w:i w:val="1"/>
                <w:iCs w:val="1"/>
                <w:color w:val="001641"/>
              </w:rPr>
              <w:t>Chief Product &amp; Merchandising Officer</w:t>
            </w:r>
          </w:p>
        </w:tc>
        <w:tc>
          <w:tcPr>
            <w:tcW w:w="1640" w:type="dxa"/>
            <w:vAlign w:val="bottom"/>
            <w:vMerge w:val="continue"/>
            <w:shd w:val="clear" w:color="auto" w:fill="EBE1D2"/>
          </w:tcPr>
          <w:p>
            <w:pPr>
              <w:spacing w:after="0"/>
              <w:rPr>
                <w:sz w:val="9"/>
                <w:szCs w:val="9"/>
                <w:color w:val="auto"/>
              </w:rPr>
            </w:pPr>
          </w:p>
        </w:tc>
        <w:tc>
          <w:tcPr>
            <w:tcW w:w="1740" w:type="dxa"/>
            <w:vAlign w:val="bottom"/>
            <w:tcBorders>
              <w:right w:val="single" w:sz="8" w:color="EBE1D2"/>
            </w:tcBorders>
            <w:vMerge w:val="continue"/>
          </w:tcPr>
          <w:p>
            <w:pPr>
              <w:spacing w:after="0"/>
              <w:rPr>
                <w:sz w:val="9"/>
                <w:szCs w:val="9"/>
                <w:color w:val="auto"/>
              </w:rPr>
            </w:pPr>
          </w:p>
        </w:tc>
        <w:tc>
          <w:tcPr>
            <w:tcW w:w="1700" w:type="dxa"/>
            <w:vAlign w:val="bottom"/>
            <w:vMerge w:val="continue"/>
            <w:shd w:val="clear" w:color="auto" w:fill="EBE1D2"/>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00" w:type="dxa"/>
            <w:vAlign w:val="bottom"/>
          </w:tcPr>
          <w:p>
            <w:pPr>
              <w:spacing w:after="0"/>
              <w:rPr>
                <w:sz w:val="10"/>
                <w:szCs w:val="10"/>
                <w:color w:val="auto"/>
              </w:rPr>
            </w:pPr>
          </w:p>
        </w:tc>
        <w:tc>
          <w:tcPr>
            <w:tcW w:w="4000" w:type="dxa"/>
            <w:vAlign w:val="bottom"/>
            <w:tcBorders>
              <w:right w:val="single" w:sz="8" w:color="EBE1D2"/>
            </w:tcBorders>
            <w:vMerge w:val="continue"/>
          </w:tcPr>
          <w:p>
            <w:pPr>
              <w:spacing w:after="0"/>
              <w:rPr>
                <w:sz w:val="10"/>
                <w:szCs w:val="10"/>
                <w:color w:val="auto"/>
              </w:rPr>
            </w:pPr>
          </w:p>
        </w:tc>
        <w:tc>
          <w:tcPr>
            <w:tcW w:w="1640" w:type="dxa"/>
            <w:vAlign w:val="bottom"/>
            <w:tcBorders>
              <w:bottom w:val="single" w:sz="8" w:color="EBE1D2"/>
            </w:tcBorders>
            <w:shd w:val="clear" w:color="auto" w:fill="EBE1D2"/>
          </w:tcPr>
          <w:p>
            <w:pPr>
              <w:spacing w:after="0"/>
              <w:rPr>
                <w:sz w:val="10"/>
                <w:szCs w:val="10"/>
                <w:color w:val="auto"/>
              </w:rPr>
            </w:pPr>
          </w:p>
        </w:tc>
        <w:tc>
          <w:tcPr>
            <w:tcW w:w="1740" w:type="dxa"/>
            <w:vAlign w:val="bottom"/>
            <w:tcBorders>
              <w:right w:val="single" w:sz="8" w:color="EBE1D2"/>
            </w:tcBorders>
          </w:tcPr>
          <w:p>
            <w:pPr>
              <w:spacing w:after="0"/>
              <w:rPr>
                <w:sz w:val="10"/>
                <w:szCs w:val="10"/>
                <w:color w:val="auto"/>
              </w:rPr>
            </w:pPr>
          </w:p>
        </w:tc>
        <w:tc>
          <w:tcPr>
            <w:tcW w:w="1700" w:type="dxa"/>
            <w:vAlign w:val="bottom"/>
            <w:tcBorders>
              <w:bottom w:val="single" w:sz="8" w:color="EBE1D2"/>
            </w:tcBorders>
            <w:shd w:val="clear" w:color="auto" w:fill="EBE1D2"/>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00" w:type="dxa"/>
            <w:vAlign w:val="bottom"/>
            <w:tcBorders>
              <w:top w:val="single" w:sz="8" w:color="BFA071"/>
            </w:tcBorders>
          </w:tcPr>
          <w:p>
            <w:pPr>
              <w:spacing w:after="0"/>
              <w:rPr>
                <w:sz w:val="17"/>
                <w:szCs w:val="17"/>
                <w:color w:val="auto"/>
              </w:rPr>
            </w:pPr>
          </w:p>
        </w:tc>
        <w:tc>
          <w:tcPr>
            <w:tcW w:w="4000" w:type="dxa"/>
            <w:vAlign w:val="bottom"/>
            <w:tcBorders>
              <w:top w:val="single" w:sz="8" w:color="BFA071"/>
              <w:right w:val="single" w:sz="8" w:color="EBE1D2"/>
            </w:tcBorders>
          </w:tcPr>
          <w:p>
            <w:pPr>
              <w:ind w:left="60"/>
              <w:spacing w:after="0"/>
              <w:rPr>
                <w:sz w:val="20"/>
                <w:szCs w:val="20"/>
                <w:color w:val="auto"/>
              </w:rPr>
            </w:pPr>
            <w:r>
              <w:rPr>
                <w:rFonts w:ascii="Arial" w:cs="Arial" w:eastAsia="Arial" w:hAnsi="Arial"/>
                <w:sz w:val="14"/>
                <w:szCs w:val="14"/>
                <w:b w:val="1"/>
                <w:bCs w:val="1"/>
                <w:color w:val="001641"/>
              </w:rPr>
              <w:t>David Lauren</w:t>
            </w:r>
          </w:p>
        </w:tc>
        <w:tc>
          <w:tcPr>
            <w:tcW w:w="1640" w:type="dxa"/>
            <w:vAlign w:val="bottom"/>
            <w:tcBorders>
              <w:top w:val="single" w:sz="8" w:color="BFA071"/>
            </w:tcBorders>
            <w:vMerge w:val="restart"/>
            <w:shd w:val="clear" w:color="auto" w:fill="EBE1D2"/>
          </w:tcPr>
          <w:p>
            <w:pPr>
              <w:jc w:val="right"/>
              <w:ind w:right="528"/>
              <w:spacing w:after="0"/>
              <w:rPr>
                <w:sz w:val="20"/>
                <w:szCs w:val="20"/>
                <w:color w:val="auto"/>
              </w:rPr>
            </w:pPr>
            <w:r>
              <w:rPr>
                <w:rFonts w:ascii="Arial" w:cs="Arial" w:eastAsia="Arial" w:hAnsi="Arial"/>
                <w:sz w:val="14"/>
                <w:szCs w:val="14"/>
                <w:color w:val="001641"/>
              </w:rPr>
              <w:t>1,035</w:t>
            </w:r>
          </w:p>
        </w:tc>
        <w:tc>
          <w:tcPr>
            <w:tcW w:w="1740" w:type="dxa"/>
            <w:vAlign w:val="bottom"/>
            <w:tcBorders>
              <w:top w:val="single" w:sz="8" w:color="BFA071"/>
              <w:right w:val="single" w:sz="8" w:color="EBE1D2"/>
            </w:tcBorders>
            <w:vMerge w:val="restart"/>
          </w:tcPr>
          <w:p>
            <w:pPr>
              <w:jc w:val="right"/>
              <w:ind w:right="568"/>
              <w:spacing w:after="0"/>
              <w:rPr>
                <w:sz w:val="20"/>
                <w:szCs w:val="20"/>
                <w:color w:val="auto"/>
              </w:rPr>
            </w:pPr>
            <w:r>
              <w:rPr>
                <w:rFonts w:ascii="Arial" w:cs="Arial" w:eastAsia="Arial" w:hAnsi="Arial"/>
                <w:sz w:val="14"/>
                <w:szCs w:val="14"/>
                <w:color w:val="001641"/>
              </w:rPr>
              <w:t>697</w:t>
            </w:r>
          </w:p>
        </w:tc>
        <w:tc>
          <w:tcPr>
            <w:tcW w:w="1700" w:type="dxa"/>
            <w:vAlign w:val="bottom"/>
            <w:tcBorders>
              <w:top w:val="single" w:sz="8" w:color="BFA071"/>
            </w:tcBorders>
            <w:vMerge w:val="restart"/>
            <w:shd w:val="clear" w:color="auto" w:fill="EBE1D2"/>
          </w:tcPr>
          <w:p>
            <w:pPr>
              <w:jc w:val="center"/>
              <w:ind w:right="68"/>
              <w:spacing w:after="0"/>
              <w:rPr>
                <w:sz w:val="20"/>
                <w:szCs w:val="20"/>
                <w:color w:val="auto"/>
              </w:rPr>
            </w:pPr>
            <w:r>
              <w:rPr>
                <w:rFonts w:ascii="Arial" w:cs="Arial" w:eastAsia="Arial" w:hAnsi="Arial"/>
                <w:sz w:val="14"/>
                <w:szCs w:val="14"/>
                <w:color w:val="001641"/>
              </w:rPr>
              <w:t>2,070</w:t>
            </w: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4000" w:type="dxa"/>
            <w:vAlign w:val="bottom"/>
            <w:tcBorders>
              <w:right w:val="single" w:sz="8" w:color="EBE1D2"/>
            </w:tcBorders>
            <w:vMerge w:val="restart"/>
          </w:tcPr>
          <w:p>
            <w:pPr>
              <w:ind w:left="60"/>
              <w:spacing w:after="0"/>
              <w:rPr>
                <w:sz w:val="20"/>
                <w:szCs w:val="20"/>
                <w:color w:val="auto"/>
              </w:rPr>
            </w:pPr>
            <w:r>
              <w:rPr>
                <w:rFonts w:ascii="Arial" w:cs="Arial" w:eastAsia="Arial" w:hAnsi="Arial"/>
                <w:sz w:val="14"/>
                <w:szCs w:val="14"/>
                <w:i w:val="1"/>
                <w:iCs w:val="1"/>
                <w:color w:val="001641"/>
              </w:rPr>
              <w:t>Chief Branding and Innovation Officer</w:t>
            </w:r>
          </w:p>
        </w:tc>
        <w:tc>
          <w:tcPr>
            <w:tcW w:w="1640" w:type="dxa"/>
            <w:vAlign w:val="bottom"/>
            <w:vMerge w:val="continue"/>
            <w:shd w:val="clear" w:color="auto" w:fill="EBE1D2"/>
          </w:tcPr>
          <w:p>
            <w:pPr>
              <w:spacing w:after="0"/>
              <w:rPr>
                <w:sz w:val="9"/>
                <w:szCs w:val="9"/>
                <w:color w:val="auto"/>
              </w:rPr>
            </w:pPr>
          </w:p>
        </w:tc>
        <w:tc>
          <w:tcPr>
            <w:tcW w:w="1740" w:type="dxa"/>
            <w:vAlign w:val="bottom"/>
            <w:tcBorders>
              <w:right w:val="single" w:sz="8" w:color="EBE1D2"/>
            </w:tcBorders>
            <w:vMerge w:val="continue"/>
          </w:tcPr>
          <w:p>
            <w:pPr>
              <w:spacing w:after="0"/>
              <w:rPr>
                <w:sz w:val="9"/>
                <w:szCs w:val="9"/>
                <w:color w:val="auto"/>
              </w:rPr>
            </w:pPr>
          </w:p>
        </w:tc>
        <w:tc>
          <w:tcPr>
            <w:tcW w:w="1700" w:type="dxa"/>
            <w:vAlign w:val="bottom"/>
            <w:vMerge w:val="continue"/>
            <w:shd w:val="clear" w:color="auto" w:fill="EBE1D2"/>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0" w:type="dxa"/>
            <w:vAlign w:val="bottom"/>
          </w:tcPr>
          <w:p>
            <w:pPr>
              <w:spacing w:after="0"/>
              <w:rPr>
                <w:sz w:val="7"/>
                <w:szCs w:val="7"/>
                <w:color w:val="auto"/>
              </w:rPr>
            </w:pPr>
          </w:p>
        </w:tc>
        <w:tc>
          <w:tcPr>
            <w:tcW w:w="4000" w:type="dxa"/>
            <w:vAlign w:val="bottom"/>
            <w:tcBorders>
              <w:right w:val="single" w:sz="8" w:color="EBE1D2"/>
            </w:tcBorders>
            <w:vMerge w:val="continue"/>
          </w:tcPr>
          <w:p>
            <w:pPr>
              <w:spacing w:after="0"/>
              <w:rPr>
                <w:sz w:val="7"/>
                <w:szCs w:val="7"/>
                <w:color w:val="auto"/>
              </w:rPr>
            </w:pPr>
          </w:p>
        </w:tc>
        <w:tc>
          <w:tcPr>
            <w:tcW w:w="1640" w:type="dxa"/>
            <w:vAlign w:val="bottom"/>
            <w:tcBorders>
              <w:bottom w:val="single" w:sz="8" w:color="EBE1D2"/>
            </w:tcBorders>
            <w:shd w:val="clear" w:color="auto" w:fill="EBE1D2"/>
          </w:tcPr>
          <w:p>
            <w:pPr>
              <w:spacing w:after="0"/>
              <w:rPr>
                <w:sz w:val="7"/>
                <w:szCs w:val="7"/>
                <w:color w:val="auto"/>
              </w:rPr>
            </w:pPr>
          </w:p>
        </w:tc>
        <w:tc>
          <w:tcPr>
            <w:tcW w:w="1740" w:type="dxa"/>
            <w:vAlign w:val="bottom"/>
            <w:tcBorders>
              <w:right w:val="single" w:sz="8" w:color="EBE1D2"/>
            </w:tcBorders>
          </w:tcPr>
          <w:p>
            <w:pPr>
              <w:spacing w:after="0"/>
              <w:rPr>
                <w:sz w:val="7"/>
                <w:szCs w:val="7"/>
                <w:color w:val="auto"/>
              </w:rPr>
            </w:pPr>
          </w:p>
        </w:tc>
        <w:tc>
          <w:tcPr>
            <w:tcW w:w="1700" w:type="dxa"/>
            <w:vAlign w:val="bottom"/>
            <w:tcBorders>
              <w:bottom w:val="single" w:sz="8" w:color="EBE1D2"/>
            </w:tcBorders>
            <w:shd w:val="clear" w:color="auto" w:fill="EBE1D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1641"/>
          </w:tcPr>
          <w:p>
            <w:pPr>
              <w:spacing w:after="0" w:line="20" w:lineRule="exact"/>
              <w:rPr>
                <w:sz w:val="1"/>
                <w:szCs w:val="1"/>
                <w:color w:val="auto"/>
              </w:rPr>
            </w:pPr>
          </w:p>
        </w:tc>
        <w:tc>
          <w:tcPr>
            <w:tcW w:w="4000" w:type="dxa"/>
            <w:vAlign w:val="bottom"/>
            <w:tcBorders>
              <w:right w:val="single" w:sz="8" w:color="001641"/>
            </w:tcBorders>
            <w:shd w:val="clear" w:color="auto" w:fill="001641"/>
          </w:tcPr>
          <w:p>
            <w:pPr>
              <w:spacing w:after="0" w:line="20" w:lineRule="exact"/>
              <w:rPr>
                <w:sz w:val="1"/>
                <w:szCs w:val="1"/>
                <w:color w:val="auto"/>
              </w:rPr>
            </w:pPr>
          </w:p>
        </w:tc>
        <w:tc>
          <w:tcPr>
            <w:tcW w:w="1640" w:type="dxa"/>
            <w:vAlign w:val="bottom"/>
            <w:shd w:val="clear" w:color="auto" w:fill="001641"/>
          </w:tcPr>
          <w:p>
            <w:pPr>
              <w:spacing w:after="0" w:line="20" w:lineRule="exact"/>
              <w:rPr>
                <w:sz w:val="1"/>
                <w:szCs w:val="1"/>
                <w:color w:val="auto"/>
              </w:rPr>
            </w:pPr>
          </w:p>
        </w:tc>
        <w:tc>
          <w:tcPr>
            <w:tcW w:w="1740" w:type="dxa"/>
            <w:vAlign w:val="bottom"/>
            <w:tcBorders>
              <w:right w:val="single" w:sz="8" w:color="001641"/>
            </w:tcBorders>
            <w:shd w:val="clear" w:color="auto" w:fill="001641"/>
          </w:tcPr>
          <w:p>
            <w:pPr>
              <w:spacing w:after="0" w:line="20" w:lineRule="exact"/>
              <w:rPr>
                <w:sz w:val="1"/>
                <w:szCs w:val="1"/>
                <w:color w:val="auto"/>
              </w:rPr>
            </w:pPr>
          </w:p>
        </w:tc>
        <w:tc>
          <w:tcPr>
            <w:tcW w:w="1700" w:type="dxa"/>
            <w:vAlign w:val="bottom"/>
            <w:shd w:val="clear" w:color="auto" w:fill="00164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
        <w:spacing w:after="0"/>
        <w:tabs>
          <w:tab w:leader="none" w:pos="226" w:val="left"/>
        </w:tabs>
        <w:rPr>
          <w:sz w:val="20"/>
          <w:szCs w:val="20"/>
          <w:color w:val="auto"/>
        </w:rPr>
      </w:pPr>
      <w:r>
        <w:rPr>
          <w:rFonts w:ascii="Arial" w:cs="Arial" w:eastAsia="Arial" w:hAnsi="Arial"/>
          <w:sz w:val="14"/>
          <w:szCs w:val="14"/>
          <w:color w:val="4C4C4C"/>
        </w:rPr>
        <w:t>1.</w:t>
        <w:tab/>
        <w:t>Represents target share units, which may pay out from 0% to 200% of target based on the performance results.</w:t>
      </w:r>
    </w:p>
    <w:p>
      <w:pPr>
        <w:spacing w:after="0" w:line="182"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001641"/>
        </w:rPr>
        <w:t>Previously Awarded Long-Term Equity-Based Incentives that Vested in June 2026</w:t>
      </w:r>
    </w:p>
    <w:p>
      <w:pPr>
        <w:spacing w:after="0" w:line="93" w:lineRule="exact"/>
        <w:rPr>
          <w:sz w:val="20"/>
          <w:szCs w:val="20"/>
          <w:color w:val="auto"/>
        </w:rPr>
      </w:pPr>
    </w:p>
    <w:p>
      <w:pPr>
        <w:ind w:left="6" w:right="60"/>
        <w:spacing w:after="0" w:line="253" w:lineRule="auto"/>
        <w:rPr>
          <w:sz w:val="20"/>
          <w:szCs w:val="20"/>
          <w:color w:val="auto"/>
        </w:rPr>
      </w:pPr>
      <w:r>
        <w:rPr>
          <w:rFonts w:ascii="Arial" w:cs="Arial" w:eastAsia="Arial" w:hAnsi="Arial"/>
          <w:sz w:val="16"/>
          <w:szCs w:val="16"/>
          <w:color w:val="auto"/>
        </w:rPr>
        <w:t>PSU awards that were granted in Fiscal 2024 vested in June 2026, based upon our achievement of pre-established financial goals for the three-year performance period (Fiscal 2024 – Fiscal 2026). The target for the Fiscal 2024 PSUs was based on the three-year plan established in early Fiscal 2024. In establishing the targets for the Fiscal 2024 PSUs, we required ongoing performance improvement during the three-year period. The Talent Committee established the Fiscal 2024 PSUs financial targets for the three-year performance period, in support of our Strategic Plan to deliver sustainable long-term growth and value creation. The table below summarizes the goals, payout range, and achievement for the Fiscal 2024 PSUs. See Appendix B for a reconciliation to reported U.S. GAAP cumulative Adjusted ROIC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58293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260985</wp:posOffset>
            </wp:positionV>
            <wp:extent cx="128905" cy="11176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39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PSUs: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80" w:type="dxa"/>
            <w:vAlign w:val="bottom"/>
            <w:tcBorders>
              <w:bottom w:val="single" w:sz="8" w:color="001641"/>
            </w:tcBorders>
            <w:shd w:val="clear" w:color="auto" w:fill="001641"/>
          </w:tcPr>
          <w:p>
            <w:pPr>
              <w:spacing w:after="0"/>
              <w:rPr>
                <w:sz w:val="24"/>
                <w:szCs w:val="24"/>
                <w:color w:val="auto"/>
              </w:rPr>
            </w:pPr>
          </w:p>
        </w:tc>
        <w:tc>
          <w:tcPr>
            <w:tcW w:w="3040" w:type="dxa"/>
            <w:vAlign w:val="bottom"/>
            <w:tcBorders>
              <w:bottom w:val="single" w:sz="8" w:color="001641"/>
              <w:right w:val="single" w:sz="8" w:color="BFA071"/>
            </w:tcBorders>
            <w:shd w:val="clear" w:color="auto" w:fill="001641"/>
          </w:tcPr>
          <w:p>
            <w:pPr>
              <w:ind w:left="60"/>
              <w:spacing w:after="0"/>
              <w:rPr>
                <w:sz w:val="20"/>
                <w:szCs w:val="20"/>
                <w:color w:val="auto"/>
              </w:rPr>
            </w:pPr>
            <w:r>
              <w:rPr>
                <w:rFonts w:ascii="Arial" w:cs="Arial" w:eastAsia="Arial" w:hAnsi="Arial"/>
                <w:sz w:val="14"/>
                <w:szCs w:val="14"/>
                <w:b w:val="1"/>
                <w:bCs w:val="1"/>
                <w:color w:val="FFFFFF"/>
              </w:rPr>
              <w:t>Performance Measure</w:t>
            </w:r>
          </w:p>
        </w:tc>
        <w:tc>
          <w:tcPr>
            <w:tcW w:w="1900" w:type="dxa"/>
            <w:vAlign w:val="bottom"/>
            <w:tcBorders>
              <w:bottom w:val="single" w:sz="8" w:color="BFA071"/>
            </w:tcBorders>
            <w:shd w:val="clear" w:color="auto" w:fill="BFA071"/>
          </w:tcPr>
          <w:p>
            <w:pPr>
              <w:jc w:val="center"/>
              <w:spacing w:after="0"/>
              <w:rPr>
                <w:sz w:val="20"/>
                <w:szCs w:val="20"/>
                <w:color w:val="auto"/>
              </w:rPr>
            </w:pPr>
            <w:r>
              <w:rPr>
                <w:rFonts w:ascii="Arial" w:cs="Arial" w:eastAsia="Arial" w:hAnsi="Arial"/>
                <w:sz w:val="14"/>
                <w:szCs w:val="14"/>
                <w:b w:val="1"/>
                <w:bCs w:val="1"/>
                <w:color w:val="FFFFFF"/>
              </w:rPr>
              <w:t>Performance Period</w:t>
            </w:r>
          </w:p>
        </w:tc>
        <w:tc>
          <w:tcPr>
            <w:tcW w:w="1960" w:type="dxa"/>
            <w:vAlign w:val="bottom"/>
            <w:tcBorders>
              <w:bottom w:val="single" w:sz="8" w:color="001641"/>
            </w:tcBorders>
            <w:shd w:val="clear" w:color="auto" w:fill="001641"/>
          </w:tcPr>
          <w:p>
            <w:pPr>
              <w:jc w:val="center"/>
              <w:spacing w:after="0"/>
              <w:rPr>
                <w:sz w:val="20"/>
                <w:szCs w:val="20"/>
                <w:color w:val="auto"/>
              </w:rPr>
            </w:pPr>
            <w:r>
              <w:rPr>
                <w:rFonts w:ascii="Arial" w:cs="Arial" w:eastAsia="Arial" w:hAnsi="Arial"/>
                <w:sz w:val="14"/>
                <w:szCs w:val="14"/>
                <w:b w:val="1"/>
                <w:bCs w:val="1"/>
                <w:color w:val="FFFFFF"/>
              </w:rPr>
              <w:t>Performance Results</w:t>
            </w:r>
          </w:p>
        </w:tc>
        <w:tc>
          <w:tcPr>
            <w:tcW w:w="2200" w:type="dxa"/>
            <w:vAlign w:val="bottom"/>
            <w:tcBorders>
              <w:bottom w:val="single" w:sz="8" w:color="BFA071"/>
            </w:tcBorders>
            <w:shd w:val="clear" w:color="auto" w:fill="BFA071"/>
          </w:tcPr>
          <w:p>
            <w:pPr>
              <w:ind w:left="60"/>
              <w:spacing w:after="0"/>
              <w:rPr>
                <w:sz w:val="20"/>
                <w:szCs w:val="20"/>
                <w:color w:val="auto"/>
              </w:rPr>
            </w:pPr>
            <w:r>
              <w:rPr>
                <w:rFonts w:ascii="Arial" w:cs="Arial" w:eastAsia="Arial" w:hAnsi="Arial"/>
                <w:sz w:val="14"/>
                <w:szCs w:val="14"/>
                <w:b w:val="1"/>
                <w:bCs w:val="1"/>
                <w:color w:val="FFFFFF"/>
              </w:rPr>
              <w:t>Amount Paid as a % of Target</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040" w:type="dxa"/>
            <w:vAlign w:val="bottom"/>
            <w:tcBorders>
              <w:right w:val="single" w:sz="8" w:color="EBE1D2"/>
            </w:tcBorders>
          </w:tcPr>
          <w:p>
            <w:pPr>
              <w:ind w:left="60"/>
              <w:spacing w:after="0"/>
              <w:rPr>
                <w:sz w:val="20"/>
                <w:szCs w:val="20"/>
                <w:color w:val="auto"/>
              </w:rPr>
            </w:pPr>
            <w:r>
              <w:rPr>
                <w:rFonts w:ascii="Arial" w:cs="Arial" w:eastAsia="Arial" w:hAnsi="Arial"/>
                <w:sz w:val="14"/>
                <w:szCs w:val="14"/>
                <w:color w:val="001641"/>
              </w:rPr>
              <w:t>Adjusted Return on Invested Capital</w:t>
            </w:r>
          </w:p>
        </w:tc>
        <w:tc>
          <w:tcPr>
            <w:tcW w:w="1900" w:type="dxa"/>
            <w:vAlign w:val="bottom"/>
            <w:vMerge w:val="restart"/>
            <w:shd w:val="clear" w:color="auto" w:fill="EBE1D2"/>
          </w:tcPr>
          <w:p>
            <w:pPr>
              <w:jc w:val="center"/>
              <w:spacing w:after="0"/>
              <w:rPr>
                <w:sz w:val="20"/>
                <w:szCs w:val="20"/>
                <w:color w:val="auto"/>
              </w:rPr>
            </w:pPr>
            <w:r>
              <w:rPr>
                <w:rFonts w:ascii="Arial" w:cs="Arial" w:eastAsia="Arial" w:hAnsi="Arial"/>
                <w:sz w:val="14"/>
                <w:szCs w:val="14"/>
                <w:color w:val="001641"/>
              </w:rPr>
              <w:t>Fiscal 2024 – Fiscal 2026</w:t>
            </w:r>
          </w:p>
        </w:tc>
        <w:tc>
          <w:tcPr>
            <w:tcW w:w="1960" w:type="dxa"/>
            <w:vAlign w:val="bottom"/>
            <w:vMerge w:val="restart"/>
          </w:tcPr>
          <w:p>
            <w:pPr>
              <w:jc w:val="center"/>
              <w:spacing w:after="0"/>
              <w:rPr>
                <w:sz w:val="20"/>
                <w:szCs w:val="20"/>
                <w:color w:val="auto"/>
              </w:rPr>
            </w:pPr>
            <w:r>
              <w:rPr>
                <w:rFonts w:ascii="Arial" w:cs="Arial" w:eastAsia="Arial" w:hAnsi="Arial"/>
                <w:sz w:val="14"/>
                <w:szCs w:val="14"/>
                <w:color w:val="001641"/>
              </w:rPr>
              <w:t>132.5%</w:t>
            </w:r>
          </w:p>
        </w:tc>
        <w:tc>
          <w:tcPr>
            <w:tcW w:w="2200" w:type="dxa"/>
            <w:vAlign w:val="bottom"/>
            <w:vMerge w:val="restart"/>
            <w:shd w:val="clear" w:color="auto" w:fill="EBE1D2"/>
          </w:tcPr>
          <w:p>
            <w:pPr>
              <w:jc w:val="right"/>
              <w:ind w:right="868"/>
              <w:spacing w:after="0"/>
              <w:rPr>
                <w:sz w:val="20"/>
                <w:szCs w:val="20"/>
                <w:color w:val="auto"/>
              </w:rPr>
            </w:pPr>
            <w:r>
              <w:rPr>
                <w:rFonts w:ascii="Arial" w:cs="Arial" w:eastAsia="Arial" w:hAnsi="Arial"/>
                <w:sz w:val="14"/>
                <w:szCs w:val="14"/>
                <w:color w:val="001641"/>
              </w:rPr>
              <w:t>200%</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040" w:type="dxa"/>
            <w:vAlign w:val="bottom"/>
            <w:tcBorders>
              <w:right w:val="single" w:sz="8" w:color="EBE1D2"/>
            </w:tcBorders>
            <w:vMerge w:val="restart"/>
          </w:tcPr>
          <w:p>
            <w:pPr>
              <w:ind w:left="60"/>
              <w:spacing w:after="0"/>
              <w:rPr>
                <w:sz w:val="20"/>
                <w:szCs w:val="20"/>
                <w:color w:val="auto"/>
              </w:rPr>
            </w:pPr>
            <w:r>
              <w:rPr>
                <w:rFonts w:ascii="Arial" w:cs="Arial" w:eastAsia="Arial" w:hAnsi="Arial"/>
                <w:sz w:val="14"/>
                <w:szCs w:val="14"/>
                <w:color w:val="001641"/>
              </w:rPr>
              <w:t>(Adjusted ROIC)</w:t>
            </w:r>
          </w:p>
        </w:tc>
        <w:tc>
          <w:tcPr>
            <w:tcW w:w="1900" w:type="dxa"/>
            <w:vAlign w:val="bottom"/>
            <w:vMerge w:val="continue"/>
            <w:shd w:val="clear" w:color="auto" w:fill="EBE1D2"/>
          </w:tcPr>
          <w:p>
            <w:pPr>
              <w:spacing w:after="0"/>
              <w:rPr>
                <w:sz w:val="9"/>
                <w:szCs w:val="9"/>
                <w:color w:val="auto"/>
              </w:rPr>
            </w:pPr>
          </w:p>
        </w:tc>
        <w:tc>
          <w:tcPr>
            <w:tcW w:w="1960" w:type="dxa"/>
            <w:vAlign w:val="bottom"/>
            <w:vMerge w:val="continue"/>
          </w:tcPr>
          <w:p>
            <w:pPr>
              <w:spacing w:after="0"/>
              <w:rPr>
                <w:sz w:val="9"/>
                <w:szCs w:val="9"/>
                <w:color w:val="auto"/>
              </w:rPr>
            </w:pPr>
          </w:p>
        </w:tc>
        <w:tc>
          <w:tcPr>
            <w:tcW w:w="2200" w:type="dxa"/>
            <w:vAlign w:val="bottom"/>
            <w:vMerge w:val="continue"/>
            <w:shd w:val="clear" w:color="auto" w:fill="EBE1D2"/>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040" w:type="dxa"/>
            <w:vAlign w:val="bottom"/>
            <w:tcBorders>
              <w:right w:val="single" w:sz="8" w:color="EBE1D2"/>
            </w:tcBorders>
            <w:vMerge w:val="continue"/>
          </w:tcPr>
          <w:p>
            <w:pPr>
              <w:spacing w:after="0"/>
              <w:rPr>
                <w:sz w:val="10"/>
                <w:szCs w:val="10"/>
                <w:color w:val="auto"/>
              </w:rPr>
            </w:pPr>
          </w:p>
        </w:tc>
        <w:tc>
          <w:tcPr>
            <w:tcW w:w="1900" w:type="dxa"/>
            <w:vAlign w:val="bottom"/>
            <w:tcBorders>
              <w:bottom w:val="single" w:sz="8" w:color="EBE1D2"/>
            </w:tcBorders>
            <w:shd w:val="clear" w:color="auto" w:fill="EBE1D2"/>
          </w:tcPr>
          <w:p>
            <w:pPr>
              <w:spacing w:after="0"/>
              <w:rPr>
                <w:sz w:val="10"/>
                <w:szCs w:val="10"/>
                <w:color w:val="auto"/>
              </w:rPr>
            </w:pPr>
          </w:p>
        </w:tc>
        <w:tc>
          <w:tcPr>
            <w:tcW w:w="1960" w:type="dxa"/>
            <w:vAlign w:val="bottom"/>
          </w:tcPr>
          <w:p>
            <w:pPr>
              <w:spacing w:after="0"/>
              <w:rPr>
                <w:sz w:val="10"/>
                <w:szCs w:val="10"/>
                <w:color w:val="auto"/>
              </w:rPr>
            </w:pPr>
          </w:p>
        </w:tc>
        <w:tc>
          <w:tcPr>
            <w:tcW w:w="2200" w:type="dxa"/>
            <w:vAlign w:val="bottom"/>
            <w:tcBorders>
              <w:bottom w:val="single" w:sz="8" w:color="EBE1D2"/>
            </w:tcBorders>
            <w:shd w:val="clear" w:color="auto" w:fill="EBE1D2"/>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80" w:type="dxa"/>
            <w:vAlign w:val="bottom"/>
            <w:tcBorders>
              <w:top w:val="single" w:sz="8" w:color="BFA071"/>
            </w:tcBorders>
          </w:tcPr>
          <w:p>
            <w:pPr>
              <w:spacing w:after="0"/>
              <w:rPr>
                <w:sz w:val="24"/>
                <w:szCs w:val="24"/>
                <w:color w:val="auto"/>
              </w:rPr>
            </w:pPr>
          </w:p>
        </w:tc>
        <w:tc>
          <w:tcPr>
            <w:tcW w:w="3040" w:type="dxa"/>
            <w:vAlign w:val="bottom"/>
            <w:tcBorders>
              <w:top w:val="single" w:sz="8" w:color="BFA071"/>
              <w:right w:val="single" w:sz="8" w:color="EBE1D2"/>
            </w:tcBorders>
          </w:tcPr>
          <w:p>
            <w:pPr>
              <w:ind w:left="60"/>
              <w:spacing w:after="0"/>
              <w:rPr>
                <w:sz w:val="20"/>
                <w:szCs w:val="20"/>
                <w:color w:val="auto"/>
              </w:rPr>
            </w:pPr>
            <w:r>
              <w:rPr>
                <w:rFonts w:ascii="Arial" w:cs="Arial" w:eastAsia="Arial" w:hAnsi="Arial"/>
                <w:sz w:val="14"/>
                <w:szCs w:val="14"/>
                <w:color w:val="001641"/>
              </w:rPr>
              <w:t>Relative TSR</w:t>
            </w:r>
          </w:p>
        </w:tc>
        <w:tc>
          <w:tcPr>
            <w:tcW w:w="1900" w:type="dxa"/>
            <w:vAlign w:val="bottom"/>
            <w:tcBorders>
              <w:top w:val="single" w:sz="8" w:color="BFA071"/>
              <w:bottom w:val="single" w:sz="8" w:color="EBE1D2"/>
            </w:tcBorders>
            <w:shd w:val="clear" w:color="auto" w:fill="EBE1D2"/>
          </w:tcPr>
          <w:p>
            <w:pPr>
              <w:jc w:val="center"/>
              <w:spacing w:after="0"/>
              <w:rPr>
                <w:sz w:val="20"/>
                <w:szCs w:val="20"/>
                <w:color w:val="auto"/>
              </w:rPr>
            </w:pPr>
            <w:r>
              <w:rPr>
                <w:rFonts w:ascii="Arial" w:cs="Arial" w:eastAsia="Arial" w:hAnsi="Arial"/>
                <w:sz w:val="14"/>
                <w:szCs w:val="14"/>
                <w:color w:val="001641"/>
              </w:rPr>
              <w:t>Fiscal 2024 – Fiscal 2026</w:t>
            </w:r>
          </w:p>
        </w:tc>
        <w:tc>
          <w:tcPr>
            <w:tcW w:w="1960" w:type="dxa"/>
            <w:vAlign w:val="bottom"/>
            <w:tcBorders>
              <w:top w:val="single" w:sz="8" w:color="BFA071"/>
            </w:tcBorders>
          </w:tcPr>
          <w:p>
            <w:pPr>
              <w:jc w:val="center"/>
              <w:spacing w:after="0" w:line="236" w:lineRule="exact"/>
              <w:rPr>
                <w:sz w:val="20"/>
                <w:szCs w:val="20"/>
                <w:color w:val="auto"/>
              </w:rPr>
            </w:pPr>
            <w:r>
              <w:rPr>
                <w:rFonts w:ascii="Arial" w:cs="Arial" w:eastAsia="Arial" w:hAnsi="Arial"/>
                <w:sz w:val="14"/>
                <w:szCs w:val="14"/>
                <w:color w:val="001641"/>
                <w:w w:val="99"/>
              </w:rPr>
              <w:t>81.25</w:t>
            </w:r>
            <w:r>
              <w:rPr>
                <w:rFonts w:ascii="Arial" w:cs="Arial" w:eastAsia="Arial" w:hAnsi="Arial"/>
                <w:sz w:val="23"/>
                <w:szCs w:val="23"/>
                <w:color w:val="001641"/>
                <w:w w:val="99"/>
                <w:vertAlign w:val="superscript"/>
              </w:rPr>
              <w:t>th</w:t>
            </w:r>
            <w:r>
              <w:rPr>
                <w:rFonts w:ascii="Arial" w:cs="Arial" w:eastAsia="Arial" w:hAnsi="Arial"/>
                <w:sz w:val="14"/>
                <w:szCs w:val="14"/>
                <w:color w:val="001641"/>
                <w:w w:val="99"/>
              </w:rPr>
              <w:t xml:space="preserve"> percentile</w:t>
            </w:r>
          </w:p>
        </w:tc>
        <w:tc>
          <w:tcPr>
            <w:tcW w:w="2200" w:type="dxa"/>
            <w:vAlign w:val="bottom"/>
            <w:tcBorders>
              <w:top w:val="single" w:sz="8" w:color="BFA071"/>
              <w:bottom w:val="single" w:sz="8" w:color="EBE1D2"/>
            </w:tcBorders>
            <w:shd w:val="clear" w:color="auto" w:fill="EBE1D2"/>
          </w:tcPr>
          <w:p>
            <w:pPr>
              <w:jc w:val="right"/>
              <w:ind w:right="768"/>
              <w:spacing w:after="0"/>
              <w:rPr>
                <w:sz w:val="20"/>
                <w:szCs w:val="20"/>
                <w:color w:val="auto"/>
              </w:rPr>
            </w:pPr>
            <w:r>
              <w:rPr>
                <w:rFonts w:ascii="Arial" w:cs="Arial" w:eastAsia="Arial" w:hAnsi="Arial"/>
                <w:sz w:val="14"/>
                <w:szCs w:val="14"/>
                <w:color w:val="001641"/>
              </w:rPr>
              <w:t>178.13%</w:t>
            </w:r>
          </w:p>
        </w:tc>
        <w:tc>
          <w:tcPr>
            <w:tcW w:w="0" w:type="dxa"/>
            <w:vAlign w:val="bottom"/>
          </w:tcPr>
          <w:p>
            <w:pPr>
              <w:spacing w:after="0"/>
              <w:rPr>
                <w:sz w:val="1"/>
                <w:szCs w:val="1"/>
                <w:color w:val="auto"/>
              </w:rPr>
            </w:pPr>
          </w:p>
        </w:tc>
      </w:tr>
      <w:tr>
        <w:trPr>
          <w:trHeight w:val="378"/>
        </w:trPr>
        <w:tc>
          <w:tcPr>
            <w:tcW w:w="3120" w:type="dxa"/>
            <w:vAlign w:val="bottom"/>
            <w:tcBorders>
              <w:top w:val="single" w:sz="8" w:color="001641"/>
            </w:tcBorders>
            <w:gridSpan w:val="2"/>
          </w:tcPr>
          <w:p>
            <w:pPr>
              <w:spacing w:after="0"/>
              <w:rPr>
                <w:sz w:val="20"/>
                <w:szCs w:val="20"/>
                <w:color w:val="auto"/>
              </w:rPr>
            </w:pPr>
            <w:r>
              <w:rPr>
                <w:rFonts w:ascii="Arial" w:cs="Arial" w:eastAsia="Arial" w:hAnsi="Arial"/>
                <w:sz w:val="16"/>
                <w:szCs w:val="16"/>
                <w:b w:val="1"/>
                <w:bCs w:val="1"/>
                <w:color w:val="001641"/>
              </w:rPr>
              <w:t>PSUs-Adjusted ROIC Payout Detail</w:t>
            </w:r>
          </w:p>
        </w:tc>
        <w:tc>
          <w:tcPr>
            <w:tcW w:w="1900" w:type="dxa"/>
            <w:vAlign w:val="bottom"/>
            <w:tcBorders>
              <w:top w:val="single" w:sz="8" w:color="001641"/>
            </w:tcBorders>
          </w:tcPr>
          <w:p>
            <w:pPr>
              <w:spacing w:after="0"/>
              <w:rPr>
                <w:sz w:val="24"/>
                <w:szCs w:val="24"/>
                <w:color w:val="auto"/>
              </w:rPr>
            </w:pPr>
          </w:p>
        </w:tc>
        <w:tc>
          <w:tcPr>
            <w:tcW w:w="1960" w:type="dxa"/>
            <w:vAlign w:val="bottom"/>
            <w:tcBorders>
              <w:top w:val="single" w:sz="8" w:color="001641"/>
            </w:tcBorders>
          </w:tcPr>
          <w:p>
            <w:pPr>
              <w:spacing w:after="0"/>
              <w:rPr>
                <w:sz w:val="24"/>
                <w:szCs w:val="24"/>
                <w:color w:val="auto"/>
              </w:rPr>
            </w:pPr>
          </w:p>
        </w:tc>
        <w:tc>
          <w:tcPr>
            <w:tcW w:w="2200" w:type="dxa"/>
            <w:vAlign w:val="bottom"/>
            <w:tcBorders>
              <w:top w:val="single" w:sz="8" w:color="00164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180" w:type="dxa"/>
            <w:vAlign w:val="bottom"/>
            <w:shd w:val="clear" w:color="auto" w:fill="001641"/>
          </w:tcPr>
          <w:p>
            <w:pPr>
              <w:spacing w:after="0"/>
              <w:rPr>
                <w:sz w:val="21"/>
                <w:szCs w:val="21"/>
                <w:color w:val="auto"/>
              </w:rPr>
            </w:pPr>
          </w:p>
        </w:tc>
        <w:tc>
          <w:tcPr>
            <w:tcW w:w="1980" w:type="dxa"/>
            <w:vAlign w:val="bottom"/>
            <w:shd w:val="clear" w:color="auto" w:fill="BFA071"/>
          </w:tcPr>
          <w:p>
            <w:pPr>
              <w:spacing w:after="0"/>
              <w:rPr>
                <w:sz w:val="21"/>
                <w:szCs w:val="21"/>
                <w:color w:val="auto"/>
              </w:rPr>
            </w:pPr>
          </w:p>
        </w:tc>
        <w:tc>
          <w:tcPr>
            <w:tcW w:w="196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Fiscal 2024 – 2026</w:t>
            </w:r>
          </w:p>
        </w:tc>
        <w:tc>
          <w:tcPr>
            <w:tcW w:w="2060" w:type="dxa"/>
            <w:vAlign w:val="bottom"/>
            <w:shd w:val="clear" w:color="auto" w:fill="BFA071"/>
          </w:tcPr>
          <w:p>
            <w:pPr>
              <w:spacing w:after="0"/>
              <w:rPr>
                <w:sz w:val="21"/>
                <w:szCs w:val="21"/>
                <w:color w:val="auto"/>
              </w:rPr>
            </w:pPr>
          </w:p>
        </w:tc>
      </w:tr>
      <w:tr>
        <w:trPr>
          <w:trHeight w:val="162"/>
        </w:trPr>
        <w:tc>
          <w:tcPr>
            <w:tcW w:w="3180" w:type="dxa"/>
            <w:vAlign w:val="bottom"/>
            <w:shd w:val="clear" w:color="auto" w:fill="001641"/>
          </w:tcPr>
          <w:p>
            <w:pPr>
              <w:spacing w:after="0"/>
              <w:rPr>
                <w:sz w:val="14"/>
                <w:szCs w:val="14"/>
                <w:color w:val="auto"/>
              </w:rPr>
            </w:pPr>
          </w:p>
        </w:tc>
        <w:tc>
          <w:tcPr>
            <w:tcW w:w="1980" w:type="dxa"/>
            <w:vAlign w:val="bottom"/>
            <w:shd w:val="clear" w:color="auto" w:fill="BFA071"/>
          </w:tcPr>
          <w:p>
            <w:pPr>
              <w:spacing w:after="0"/>
              <w:rPr>
                <w:sz w:val="14"/>
                <w:szCs w:val="14"/>
                <w:color w:val="auto"/>
              </w:rPr>
            </w:pPr>
          </w:p>
        </w:tc>
        <w:tc>
          <w:tcPr>
            <w:tcW w:w="196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Cumulative Adjusted</w:t>
            </w:r>
          </w:p>
        </w:tc>
        <w:tc>
          <w:tcPr>
            <w:tcW w:w="2060" w:type="dxa"/>
            <w:vAlign w:val="bottom"/>
            <w:shd w:val="clear" w:color="auto" w:fill="BFA071"/>
          </w:tcPr>
          <w:p>
            <w:pPr>
              <w:jc w:val="center"/>
              <w:ind w:right="48"/>
              <w:spacing w:after="0"/>
              <w:rPr>
                <w:sz w:val="20"/>
                <w:szCs w:val="20"/>
                <w:color w:val="auto"/>
              </w:rPr>
            </w:pPr>
            <w:r>
              <w:rPr>
                <w:rFonts w:ascii="Arial" w:cs="Arial" w:eastAsia="Arial" w:hAnsi="Arial"/>
                <w:sz w:val="14"/>
                <w:szCs w:val="14"/>
                <w:b w:val="1"/>
                <w:bCs w:val="1"/>
                <w:color w:val="FFFFFF"/>
              </w:rPr>
              <w:t>Percent of Target</w:t>
            </w:r>
          </w:p>
        </w:tc>
      </w:tr>
      <w:tr>
        <w:trPr>
          <w:trHeight w:val="205"/>
        </w:trPr>
        <w:tc>
          <w:tcPr>
            <w:tcW w:w="3180" w:type="dxa"/>
            <w:vAlign w:val="bottom"/>
            <w:tcBorders>
              <w:bottom w:val="single" w:sz="8" w:color="001641"/>
            </w:tcBorders>
            <w:shd w:val="clear" w:color="auto" w:fill="001641"/>
          </w:tcPr>
          <w:p>
            <w:pPr>
              <w:ind w:left="160"/>
              <w:spacing w:after="0"/>
              <w:rPr>
                <w:sz w:val="20"/>
                <w:szCs w:val="20"/>
                <w:color w:val="auto"/>
              </w:rPr>
            </w:pPr>
            <w:r>
              <w:rPr>
                <w:rFonts w:ascii="Arial" w:cs="Arial" w:eastAsia="Arial" w:hAnsi="Arial"/>
                <w:sz w:val="14"/>
                <w:szCs w:val="14"/>
                <w:b w:val="1"/>
                <w:bCs w:val="1"/>
                <w:color w:val="FFFFFF"/>
              </w:rPr>
              <w:t>Performance Level</w:t>
            </w:r>
          </w:p>
        </w:tc>
        <w:tc>
          <w:tcPr>
            <w:tcW w:w="1980" w:type="dxa"/>
            <w:vAlign w:val="bottom"/>
            <w:tcBorders>
              <w:bottom w:val="single" w:sz="8" w:color="BFA071"/>
            </w:tcBorders>
            <w:shd w:val="clear" w:color="auto" w:fill="BFA071"/>
          </w:tcPr>
          <w:p>
            <w:pPr>
              <w:ind w:left="220"/>
              <w:spacing w:after="0"/>
              <w:rPr>
                <w:sz w:val="20"/>
                <w:szCs w:val="20"/>
                <w:color w:val="auto"/>
              </w:rPr>
            </w:pPr>
            <w:r>
              <w:rPr>
                <w:rFonts w:ascii="Arial" w:cs="Arial" w:eastAsia="Arial" w:hAnsi="Arial"/>
                <w:sz w:val="14"/>
                <w:szCs w:val="14"/>
                <w:b w:val="1"/>
                <w:bCs w:val="1"/>
                <w:color w:val="FFFFFF"/>
              </w:rPr>
              <w:t>% Performance Target</w:t>
            </w:r>
          </w:p>
        </w:tc>
        <w:tc>
          <w:tcPr>
            <w:tcW w:w="1960" w:type="dxa"/>
            <w:vAlign w:val="bottom"/>
            <w:tcBorders>
              <w:bottom w:val="single" w:sz="8" w:color="001641"/>
            </w:tcBorders>
            <w:shd w:val="clear" w:color="auto" w:fill="001641"/>
          </w:tcPr>
          <w:p>
            <w:pPr>
              <w:jc w:val="center"/>
              <w:spacing w:after="0"/>
              <w:rPr>
                <w:sz w:val="20"/>
                <w:szCs w:val="20"/>
                <w:color w:val="auto"/>
              </w:rPr>
            </w:pPr>
            <w:r>
              <w:rPr>
                <w:rFonts w:ascii="Arial" w:cs="Arial" w:eastAsia="Arial" w:hAnsi="Arial"/>
                <w:sz w:val="14"/>
                <w:szCs w:val="14"/>
                <w:b w:val="1"/>
                <w:bCs w:val="1"/>
                <w:color w:val="FFFFFF"/>
              </w:rPr>
              <w:t>ROIC Goals</w:t>
            </w:r>
          </w:p>
        </w:tc>
        <w:tc>
          <w:tcPr>
            <w:tcW w:w="2060" w:type="dxa"/>
            <w:vAlign w:val="bottom"/>
            <w:tcBorders>
              <w:bottom w:val="single" w:sz="8" w:color="BFA071"/>
            </w:tcBorders>
            <w:shd w:val="clear" w:color="auto" w:fill="BFA071"/>
          </w:tcPr>
          <w:p>
            <w:pPr>
              <w:jc w:val="center"/>
              <w:spacing w:after="0"/>
              <w:rPr>
                <w:sz w:val="20"/>
                <w:szCs w:val="20"/>
                <w:color w:val="auto"/>
              </w:rPr>
            </w:pPr>
            <w:r>
              <w:rPr>
                <w:rFonts w:ascii="Arial" w:cs="Arial" w:eastAsia="Arial" w:hAnsi="Arial"/>
                <w:sz w:val="14"/>
                <w:szCs w:val="14"/>
                <w:b w:val="1"/>
                <w:bCs w:val="1"/>
                <w:color w:val="FFFFFF"/>
              </w:rPr>
              <w:t>Award Earned</w:t>
            </w:r>
          </w:p>
        </w:tc>
      </w:tr>
      <w:tr>
        <w:trPr>
          <w:trHeight w:val="270"/>
        </w:trPr>
        <w:tc>
          <w:tcPr>
            <w:tcW w:w="3180" w:type="dxa"/>
            <w:vAlign w:val="bottom"/>
          </w:tcPr>
          <w:p>
            <w:pPr>
              <w:ind w:left="160"/>
              <w:spacing w:after="0"/>
              <w:rPr>
                <w:sz w:val="20"/>
                <w:szCs w:val="20"/>
                <w:color w:val="auto"/>
              </w:rPr>
            </w:pPr>
            <w:r>
              <w:rPr>
                <w:rFonts w:ascii="Arial" w:cs="Arial" w:eastAsia="Arial" w:hAnsi="Arial"/>
                <w:sz w:val="14"/>
                <w:szCs w:val="14"/>
                <w:color w:val="001641"/>
              </w:rPr>
              <w:t>Threshold</w:t>
            </w:r>
          </w:p>
        </w:tc>
        <w:tc>
          <w:tcPr>
            <w:tcW w:w="1980" w:type="dxa"/>
            <w:vAlign w:val="bottom"/>
            <w:tcBorders>
              <w:bottom w:val="single" w:sz="8" w:color="EBE1D2"/>
            </w:tcBorders>
            <w:shd w:val="clear" w:color="auto" w:fill="EBE1D2"/>
          </w:tcPr>
          <w:p>
            <w:pPr>
              <w:jc w:val="center"/>
              <w:spacing w:after="0"/>
              <w:rPr>
                <w:sz w:val="20"/>
                <w:szCs w:val="20"/>
                <w:color w:val="auto"/>
              </w:rPr>
            </w:pPr>
            <w:r>
              <w:rPr>
                <w:rFonts w:ascii="Arial" w:cs="Arial" w:eastAsia="Arial" w:hAnsi="Arial"/>
                <w:sz w:val="14"/>
                <w:szCs w:val="14"/>
                <w:color w:val="001641"/>
                <w:w w:val="99"/>
              </w:rPr>
              <w:t>90%</w:t>
            </w:r>
          </w:p>
        </w:tc>
        <w:tc>
          <w:tcPr>
            <w:tcW w:w="1960" w:type="dxa"/>
            <w:vAlign w:val="bottom"/>
          </w:tcPr>
          <w:p>
            <w:pPr>
              <w:jc w:val="center"/>
              <w:spacing w:after="0"/>
              <w:rPr>
                <w:sz w:val="20"/>
                <w:szCs w:val="20"/>
                <w:color w:val="auto"/>
              </w:rPr>
            </w:pPr>
            <w:r>
              <w:rPr>
                <w:rFonts w:ascii="Arial" w:cs="Arial" w:eastAsia="Arial" w:hAnsi="Arial"/>
                <w:sz w:val="14"/>
                <w:szCs w:val="14"/>
                <w:color w:val="001641"/>
              </w:rPr>
              <w:t>87.9%</w:t>
            </w:r>
          </w:p>
        </w:tc>
        <w:tc>
          <w:tcPr>
            <w:tcW w:w="2060" w:type="dxa"/>
            <w:vAlign w:val="bottom"/>
            <w:tcBorders>
              <w:bottom w:val="single" w:sz="8" w:color="EBE1D2"/>
            </w:tcBorders>
            <w:shd w:val="clear" w:color="auto" w:fill="EBE1D2"/>
          </w:tcPr>
          <w:p>
            <w:pPr>
              <w:jc w:val="center"/>
              <w:spacing w:after="0"/>
              <w:rPr>
                <w:sz w:val="20"/>
                <w:szCs w:val="20"/>
                <w:color w:val="auto"/>
              </w:rPr>
            </w:pPr>
            <w:r>
              <w:rPr>
                <w:rFonts w:ascii="Arial" w:cs="Arial" w:eastAsia="Arial" w:hAnsi="Arial"/>
                <w:sz w:val="14"/>
                <w:szCs w:val="14"/>
                <w:color w:val="001641"/>
                <w:w w:val="99"/>
              </w:rPr>
              <w:t>50%</w:t>
            </w:r>
          </w:p>
        </w:tc>
      </w:tr>
      <w:tr>
        <w:trPr>
          <w:trHeight w:val="263"/>
        </w:trPr>
        <w:tc>
          <w:tcPr>
            <w:tcW w:w="3180" w:type="dxa"/>
            <w:vAlign w:val="bottom"/>
            <w:tcBorders>
              <w:top w:val="single" w:sz="8" w:color="BFA071"/>
            </w:tcBorders>
          </w:tcPr>
          <w:p>
            <w:pPr>
              <w:ind w:left="160"/>
              <w:spacing w:after="0"/>
              <w:rPr>
                <w:sz w:val="20"/>
                <w:szCs w:val="20"/>
                <w:color w:val="auto"/>
              </w:rPr>
            </w:pPr>
            <w:r>
              <w:rPr>
                <w:rFonts w:ascii="Arial" w:cs="Arial" w:eastAsia="Arial" w:hAnsi="Arial"/>
                <w:sz w:val="14"/>
                <w:szCs w:val="14"/>
                <w:color w:val="001641"/>
              </w:rPr>
              <w:t>Target</w:t>
            </w:r>
          </w:p>
        </w:tc>
        <w:tc>
          <w:tcPr>
            <w:tcW w:w="1980" w:type="dxa"/>
            <w:vAlign w:val="bottom"/>
            <w:tcBorders>
              <w:top w:val="single" w:sz="8" w:color="BFA071"/>
              <w:bottom w:val="single" w:sz="8" w:color="EBE1D2"/>
            </w:tcBorders>
            <w:shd w:val="clear" w:color="auto" w:fill="EBE1D2"/>
          </w:tcPr>
          <w:p>
            <w:pPr>
              <w:jc w:val="center"/>
              <w:spacing w:after="0"/>
              <w:rPr>
                <w:sz w:val="20"/>
                <w:szCs w:val="20"/>
                <w:color w:val="auto"/>
              </w:rPr>
            </w:pPr>
            <w:r>
              <w:rPr>
                <w:rFonts w:ascii="Arial" w:cs="Arial" w:eastAsia="Arial" w:hAnsi="Arial"/>
                <w:sz w:val="14"/>
                <w:szCs w:val="14"/>
                <w:color w:val="001641"/>
              </w:rPr>
              <w:t>100%</w:t>
            </w:r>
          </w:p>
        </w:tc>
        <w:tc>
          <w:tcPr>
            <w:tcW w:w="1960" w:type="dxa"/>
            <w:vAlign w:val="bottom"/>
            <w:tcBorders>
              <w:top w:val="single" w:sz="8" w:color="BFA071"/>
            </w:tcBorders>
          </w:tcPr>
          <w:p>
            <w:pPr>
              <w:jc w:val="center"/>
              <w:spacing w:after="0"/>
              <w:rPr>
                <w:sz w:val="20"/>
                <w:szCs w:val="20"/>
                <w:color w:val="auto"/>
              </w:rPr>
            </w:pPr>
            <w:r>
              <w:rPr>
                <w:rFonts w:ascii="Arial" w:cs="Arial" w:eastAsia="Arial" w:hAnsi="Arial"/>
                <w:sz w:val="14"/>
                <w:szCs w:val="14"/>
                <w:color w:val="001641"/>
              </w:rPr>
              <w:t>97.7%</w:t>
            </w:r>
          </w:p>
        </w:tc>
        <w:tc>
          <w:tcPr>
            <w:tcW w:w="2060" w:type="dxa"/>
            <w:vAlign w:val="bottom"/>
            <w:tcBorders>
              <w:top w:val="single" w:sz="8" w:color="BFA071"/>
              <w:bottom w:val="single" w:sz="8" w:color="EBE1D2"/>
            </w:tcBorders>
            <w:shd w:val="clear" w:color="auto" w:fill="EBE1D2"/>
          </w:tcPr>
          <w:p>
            <w:pPr>
              <w:jc w:val="center"/>
              <w:spacing w:after="0"/>
              <w:rPr>
                <w:sz w:val="20"/>
                <w:szCs w:val="20"/>
                <w:color w:val="auto"/>
              </w:rPr>
            </w:pPr>
            <w:r>
              <w:rPr>
                <w:rFonts w:ascii="Arial" w:cs="Arial" w:eastAsia="Arial" w:hAnsi="Arial"/>
                <w:sz w:val="14"/>
                <w:szCs w:val="14"/>
                <w:color w:val="001641"/>
              </w:rPr>
              <w:t>100%</w:t>
            </w:r>
          </w:p>
        </w:tc>
      </w:tr>
      <w:tr>
        <w:trPr>
          <w:trHeight w:val="264"/>
        </w:trPr>
        <w:tc>
          <w:tcPr>
            <w:tcW w:w="3180" w:type="dxa"/>
            <w:vAlign w:val="bottom"/>
            <w:tcBorders>
              <w:top w:val="single" w:sz="8" w:color="BFA071"/>
            </w:tcBorders>
          </w:tcPr>
          <w:p>
            <w:pPr>
              <w:ind w:left="160"/>
              <w:spacing w:after="0"/>
              <w:rPr>
                <w:sz w:val="20"/>
                <w:szCs w:val="20"/>
                <w:color w:val="auto"/>
              </w:rPr>
            </w:pPr>
            <w:r>
              <w:rPr>
                <w:rFonts w:ascii="Arial" w:cs="Arial" w:eastAsia="Arial" w:hAnsi="Arial"/>
                <w:sz w:val="14"/>
                <w:szCs w:val="14"/>
                <w:color w:val="001641"/>
              </w:rPr>
              <w:t>Maximum</w:t>
            </w:r>
          </w:p>
        </w:tc>
        <w:tc>
          <w:tcPr>
            <w:tcW w:w="1980" w:type="dxa"/>
            <w:vAlign w:val="bottom"/>
            <w:tcBorders>
              <w:top w:val="single" w:sz="8" w:color="BFA071"/>
              <w:bottom w:val="single" w:sz="8" w:color="EBE1D2"/>
            </w:tcBorders>
            <w:shd w:val="clear" w:color="auto" w:fill="EBE1D2"/>
          </w:tcPr>
          <w:p>
            <w:pPr>
              <w:jc w:val="center"/>
              <w:spacing w:after="0"/>
              <w:rPr>
                <w:sz w:val="20"/>
                <w:szCs w:val="20"/>
                <w:color w:val="auto"/>
              </w:rPr>
            </w:pPr>
            <w:r>
              <w:rPr>
                <w:rFonts w:ascii="Arial" w:cs="Arial" w:eastAsia="Arial" w:hAnsi="Arial"/>
                <w:sz w:val="14"/>
                <w:szCs w:val="14"/>
                <w:color w:val="001641"/>
              </w:rPr>
              <w:t>110%</w:t>
            </w:r>
          </w:p>
        </w:tc>
        <w:tc>
          <w:tcPr>
            <w:tcW w:w="1960" w:type="dxa"/>
            <w:vAlign w:val="bottom"/>
            <w:tcBorders>
              <w:top w:val="single" w:sz="8" w:color="BFA071"/>
            </w:tcBorders>
          </w:tcPr>
          <w:p>
            <w:pPr>
              <w:jc w:val="center"/>
              <w:spacing w:after="0"/>
              <w:rPr>
                <w:sz w:val="20"/>
                <w:szCs w:val="20"/>
                <w:color w:val="auto"/>
              </w:rPr>
            </w:pPr>
            <w:r>
              <w:rPr>
                <w:rFonts w:ascii="Arial" w:cs="Arial" w:eastAsia="Arial" w:hAnsi="Arial"/>
                <w:sz w:val="14"/>
                <w:szCs w:val="14"/>
                <w:color w:val="001641"/>
              </w:rPr>
              <w:t>107.5%</w:t>
            </w:r>
          </w:p>
        </w:tc>
        <w:tc>
          <w:tcPr>
            <w:tcW w:w="2060" w:type="dxa"/>
            <w:vAlign w:val="bottom"/>
            <w:tcBorders>
              <w:top w:val="single" w:sz="8" w:color="BFA071"/>
              <w:bottom w:val="single" w:sz="8" w:color="EBE1D2"/>
            </w:tcBorders>
            <w:shd w:val="clear" w:color="auto" w:fill="EBE1D2"/>
          </w:tcPr>
          <w:p>
            <w:pPr>
              <w:jc w:val="center"/>
              <w:spacing w:after="0"/>
              <w:rPr>
                <w:sz w:val="20"/>
                <w:szCs w:val="20"/>
                <w:color w:val="auto"/>
              </w:rPr>
            </w:pPr>
            <w:r>
              <w:rPr>
                <w:rFonts w:ascii="Arial" w:cs="Arial" w:eastAsia="Arial" w:hAnsi="Arial"/>
                <w:sz w:val="14"/>
                <w:szCs w:val="14"/>
                <w:color w:val="001641"/>
              </w:rPr>
              <w:t>200%</w:t>
            </w:r>
          </w:p>
        </w:tc>
      </w:tr>
      <w:tr>
        <w:trPr>
          <w:trHeight w:val="230"/>
        </w:trPr>
        <w:tc>
          <w:tcPr>
            <w:tcW w:w="3180" w:type="dxa"/>
            <w:vAlign w:val="bottom"/>
            <w:tcBorders>
              <w:top w:val="single" w:sz="8" w:color="BFA071"/>
              <w:bottom w:val="single" w:sz="8" w:color="EBE1D2"/>
            </w:tcBorders>
            <w:shd w:val="clear" w:color="auto" w:fill="EBE1D2"/>
          </w:tcPr>
          <w:p>
            <w:pPr>
              <w:ind w:left="160"/>
              <w:spacing w:after="0"/>
              <w:rPr>
                <w:sz w:val="20"/>
                <w:szCs w:val="20"/>
                <w:color w:val="auto"/>
              </w:rPr>
            </w:pPr>
            <w:r>
              <w:rPr>
                <w:rFonts w:ascii="Arial" w:cs="Arial" w:eastAsia="Arial" w:hAnsi="Arial"/>
                <w:sz w:val="14"/>
                <w:szCs w:val="14"/>
                <w:b w:val="1"/>
                <w:bCs w:val="1"/>
                <w:color w:val="001641"/>
              </w:rPr>
              <w:t>Actual Achievement</w:t>
            </w:r>
          </w:p>
        </w:tc>
        <w:tc>
          <w:tcPr>
            <w:tcW w:w="1980" w:type="dxa"/>
            <w:vAlign w:val="bottom"/>
            <w:tcBorders>
              <w:top w:val="single" w:sz="8" w:color="BFA071"/>
              <w:bottom w:val="single" w:sz="8" w:color="EBE1D2"/>
            </w:tcBorders>
            <w:shd w:val="clear" w:color="auto" w:fill="EBE1D2"/>
          </w:tcPr>
          <w:p>
            <w:pPr>
              <w:jc w:val="center"/>
              <w:spacing w:after="0"/>
              <w:rPr>
                <w:sz w:val="20"/>
                <w:szCs w:val="20"/>
                <w:color w:val="auto"/>
              </w:rPr>
            </w:pPr>
            <w:r>
              <w:rPr>
                <w:rFonts w:ascii="Arial" w:cs="Arial" w:eastAsia="Arial" w:hAnsi="Arial"/>
                <w:sz w:val="14"/>
                <w:szCs w:val="14"/>
                <w:b w:val="1"/>
                <w:bCs w:val="1"/>
                <w:color w:val="001641"/>
              </w:rPr>
              <w:t>110%</w:t>
            </w:r>
          </w:p>
        </w:tc>
        <w:tc>
          <w:tcPr>
            <w:tcW w:w="1960" w:type="dxa"/>
            <w:vAlign w:val="bottom"/>
            <w:tcBorders>
              <w:top w:val="single" w:sz="8" w:color="BFA071"/>
              <w:bottom w:val="single" w:sz="8" w:color="EBE1D2"/>
            </w:tcBorders>
            <w:shd w:val="clear" w:color="auto" w:fill="EBE1D2"/>
          </w:tcPr>
          <w:p>
            <w:pPr>
              <w:jc w:val="center"/>
              <w:spacing w:after="0"/>
              <w:rPr>
                <w:sz w:val="20"/>
                <w:szCs w:val="20"/>
                <w:color w:val="auto"/>
              </w:rPr>
            </w:pPr>
            <w:r>
              <w:rPr>
                <w:rFonts w:ascii="Arial" w:cs="Arial" w:eastAsia="Arial" w:hAnsi="Arial"/>
                <w:sz w:val="14"/>
                <w:szCs w:val="14"/>
                <w:b w:val="1"/>
                <w:bCs w:val="1"/>
                <w:color w:val="001641"/>
              </w:rPr>
              <w:t>132.5%</w:t>
            </w:r>
          </w:p>
        </w:tc>
        <w:tc>
          <w:tcPr>
            <w:tcW w:w="2060" w:type="dxa"/>
            <w:vAlign w:val="bottom"/>
            <w:tcBorders>
              <w:top w:val="single" w:sz="8" w:color="BFA071"/>
              <w:bottom w:val="single" w:sz="8" w:color="EBE1D2"/>
            </w:tcBorders>
            <w:shd w:val="clear" w:color="auto" w:fill="EBE1D2"/>
          </w:tcPr>
          <w:p>
            <w:pPr>
              <w:jc w:val="center"/>
              <w:spacing w:after="0"/>
              <w:rPr>
                <w:sz w:val="20"/>
                <w:szCs w:val="20"/>
                <w:color w:val="auto"/>
              </w:rPr>
            </w:pPr>
            <w:r>
              <w:rPr>
                <w:rFonts w:ascii="Arial" w:cs="Arial" w:eastAsia="Arial" w:hAnsi="Arial"/>
                <w:sz w:val="14"/>
                <w:szCs w:val="14"/>
                <w:b w:val="1"/>
                <w:bCs w:val="1"/>
                <w:color w:val="001641"/>
              </w:rPr>
              <w:t>200%</w:t>
            </w:r>
          </w:p>
        </w:tc>
      </w:tr>
      <w:tr>
        <w:trPr>
          <w:trHeight w:val="20"/>
        </w:trPr>
        <w:tc>
          <w:tcPr>
            <w:tcW w:w="3180" w:type="dxa"/>
            <w:vAlign w:val="bottom"/>
            <w:shd w:val="clear" w:color="auto" w:fill="001641"/>
          </w:tcPr>
          <w:p>
            <w:pPr>
              <w:spacing w:after="0" w:line="20" w:lineRule="exact"/>
              <w:rPr>
                <w:sz w:val="1"/>
                <w:szCs w:val="1"/>
                <w:color w:val="auto"/>
              </w:rPr>
            </w:pPr>
          </w:p>
        </w:tc>
        <w:tc>
          <w:tcPr>
            <w:tcW w:w="1980" w:type="dxa"/>
            <w:vAlign w:val="bottom"/>
            <w:shd w:val="clear" w:color="auto" w:fill="001641"/>
          </w:tcPr>
          <w:p>
            <w:pPr>
              <w:spacing w:after="0" w:line="20" w:lineRule="exact"/>
              <w:rPr>
                <w:sz w:val="1"/>
                <w:szCs w:val="1"/>
                <w:color w:val="auto"/>
              </w:rPr>
            </w:pPr>
          </w:p>
        </w:tc>
        <w:tc>
          <w:tcPr>
            <w:tcW w:w="1960" w:type="dxa"/>
            <w:vAlign w:val="bottom"/>
            <w:shd w:val="clear" w:color="auto" w:fill="001641"/>
          </w:tcPr>
          <w:p>
            <w:pPr>
              <w:spacing w:after="0" w:line="20" w:lineRule="exact"/>
              <w:rPr>
                <w:sz w:val="1"/>
                <w:szCs w:val="1"/>
                <w:color w:val="auto"/>
              </w:rPr>
            </w:pPr>
          </w:p>
        </w:tc>
        <w:tc>
          <w:tcPr>
            <w:tcW w:w="2060" w:type="dxa"/>
            <w:vAlign w:val="bottom"/>
            <w:shd w:val="clear" w:color="auto" w:fill="001641"/>
          </w:tcPr>
          <w:p>
            <w:pPr>
              <w:spacing w:after="0" w:line="20" w:lineRule="exact"/>
              <w:rPr>
                <w:sz w:val="1"/>
                <w:szCs w:val="1"/>
                <w:color w:val="auto"/>
              </w:rPr>
            </w:pPr>
          </w:p>
        </w:tc>
      </w:tr>
    </w:tbl>
    <w:p>
      <w:pPr>
        <w:spacing w:after="0" w:line="148"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 PSU Comparator Group which was used for the Fiscal 2024 PSUs—Relative TSR is shown below. The companies in the PSU Comparator Group include luxury retail peers, certain department stores and apparel wholesalers, and other leading companies in the industry. Nordstrom, Inc. has been removed as it is no longer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582930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 w:type="dxa"/>
            <w:vAlign w:val="bottom"/>
          </w:tcPr>
          <w:p>
            <w:pPr>
              <w:spacing w:after="0"/>
              <w:rPr>
                <w:sz w:val="18"/>
                <w:szCs w:val="18"/>
                <w:color w:val="auto"/>
              </w:rPr>
            </w:pPr>
          </w:p>
        </w:tc>
        <w:tc>
          <w:tcPr>
            <w:tcW w:w="2060" w:type="dxa"/>
            <w:vAlign w:val="bottom"/>
          </w:tcPr>
          <w:p>
            <w:pPr>
              <w:ind w:left="60"/>
              <w:spacing w:after="0"/>
              <w:rPr>
                <w:sz w:val="20"/>
                <w:szCs w:val="20"/>
                <w:color w:val="auto"/>
              </w:rPr>
            </w:pPr>
            <w:r>
              <w:rPr>
                <w:rFonts w:ascii="Arial" w:cs="Arial" w:eastAsia="Arial" w:hAnsi="Arial"/>
                <w:sz w:val="16"/>
                <w:szCs w:val="16"/>
                <w:color w:val="001641"/>
              </w:rPr>
              <w:t>Abercrombie &amp; Fitch Co.</w:t>
            </w:r>
          </w:p>
        </w:tc>
        <w:tc>
          <w:tcPr>
            <w:tcW w:w="2440" w:type="dxa"/>
            <w:vAlign w:val="bottom"/>
          </w:tcPr>
          <w:p>
            <w:pPr>
              <w:ind w:left="240"/>
              <w:spacing w:after="0"/>
              <w:rPr>
                <w:sz w:val="20"/>
                <w:szCs w:val="20"/>
                <w:color w:val="auto"/>
              </w:rPr>
            </w:pPr>
            <w:r>
              <w:rPr>
                <w:rFonts w:ascii="Arial" w:cs="Arial" w:eastAsia="Arial" w:hAnsi="Arial"/>
                <w:sz w:val="16"/>
                <w:szCs w:val="16"/>
                <w:color w:val="001641"/>
              </w:rPr>
              <w:t>Levi Strauss &amp; Co.</w:t>
            </w:r>
          </w:p>
        </w:tc>
        <w:tc>
          <w:tcPr>
            <w:tcW w:w="1600" w:type="dxa"/>
            <w:vAlign w:val="bottom"/>
            <w:gridSpan w:val="2"/>
          </w:tcPr>
          <w:p>
            <w:pPr>
              <w:ind w:left="100"/>
              <w:spacing w:after="0"/>
              <w:rPr>
                <w:sz w:val="20"/>
                <w:szCs w:val="20"/>
                <w:color w:val="auto"/>
              </w:rPr>
            </w:pPr>
            <w:r>
              <w:rPr>
                <w:rFonts w:ascii="Arial" w:cs="Arial" w:eastAsia="Arial" w:hAnsi="Arial"/>
                <w:sz w:val="16"/>
                <w:szCs w:val="16"/>
                <w:color w:val="001641"/>
              </w:rPr>
              <w:t>RH</w:t>
            </w:r>
          </w:p>
        </w:tc>
        <w:tc>
          <w:tcPr>
            <w:tcW w:w="2980" w:type="dxa"/>
            <w:vAlign w:val="bottom"/>
          </w:tcPr>
          <w:p>
            <w:pPr>
              <w:ind w:left="780"/>
              <w:spacing w:after="0"/>
              <w:rPr>
                <w:sz w:val="20"/>
                <w:szCs w:val="20"/>
                <w:color w:val="auto"/>
              </w:rPr>
            </w:pPr>
            <w:r>
              <w:rPr>
                <w:rFonts w:ascii="Arial" w:cs="Arial" w:eastAsia="Arial" w:hAnsi="Arial"/>
                <w:sz w:val="16"/>
                <w:szCs w:val="16"/>
                <w:color w:val="001641"/>
              </w:rPr>
              <w:t>Williams-Sonoma, Inc.</w:t>
            </w:r>
          </w:p>
        </w:tc>
        <w:tc>
          <w:tcPr>
            <w:tcW w:w="0" w:type="dxa"/>
            <w:vAlign w:val="bottom"/>
          </w:tcPr>
          <w:p>
            <w:pPr>
              <w:spacing w:after="0"/>
              <w:rPr>
                <w:sz w:val="1"/>
                <w:szCs w:val="1"/>
                <w:color w:val="auto"/>
              </w:rPr>
            </w:pPr>
          </w:p>
        </w:tc>
      </w:tr>
      <w:tr>
        <w:trPr>
          <w:trHeight w:val="43"/>
        </w:trPr>
        <w:tc>
          <w:tcPr>
            <w:tcW w:w="100" w:type="dxa"/>
            <w:vAlign w:val="bottom"/>
            <w:tcBorders>
              <w:bottom w:val="single" w:sz="8" w:color="BFA071"/>
            </w:tcBorders>
          </w:tcPr>
          <w:p>
            <w:pPr>
              <w:spacing w:after="0"/>
              <w:rPr>
                <w:sz w:val="3"/>
                <w:szCs w:val="3"/>
                <w:color w:val="auto"/>
              </w:rPr>
            </w:pPr>
          </w:p>
        </w:tc>
        <w:tc>
          <w:tcPr>
            <w:tcW w:w="2060" w:type="dxa"/>
            <w:vAlign w:val="bottom"/>
            <w:tcBorders>
              <w:bottom w:val="single" w:sz="8" w:color="BFA071"/>
            </w:tcBorders>
          </w:tcPr>
          <w:p>
            <w:pPr>
              <w:spacing w:after="0"/>
              <w:rPr>
                <w:sz w:val="3"/>
                <w:szCs w:val="3"/>
                <w:color w:val="auto"/>
              </w:rPr>
            </w:pPr>
          </w:p>
        </w:tc>
        <w:tc>
          <w:tcPr>
            <w:tcW w:w="2440" w:type="dxa"/>
            <w:vAlign w:val="bottom"/>
            <w:tcBorders>
              <w:bottom w:val="single" w:sz="8" w:color="BFA071"/>
            </w:tcBorders>
          </w:tcPr>
          <w:p>
            <w:pPr>
              <w:spacing w:after="0"/>
              <w:rPr>
                <w:sz w:val="3"/>
                <w:szCs w:val="3"/>
                <w:color w:val="auto"/>
              </w:rPr>
            </w:pPr>
          </w:p>
        </w:tc>
        <w:tc>
          <w:tcPr>
            <w:tcW w:w="1500" w:type="dxa"/>
            <w:vAlign w:val="bottom"/>
            <w:tcBorders>
              <w:bottom w:val="single" w:sz="8" w:color="BFA071"/>
            </w:tcBorders>
          </w:tcPr>
          <w:p>
            <w:pPr>
              <w:spacing w:after="0"/>
              <w:rPr>
                <w:sz w:val="3"/>
                <w:szCs w:val="3"/>
                <w:color w:val="auto"/>
              </w:rPr>
            </w:pPr>
          </w:p>
        </w:tc>
        <w:tc>
          <w:tcPr>
            <w:tcW w:w="100" w:type="dxa"/>
            <w:vAlign w:val="bottom"/>
            <w:tcBorders>
              <w:bottom w:val="single" w:sz="8" w:color="BFA071"/>
            </w:tcBorders>
          </w:tcPr>
          <w:p>
            <w:pPr>
              <w:spacing w:after="0"/>
              <w:rPr>
                <w:sz w:val="3"/>
                <w:szCs w:val="3"/>
                <w:color w:val="auto"/>
              </w:rPr>
            </w:pPr>
          </w:p>
        </w:tc>
        <w:tc>
          <w:tcPr>
            <w:tcW w:w="2980" w:type="dxa"/>
            <w:vAlign w:val="bottom"/>
            <w:tcBorders>
              <w:bottom w:val="single" w:sz="8" w:color="BFA071"/>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060" w:type="dxa"/>
            <w:vAlign w:val="bottom"/>
          </w:tcPr>
          <w:p>
            <w:pPr>
              <w:ind w:left="60"/>
              <w:spacing w:after="0"/>
              <w:rPr>
                <w:sz w:val="20"/>
                <w:szCs w:val="20"/>
                <w:color w:val="auto"/>
              </w:rPr>
            </w:pPr>
            <w:r>
              <w:rPr>
                <w:rFonts w:ascii="Arial" w:cs="Arial" w:eastAsia="Arial" w:hAnsi="Arial"/>
                <w:sz w:val="16"/>
                <w:szCs w:val="16"/>
                <w:color w:val="001641"/>
              </w:rPr>
              <w:t>Capri Holdings Ltd.</w:t>
            </w:r>
          </w:p>
        </w:tc>
        <w:tc>
          <w:tcPr>
            <w:tcW w:w="2440" w:type="dxa"/>
            <w:vAlign w:val="bottom"/>
          </w:tcPr>
          <w:p>
            <w:pPr>
              <w:ind w:left="240"/>
              <w:spacing w:after="0"/>
              <w:rPr>
                <w:sz w:val="20"/>
                <w:szCs w:val="20"/>
                <w:color w:val="auto"/>
              </w:rPr>
            </w:pPr>
            <w:r>
              <w:rPr>
                <w:rFonts w:ascii="Arial" w:cs="Arial" w:eastAsia="Arial" w:hAnsi="Arial"/>
                <w:sz w:val="16"/>
                <w:szCs w:val="16"/>
                <w:color w:val="001641"/>
              </w:rPr>
              <w:t>lululemon athletica inc.</w:t>
            </w:r>
          </w:p>
        </w:tc>
        <w:tc>
          <w:tcPr>
            <w:tcW w:w="1600" w:type="dxa"/>
            <w:vAlign w:val="bottom"/>
            <w:gridSpan w:val="2"/>
          </w:tcPr>
          <w:p>
            <w:pPr>
              <w:ind w:left="100"/>
              <w:spacing w:after="0"/>
              <w:rPr>
                <w:sz w:val="20"/>
                <w:szCs w:val="20"/>
                <w:color w:val="auto"/>
              </w:rPr>
            </w:pPr>
            <w:r>
              <w:rPr>
                <w:rFonts w:ascii="Arial" w:cs="Arial" w:eastAsia="Arial" w:hAnsi="Arial"/>
                <w:sz w:val="16"/>
                <w:szCs w:val="16"/>
                <w:color w:val="001641"/>
              </w:rPr>
              <w:t>Tapestry, Inc.</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BFA071"/>
            </w:tcBorders>
          </w:tcPr>
          <w:p>
            <w:pPr>
              <w:spacing w:after="0"/>
              <w:rPr>
                <w:sz w:val="3"/>
                <w:szCs w:val="3"/>
                <w:color w:val="auto"/>
              </w:rPr>
            </w:pPr>
          </w:p>
        </w:tc>
        <w:tc>
          <w:tcPr>
            <w:tcW w:w="2060" w:type="dxa"/>
            <w:vAlign w:val="bottom"/>
            <w:tcBorders>
              <w:bottom w:val="single" w:sz="8" w:color="BFA071"/>
            </w:tcBorders>
          </w:tcPr>
          <w:p>
            <w:pPr>
              <w:spacing w:after="0"/>
              <w:rPr>
                <w:sz w:val="3"/>
                <w:szCs w:val="3"/>
                <w:color w:val="auto"/>
              </w:rPr>
            </w:pPr>
          </w:p>
        </w:tc>
        <w:tc>
          <w:tcPr>
            <w:tcW w:w="2440" w:type="dxa"/>
            <w:vAlign w:val="bottom"/>
            <w:tcBorders>
              <w:bottom w:val="single" w:sz="8" w:color="BFA071"/>
            </w:tcBorders>
          </w:tcPr>
          <w:p>
            <w:pPr>
              <w:spacing w:after="0"/>
              <w:rPr>
                <w:sz w:val="3"/>
                <w:szCs w:val="3"/>
                <w:color w:val="auto"/>
              </w:rPr>
            </w:pPr>
          </w:p>
        </w:tc>
        <w:tc>
          <w:tcPr>
            <w:tcW w:w="1500" w:type="dxa"/>
            <w:vAlign w:val="bottom"/>
            <w:tcBorders>
              <w:bottom w:val="single" w:sz="8" w:color="BFA071"/>
            </w:tcBorders>
          </w:tcPr>
          <w:p>
            <w:pPr>
              <w:spacing w:after="0"/>
              <w:rPr>
                <w:sz w:val="3"/>
                <w:szCs w:val="3"/>
                <w:color w:val="auto"/>
              </w:rPr>
            </w:pPr>
          </w:p>
        </w:tc>
        <w:tc>
          <w:tcPr>
            <w:tcW w:w="100" w:type="dxa"/>
            <w:vAlign w:val="bottom"/>
            <w:tcBorders>
              <w:bottom w:val="single" w:sz="8" w:color="BFA071"/>
            </w:tcBorders>
          </w:tcPr>
          <w:p>
            <w:pPr>
              <w:spacing w:after="0"/>
              <w:rPr>
                <w:sz w:val="3"/>
                <w:szCs w:val="3"/>
                <w:color w:val="auto"/>
              </w:rPr>
            </w:pPr>
          </w:p>
        </w:tc>
        <w:tc>
          <w:tcPr>
            <w:tcW w:w="2980" w:type="dxa"/>
            <w:vAlign w:val="bottom"/>
            <w:tcBorders>
              <w:bottom w:val="single" w:sz="8" w:color="BFA071"/>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060" w:type="dxa"/>
            <w:vAlign w:val="bottom"/>
          </w:tcPr>
          <w:p>
            <w:pPr>
              <w:ind w:left="60"/>
              <w:spacing w:after="0"/>
              <w:rPr>
                <w:sz w:val="20"/>
                <w:szCs w:val="20"/>
                <w:color w:val="auto"/>
              </w:rPr>
            </w:pPr>
            <w:r>
              <w:rPr>
                <w:rFonts w:ascii="Arial" w:cs="Arial" w:eastAsia="Arial" w:hAnsi="Arial"/>
                <w:sz w:val="16"/>
                <w:szCs w:val="16"/>
                <w:color w:val="001641"/>
              </w:rPr>
              <w:t>Dillard’s, Inc.</w:t>
            </w:r>
          </w:p>
        </w:tc>
        <w:tc>
          <w:tcPr>
            <w:tcW w:w="2440" w:type="dxa"/>
            <w:vAlign w:val="bottom"/>
          </w:tcPr>
          <w:p>
            <w:pPr>
              <w:ind w:left="240"/>
              <w:spacing w:after="0"/>
              <w:rPr>
                <w:sz w:val="20"/>
                <w:szCs w:val="20"/>
                <w:color w:val="auto"/>
              </w:rPr>
            </w:pPr>
            <w:r>
              <w:rPr>
                <w:rFonts w:ascii="Arial" w:cs="Arial" w:eastAsia="Arial" w:hAnsi="Arial"/>
                <w:sz w:val="16"/>
                <w:szCs w:val="16"/>
                <w:color w:val="001641"/>
              </w:rPr>
              <w:t>Macy’s Inc.</w:t>
            </w:r>
          </w:p>
        </w:tc>
        <w:tc>
          <w:tcPr>
            <w:tcW w:w="1600" w:type="dxa"/>
            <w:vAlign w:val="bottom"/>
            <w:gridSpan w:val="2"/>
          </w:tcPr>
          <w:p>
            <w:pPr>
              <w:ind w:left="100"/>
              <w:spacing w:after="0"/>
              <w:rPr>
                <w:sz w:val="20"/>
                <w:szCs w:val="20"/>
                <w:color w:val="auto"/>
              </w:rPr>
            </w:pPr>
            <w:r>
              <w:rPr>
                <w:rFonts w:ascii="Arial" w:cs="Arial" w:eastAsia="Arial" w:hAnsi="Arial"/>
                <w:sz w:val="16"/>
                <w:szCs w:val="16"/>
                <w:color w:val="001641"/>
              </w:rPr>
              <w:t>Under Armour, Inc.</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BFA071"/>
            </w:tcBorders>
          </w:tcPr>
          <w:p>
            <w:pPr>
              <w:spacing w:after="0"/>
              <w:rPr>
                <w:sz w:val="3"/>
                <w:szCs w:val="3"/>
                <w:color w:val="auto"/>
              </w:rPr>
            </w:pPr>
          </w:p>
        </w:tc>
        <w:tc>
          <w:tcPr>
            <w:tcW w:w="2060" w:type="dxa"/>
            <w:vAlign w:val="bottom"/>
            <w:tcBorders>
              <w:bottom w:val="single" w:sz="8" w:color="BFA071"/>
            </w:tcBorders>
          </w:tcPr>
          <w:p>
            <w:pPr>
              <w:spacing w:after="0"/>
              <w:rPr>
                <w:sz w:val="3"/>
                <w:szCs w:val="3"/>
                <w:color w:val="auto"/>
              </w:rPr>
            </w:pPr>
          </w:p>
        </w:tc>
        <w:tc>
          <w:tcPr>
            <w:tcW w:w="2440" w:type="dxa"/>
            <w:vAlign w:val="bottom"/>
            <w:tcBorders>
              <w:bottom w:val="single" w:sz="8" w:color="BFA071"/>
            </w:tcBorders>
          </w:tcPr>
          <w:p>
            <w:pPr>
              <w:spacing w:after="0"/>
              <w:rPr>
                <w:sz w:val="3"/>
                <w:szCs w:val="3"/>
                <w:color w:val="auto"/>
              </w:rPr>
            </w:pPr>
          </w:p>
        </w:tc>
        <w:tc>
          <w:tcPr>
            <w:tcW w:w="1500" w:type="dxa"/>
            <w:vAlign w:val="bottom"/>
            <w:tcBorders>
              <w:bottom w:val="single" w:sz="8" w:color="BFA071"/>
            </w:tcBorders>
          </w:tcPr>
          <w:p>
            <w:pPr>
              <w:spacing w:after="0"/>
              <w:rPr>
                <w:sz w:val="3"/>
                <w:szCs w:val="3"/>
                <w:color w:val="auto"/>
              </w:rPr>
            </w:pPr>
          </w:p>
        </w:tc>
        <w:tc>
          <w:tcPr>
            <w:tcW w:w="100" w:type="dxa"/>
            <w:vAlign w:val="bottom"/>
            <w:tcBorders>
              <w:bottom w:val="single" w:sz="8" w:color="BFA071"/>
            </w:tcBorders>
          </w:tcPr>
          <w:p>
            <w:pPr>
              <w:spacing w:after="0"/>
              <w:rPr>
                <w:sz w:val="3"/>
                <w:szCs w:val="3"/>
                <w:color w:val="auto"/>
              </w:rPr>
            </w:pPr>
          </w:p>
        </w:tc>
        <w:tc>
          <w:tcPr>
            <w:tcW w:w="2980" w:type="dxa"/>
            <w:vAlign w:val="bottom"/>
            <w:tcBorders>
              <w:bottom w:val="single" w:sz="8" w:color="BFA071"/>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060" w:type="dxa"/>
            <w:vAlign w:val="bottom"/>
          </w:tcPr>
          <w:p>
            <w:pPr>
              <w:ind w:left="60"/>
              <w:spacing w:after="0"/>
              <w:rPr>
                <w:sz w:val="20"/>
                <w:szCs w:val="20"/>
                <w:color w:val="auto"/>
              </w:rPr>
            </w:pPr>
            <w:r>
              <w:rPr>
                <w:rFonts w:ascii="Arial" w:cs="Arial" w:eastAsia="Arial" w:hAnsi="Arial"/>
                <w:sz w:val="16"/>
                <w:szCs w:val="16"/>
                <w:color w:val="001641"/>
              </w:rPr>
              <w:t>G-III Apparel, Ltd.</w:t>
            </w:r>
          </w:p>
        </w:tc>
        <w:tc>
          <w:tcPr>
            <w:tcW w:w="2440" w:type="dxa"/>
            <w:vAlign w:val="bottom"/>
          </w:tcPr>
          <w:p>
            <w:pPr>
              <w:ind w:left="240"/>
              <w:spacing w:after="0"/>
              <w:rPr>
                <w:sz w:val="20"/>
                <w:szCs w:val="20"/>
                <w:color w:val="auto"/>
              </w:rPr>
            </w:pPr>
            <w:r>
              <w:rPr>
                <w:rFonts w:ascii="Arial" w:cs="Arial" w:eastAsia="Arial" w:hAnsi="Arial"/>
                <w:sz w:val="16"/>
                <w:szCs w:val="16"/>
                <w:color w:val="001641"/>
              </w:rPr>
              <w:t>Nike, Inc.</w:t>
            </w:r>
          </w:p>
        </w:tc>
        <w:tc>
          <w:tcPr>
            <w:tcW w:w="1600" w:type="dxa"/>
            <w:vAlign w:val="bottom"/>
            <w:gridSpan w:val="2"/>
          </w:tcPr>
          <w:p>
            <w:pPr>
              <w:ind w:left="100"/>
              <w:spacing w:after="0"/>
              <w:rPr>
                <w:sz w:val="20"/>
                <w:szCs w:val="20"/>
                <w:color w:val="auto"/>
              </w:rPr>
            </w:pPr>
            <w:r>
              <w:rPr>
                <w:rFonts w:ascii="Arial" w:cs="Arial" w:eastAsia="Arial" w:hAnsi="Arial"/>
                <w:sz w:val="16"/>
                <w:szCs w:val="16"/>
                <w:color w:val="001641"/>
              </w:rPr>
              <w:t>Urban Outfitters, Inc.</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BFA071"/>
            </w:tcBorders>
          </w:tcPr>
          <w:p>
            <w:pPr>
              <w:spacing w:after="0"/>
              <w:rPr>
                <w:sz w:val="3"/>
                <w:szCs w:val="3"/>
                <w:color w:val="auto"/>
              </w:rPr>
            </w:pPr>
          </w:p>
        </w:tc>
        <w:tc>
          <w:tcPr>
            <w:tcW w:w="2060" w:type="dxa"/>
            <w:vAlign w:val="bottom"/>
            <w:tcBorders>
              <w:bottom w:val="single" w:sz="8" w:color="BFA071"/>
            </w:tcBorders>
          </w:tcPr>
          <w:p>
            <w:pPr>
              <w:spacing w:after="0"/>
              <w:rPr>
                <w:sz w:val="3"/>
                <w:szCs w:val="3"/>
                <w:color w:val="auto"/>
              </w:rPr>
            </w:pPr>
          </w:p>
        </w:tc>
        <w:tc>
          <w:tcPr>
            <w:tcW w:w="2440" w:type="dxa"/>
            <w:vAlign w:val="bottom"/>
            <w:tcBorders>
              <w:bottom w:val="single" w:sz="8" w:color="BFA071"/>
            </w:tcBorders>
          </w:tcPr>
          <w:p>
            <w:pPr>
              <w:spacing w:after="0"/>
              <w:rPr>
                <w:sz w:val="3"/>
                <w:szCs w:val="3"/>
                <w:color w:val="auto"/>
              </w:rPr>
            </w:pPr>
          </w:p>
        </w:tc>
        <w:tc>
          <w:tcPr>
            <w:tcW w:w="1500" w:type="dxa"/>
            <w:vAlign w:val="bottom"/>
            <w:tcBorders>
              <w:bottom w:val="single" w:sz="8" w:color="BFA071"/>
            </w:tcBorders>
          </w:tcPr>
          <w:p>
            <w:pPr>
              <w:spacing w:after="0"/>
              <w:rPr>
                <w:sz w:val="3"/>
                <w:szCs w:val="3"/>
                <w:color w:val="auto"/>
              </w:rPr>
            </w:pPr>
          </w:p>
        </w:tc>
        <w:tc>
          <w:tcPr>
            <w:tcW w:w="100" w:type="dxa"/>
            <w:vAlign w:val="bottom"/>
            <w:tcBorders>
              <w:bottom w:val="single" w:sz="8" w:color="BFA071"/>
            </w:tcBorders>
          </w:tcPr>
          <w:p>
            <w:pPr>
              <w:spacing w:after="0"/>
              <w:rPr>
                <w:sz w:val="3"/>
                <w:szCs w:val="3"/>
                <w:color w:val="auto"/>
              </w:rPr>
            </w:pPr>
          </w:p>
        </w:tc>
        <w:tc>
          <w:tcPr>
            <w:tcW w:w="2980" w:type="dxa"/>
            <w:vAlign w:val="bottom"/>
            <w:tcBorders>
              <w:bottom w:val="single" w:sz="8" w:color="BFA071"/>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00" w:type="dxa"/>
            <w:vAlign w:val="bottom"/>
            <w:tcBorders>
              <w:bottom w:val="single" w:sz="8" w:color="BFA071"/>
            </w:tcBorders>
          </w:tcPr>
          <w:p>
            <w:pPr>
              <w:spacing w:after="0"/>
              <w:rPr>
                <w:sz w:val="21"/>
                <w:szCs w:val="21"/>
                <w:color w:val="auto"/>
              </w:rPr>
            </w:pPr>
          </w:p>
        </w:tc>
        <w:tc>
          <w:tcPr>
            <w:tcW w:w="2060" w:type="dxa"/>
            <w:vAlign w:val="bottom"/>
            <w:tcBorders>
              <w:bottom w:val="single" w:sz="8" w:color="BFA071"/>
            </w:tcBorders>
          </w:tcPr>
          <w:p>
            <w:pPr>
              <w:ind w:left="60"/>
              <w:spacing w:after="0"/>
              <w:rPr>
                <w:sz w:val="20"/>
                <w:szCs w:val="20"/>
                <w:color w:val="auto"/>
              </w:rPr>
            </w:pPr>
            <w:r>
              <w:rPr>
                <w:rFonts w:ascii="Arial" w:cs="Arial" w:eastAsia="Arial" w:hAnsi="Arial"/>
                <w:sz w:val="16"/>
                <w:szCs w:val="16"/>
                <w:color w:val="001641"/>
              </w:rPr>
              <w:t>The Gap, Inc.</w:t>
            </w:r>
          </w:p>
        </w:tc>
        <w:tc>
          <w:tcPr>
            <w:tcW w:w="2440" w:type="dxa"/>
            <w:vAlign w:val="bottom"/>
            <w:tcBorders>
              <w:bottom w:val="single" w:sz="8" w:color="BFA071"/>
            </w:tcBorders>
          </w:tcPr>
          <w:p>
            <w:pPr>
              <w:ind w:left="240"/>
              <w:spacing w:after="0"/>
              <w:rPr>
                <w:sz w:val="20"/>
                <w:szCs w:val="20"/>
                <w:color w:val="auto"/>
              </w:rPr>
            </w:pPr>
            <w:r>
              <w:rPr>
                <w:rFonts w:ascii="Arial" w:cs="Arial" w:eastAsia="Arial" w:hAnsi="Arial"/>
                <w:sz w:val="16"/>
                <w:szCs w:val="16"/>
                <w:color w:val="001641"/>
              </w:rPr>
              <w:t>PVH Corp.</w:t>
            </w:r>
          </w:p>
        </w:tc>
        <w:tc>
          <w:tcPr>
            <w:tcW w:w="1600" w:type="dxa"/>
            <w:vAlign w:val="bottom"/>
            <w:tcBorders>
              <w:bottom w:val="single" w:sz="8" w:color="BFA071"/>
            </w:tcBorders>
            <w:gridSpan w:val="2"/>
          </w:tcPr>
          <w:p>
            <w:pPr>
              <w:ind w:left="100"/>
              <w:spacing w:after="0"/>
              <w:rPr>
                <w:sz w:val="20"/>
                <w:szCs w:val="20"/>
                <w:color w:val="auto"/>
              </w:rPr>
            </w:pPr>
            <w:r>
              <w:rPr>
                <w:rFonts w:ascii="Arial" w:cs="Arial" w:eastAsia="Arial" w:hAnsi="Arial"/>
                <w:sz w:val="16"/>
                <w:szCs w:val="16"/>
                <w:color w:val="001641"/>
              </w:rPr>
              <w:t>V.F. Corporation</w:t>
            </w:r>
          </w:p>
        </w:tc>
        <w:tc>
          <w:tcPr>
            <w:tcW w:w="2980" w:type="dxa"/>
            <w:vAlign w:val="bottom"/>
            <w:tcBorders>
              <w:bottom w:val="single" w:sz="8" w:color="BFA071"/>
            </w:tcBorders>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2160" w:type="dxa"/>
            <w:vAlign w:val="bottom"/>
            <w:gridSpan w:val="2"/>
          </w:tcPr>
          <w:p>
            <w:pPr>
              <w:spacing w:after="0"/>
              <w:rPr>
                <w:sz w:val="20"/>
                <w:szCs w:val="20"/>
                <w:color w:val="auto"/>
              </w:rPr>
            </w:pPr>
            <w:r>
              <w:rPr>
                <w:rFonts w:ascii="Arial" w:cs="Arial" w:eastAsia="Arial" w:hAnsi="Arial"/>
                <w:sz w:val="16"/>
                <w:szCs w:val="16"/>
                <w:b w:val="1"/>
                <w:bCs w:val="1"/>
                <w:color w:val="001641"/>
              </w:rPr>
              <w:t>PSUs-TSR Payout Detail</w:t>
            </w:r>
          </w:p>
        </w:tc>
        <w:tc>
          <w:tcPr>
            <w:tcW w:w="2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0" w:type="dxa"/>
            <w:vAlign w:val="bottom"/>
            <w:shd w:val="clear" w:color="auto" w:fill="001641"/>
          </w:tcPr>
          <w:p>
            <w:pPr>
              <w:spacing w:after="0"/>
              <w:rPr>
                <w:sz w:val="21"/>
                <w:szCs w:val="21"/>
                <w:color w:val="auto"/>
              </w:rPr>
            </w:pPr>
          </w:p>
        </w:tc>
        <w:tc>
          <w:tcPr>
            <w:tcW w:w="2060" w:type="dxa"/>
            <w:vAlign w:val="bottom"/>
            <w:vMerge w:val="restart"/>
            <w:shd w:val="clear" w:color="auto" w:fill="001641"/>
          </w:tcPr>
          <w:p>
            <w:pPr>
              <w:ind w:left="60"/>
              <w:spacing w:after="0"/>
              <w:rPr>
                <w:sz w:val="20"/>
                <w:szCs w:val="20"/>
                <w:color w:val="auto"/>
              </w:rPr>
            </w:pPr>
            <w:r>
              <w:rPr>
                <w:rFonts w:ascii="Arial" w:cs="Arial" w:eastAsia="Arial" w:hAnsi="Arial"/>
                <w:sz w:val="14"/>
                <w:szCs w:val="14"/>
                <w:b w:val="1"/>
                <w:bCs w:val="1"/>
                <w:color w:val="FFFFFF"/>
              </w:rPr>
              <w:t>Performance Level</w:t>
            </w:r>
          </w:p>
        </w:tc>
        <w:tc>
          <w:tcPr>
            <w:tcW w:w="3940" w:type="dxa"/>
            <w:vAlign w:val="bottom"/>
            <w:gridSpan w:val="2"/>
            <w:vMerge w:val="restart"/>
            <w:shd w:val="clear" w:color="auto" w:fill="001641"/>
          </w:tcPr>
          <w:p>
            <w:pPr>
              <w:ind w:left="1000"/>
              <w:spacing w:after="0"/>
              <w:rPr>
                <w:sz w:val="20"/>
                <w:szCs w:val="20"/>
                <w:color w:val="auto"/>
              </w:rPr>
            </w:pPr>
            <w:r>
              <w:rPr>
                <w:rFonts w:ascii="Arial" w:cs="Arial" w:eastAsia="Arial" w:hAnsi="Arial"/>
                <w:sz w:val="14"/>
                <w:szCs w:val="14"/>
                <w:b w:val="1"/>
                <w:bCs w:val="1"/>
                <w:color w:val="FFFFFF"/>
              </w:rPr>
              <w:t>Relative TSR Performance</w:t>
            </w:r>
          </w:p>
        </w:tc>
        <w:tc>
          <w:tcPr>
            <w:tcW w:w="100" w:type="dxa"/>
            <w:vAlign w:val="bottom"/>
            <w:shd w:val="clear" w:color="auto" w:fill="BFA071"/>
          </w:tcPr>
          <w:p>
            <w:pPr>
              <w:spacing w:after="0"/>
              <w:rPr>
                <w:sz w:val="21"/>
                <w:szCs w:val="21"/>
                <w:color w:val="auto"/>
              </w:rPr>
            </w:pPr>
          </w:p>
        </w:tc>
        <w:tc>
          <w:tcPr>
            <w:tcW w:w="2980" w:type="dxa"/>
            <w:vAlign w:val="bottom"/>
            <w:shd w:val="clear" w:color="auto" w:fill="BFA071"/>
          </w:tcPr>
          <w:p>
            <w:pPr>
              <w:jc w:val="center"/>
              <w:ind w:right="87"/>
              <w:spacing w:after="0"/>
              <w:rPr>
                <w:sz w:val="20"/>
                <w:szCs w:val="20"/>
                <w:color w:val="auto"/>
              </w:rPr>
            </w:pPr>
            <w:r>
              <w:rPr>
                <w:rFonts w:ascii="Arial" w:cs="Arial" w:eastAsia="Arial" w:hAnsi="Arial"/>
                <w:sz w:val="14"/>
                <w:szCs w:val="14"/>
                <w:b w:val="1"/>
                <w:bCs w:val="1"/>
                <w:color w:val="FFFFFF"/>
              </w:rPr>
              <w:t>Percent of Target</w:t>
            </w:r>
          </w:p>
        </w:tc>
        <w:tc>
          <w:tcPr>
            <w:tcW w:w="0" w:type="dxa"/>
            <w:vAlign w:val="bottom"/>
          </w:tcPr>
          <w:p>
            <w:pPr>
              <w:spacing w:after="0"/>
              <w:rPr>
                <w:sz w:val="1"/>
                <w:szCs w:val="1"/>
                <w:color w:val="auto"/>
              </w:rPr>
            </w:pPr>
          </w:p>
        </w:tc>
      </w:tr>
      <w:tr>
        <w:trPr>
          <w:trHeight w:val="115"/>
        </w:trPr>
        <w:tc>
          <w:tcPr>
            <w:tcW w:w="100" w:type="dxa"/>
            <w:vAlign w:val="bottom"/>
            <w:shd w:val="clear" w:color="auto" w:fill="001641"/>
          </w:tcPr>
          <w:p>
            <w:pPr>
              <w:spacing w:after="0"/>
              <w:rPr>
                <w:sz w:val="10"/>
                <w:szCs w:val="10"/>
                <w:color w:val="auto"/>
              </w:rPr>
            </w:pPr>
          </w:p>
        </w:tc>
        <w:tc>
          <w:tcPr>
            <w:tcW w:w="2060" w:type="dxa"/>
            <w:vAlign w:val="bottom"/>
            <w:vMerge w:val="continue"/>
            <w:shd w:val="clear" w:color="auto" w:fill="001641"/>
          </w:tcPr>
          <w:p>
            <w:pPr>
              <w:spacing w:after="0"/>
              <w:rPr>
                <w:sz w:val="10"/>
                <w:szCs w:val="10"/>
                <w:color w:val="auto"/>
              </w:rPr>
            </w:pPr>
          </w:p>
        </w:tc>
        <w:tc>
          <w:tcPr>
            <w:tcW w:w="3940" w:type="dxa"/>
            <w:vAlign w:val="bottom"/>
            <w:gridSpan w:val="2"/>
            <w:vMerge w:val="continue"/>
            <w:shd w:val="clear" w:color="auto" w:fill="001641"/>
          </w:tcPr>
          <w:p>
            <w:pPr>
              <w:spacing w:after="0"/>
              <w:rPr>
                <w:sz w:val="10"/>
                <w:szCs w:val="10"/>
                <w:color w:val="auto"/>
              </w:rPr>
            </w:pPr>
          </w:p>
        </w:tc>
        <w:tc>
          <w:tcPr>
            <w:tcW w:w="100" w:type="dxa"/>
            <w:vAlign w:val="bottom"/>
            <w:shd w:val="clear" w:color="auto" w:fill="BFA071"/>
          </w:tcPr>
          <w:p>
            <w:pPr>
              <w:spacing w:after="0"/>
              <w:rPr>
                <w:sz w:val="10"/>
                <w:szCs w:val="10"/>
                <w:color w:val="auto"/>
              </w:rPr>
            </w:pPr>
          </w:p>
        </w:tc>
        <w:tc>
          <w:tcPr>
            <w:tcW w:w="2980" w:type="dxa"/>
            <w:vAlign w:val="bottom"/>
            <w:vMerge w:val="restart"/>
            <w:shd w:val="clear" w:color="auto" w:fill="BFA071"/>
          </w:tcPr>
          <w:p>
            <w:pPr>
              <w:jc w:val="center"/>
              <w:ind w:right="47"/>
              <w:spacing w:after="0"/>
              <w:rPr>
                <w:sz w:val="20"/>
                <w:szCs w:val="20"/>
                <w:color w:val="auto"/>
              </w:rPr>
            </w:pPr>
            <w:r>
              <w:rPr>
                <w:rFonts w:ascii="Arial" w:cs="Arial" w:eastAsia="Arial" w:hAnsi="Arial"/>
                <w:sz w:val="14"/>
                <w:szCs w:val="14"/>
                <w:b w:val="1"/>
                <w:bCs w:val="1"/>
                <w:color w:val="FFFFFF"/>
              </w:rPr>
              <w:t>Award Earned</w:t>
            </w:r>
          </w:p>
        </w:tc>
        <w:tc>
          <w:tcPr>
            <w:tcW w:w="0" w:type="dxa"/>
            <w:vAlign w:val="bottom"/>
          </w:tcPr>
          <w:p>
            <w:pPr>
              <w:spacing w:after="0"/>
              <w:rPr>
                <w:sz w:val="1"/>
                <w:szCs w:val="1"/>
                <w:color w:val="auto"/>
              </w:rPr>
            </w:pPr>
          </w:p>
        </w:tc>
      </w:tr>
      <w:tr>
        <w:trPr>
          <w:trHeight w:val="90"/>
        </w:trPr>
        <w:tc>
          <w:tcPr>
            <w:tcW w:w="100" w:type="dxa"/>
            <w:vAlign w:val="bottom"/>
            <w:tcBorders>
              <w:bottom w:val="single" w:sz="8" w:color="001641"/>
            </w:tcBorders>
            <w:shd w:val="clear" w:color="auto" w:fill="001641"/>
          </w:tcPr>
          <w:p>
            <w:pPr>
              <w:spacing w:after="0"/>
              <w:rPr>
                <w:sz w:val="7"/>
                <w:szCs w:val="7"/>
                <w:color w:val="auto"/>
              </w:rPr>
            </w:pPr>
          </w:p>
        </w:tc>
        <w:tc>
          <w:tcPr>
            <w:tcW w:w="2060" w:type="dxa"/>
            <w:vAlign w:val="bottom"/>
            <w:tcBorders>
              <w:bottom w:val="single" w:sz="8" w:color="001641"/>
            </w:tcBorders>
            <w:shd w:val="clear" w:color="auto" w:fill="001641"/>
          </w:tcPr>
          <w:p>
            <w:pPr>
              <w:spacing w:after="0"/>
              <w:rPr>
                <w:sz w:val="7"/>
                <w:szCs w:val="7"/>
                <w:color w:val="auto"/>
              </w:rPr>
            </w:pPr>
          </w:p>
        </w:tc>
        <w:tc>
          <w:tcPr>
            <w:tcW w:w="2440" w:type="dxa"/>
            <w:vAlign w:val="bottom"/>
            <w:tcBorders>
              <w:bottom w:val="single" w:sz="8" w:color="001641"/>
            </w:tcBorders>
            <w:shd w:val="clear" w:color="auto" w:fill="001641"/>
          </w:tcPr>
          <w:p>
            <w:pPr>
              <w:spacing w:after="0"/>
              <w:rPr>
                <w:sz w:val="7"/>
                <w:szCs w:val="7"/>
                <w:color w:val="auto"/>
              </w:rPr>
            </w:pPr>
          </w:p>
        </w:tc>
        <w:tc>
          <w:tcPr>
            <w:tcW w:w="1500" w:type="dxa"/>
            <w:vAlign w:val="bottom"/>
            <w:tcBorders>
              <w:bottom w:val="single" w:sz="8" w:color="001641"/>
            </w:tcBorders>
            <w:shd w:val="clear" w:color="auto" w:fill="001641"/>
          </w:tcPr>
          <w:p>
            <w:pPr>
              <w:spacing w:after="0"/>
              <w:rPr>
                <w:sz w:val="7"/>
                <w:szCs w:val="7"/>
                <w:color w:val="auto"/>
              </w:rPr>
            </w:pPr>
          </w:p>
        </w:tc>
        <w:tc>
          <w:tcPr>
            <w:tcW w:w="100" w:type="dxa"/>
            <w:vAlign w:val="bottom"/>
            <w:tcBorders>
              <w:bottom w:val="single" w:sz="8" w:color="BFA071"/>
            </w:tcBorders>
            <w:shd w:val="clear" w:color="auto" w:fill="BFA071"/>
          </w:tcPr>
          <w:p>
            <w:pPr>
              <w:spacing w:after="0"/>
              <w:rPr>
                <w:sz w:val="7"/>
                <w:szCs w:val="7"/>
                <w:color w:val="auto"/>
              </w:rPr>
            </w:pPr>
          </w:p>
        </w:tc>
        <w:tc>
          <w:tcPr>
            <w:tcW w:w="2980" w:type="dxa"/>
            <w:vAlign w:val="bottom"/>
            <w:tcBorders>
              <w:bottom w:val="single" w:sz="8" w:color="BFA071"/>
            </w:tcBorders>
            <w:vMerge w:val="continue"/>
            <w:shd w:val="clear" w:color="auto" w:fill="BFA071"/>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00" w:type="dxa"/>
            <w:vAlign w:val="bottom"/>
            <w:tcBorders>
              <w:bottom w:val="single" w:sz="8" w:color="BFA071"/>
            </w:tcBorders>
          </w:tcPr>
          <w:p>
            <w:pPr>
              <w:spacing w:after="0"/>
              <w:rPr>
                <w:sz w:val="24"/>
                <w:szCs w:val="24"/>
                <w:color w:val="auto"/>
              </w:rPr>
            </w:pPr>
          </w:p>
        </w:tc>
        <w:tc>
          <w:tcPr>
            <w:tcW w:w="2060" w:type="dxa"/>
            <w:vAlign w:val="bottom"/>
            <w:tcBorders>
              <w:bottom w:val="single" w:sz="8" w:color="BFA071"/>
            </w:tcBorders>
          </w:tcPr>
          <w:p>
            <w:pPr>
              <w:ind w:left="60"/>
              <w:spacing w:after="0"/>
              <w:rPr>
                <w:sz w:val="20"/>
                <w:szCs w:val="20"/>
                <w:color w:val="auto"/>
              </w:rPr>
            </w:pPr>
            <w:r>
              <w:rPr>
                <w:rFonts w:ascii="Arial" w:cs="Arial" w:eastAsia="Arial" w:hAnsi="Arial"/>
                <w:sz w:val="14"/>
                <w:szCs w:val="14"/>
                <w:b w:val="1"/>
                <w:bCs w:val="1"/>
                <w:color w:val="001641"/>
              </w:rPr>
              <w:t>Below Threshold</w:t>
            </w:r>
          </w:p>
        </w:tc>
        <w:tc>
          <w:tcPr>
            <w:tcW w:w="2440" w:type="dxa"/>
            <w:vAlign w:val="bottom"/>
            <w:tcBorders>
              <w:bottom w:val="single" w:sz="8" w:color="BFA071"/>
            </w:tcBorders>
          </w:tcPr>
          <w:p>
            <w:pPr>
              <w:ind w:left="1000"/>
              <w:spacing w:after="0"/>
              <w:rPr>
                <w:sz w:val="20"/>
                <w:szCs w:val="20"/>
                <w:color w:val="auto"/>
              </w:rPr>
            </w:pPr>
            <w:r>
              <w:rPr>
                <w:rFonts w:ascii="Arial" w:cs="Arial" w:eastAsia="Arial" w:hAnsi="Arial"/>
                <w:sz w:val="14"/>
                <w:szCs w:val="14"/>
                <w:color w:val="001641"/>
              </w:rPr>
              <w:t>Below 30</w:t>
            </w:r>
            <w:r>
              <w:rPr>
                <w:rFonts w:ascii="Arial" w:cs="Arial" w:eastAsia="Arial" w:hAnsi="Arial"/>
                <w:sz w:val="23"/>
                <w:szCs w:val="23"/>
                <w:color w:val="001641"/>
                <w:vertAlign w:val="superscript"/>
              </w:rPr>
              <w:t>th</w:t>
            </w:r>
            <w:r>
              <w:rPr>
                <w:rFonts w:ascii="Arial" w:cs="Arial" w:eastAsia="Arial" w:hAnsi="Arial"/>
                <w:sz w:val="14"/>
                <w:szCs w:val="14"/>
                <w:color w:val="001641"/>
              </w:rPr>
              <w:t xml:space="preserve"> Percentile</w:t>
            </w:r>
          </w:p>
        </w:tc>
        <w:tc>
          <w:tcPr>
            <w:tcW w:w="1500" w:type="dxa"/>
            <w:vAlign w:val="bottom"/>
            <w:tcBorders>
              <w:bottom w:val="single" w:sz="8" w:color="BFA071"/>
            </w:tcBorders>
          </w:tcPr>
          <w:p>
            <w:pPr>
              <w:spacing w:after="0"/>
              <w:rPr>
                <w:sz w:val="24"/>
                <w:szCs w:val="24"/>
                <w:color w:val="auto"/>
              </w:rPr>
            </w:pPr>
          </w:p>
        </w:tc>
        <w:tc>
          <w:tcPr>
            <w:tcW w:w="100" w:type="dxa"/>
            <w:vAlign w:val="bottom"/>
            <w:tcBorders>
              <w:bottom w:val="single" w:sz="8" w:color="BFA071"/>
            </w:tcBorders>
            <w:shd w:val="clear" w:color="auto" w:fill="EBE1D2"/>
          </w:tcPr>
          <w:p>
            <w:pPr>
              <w:spacing w:after="0"/>
              <w:rPr>
                <w:sz w:val="24"/>
                <w:szCs w:val="24"/>
                <w:color w:val="auto"/>
              </w:rPr>
            </w:pPr>
          </w:p>
        </w:tc>
        <w:tc>
          <w:tcPr>
            <w:tcW w:w="2980" w:type="dxa"/>
            <w:vAlign w:val="bottom"/>
            <w:tcBorders>
              <w:bottom w:val="single" w:sz="8" w:color="BFA071"/>
            </w:tcBorders>
            <w:shd w:val="clear" w:color="auto" w:fill="EBE1D2"/>
          </w:tcPr>
          <w:p>
            <w:pPr>
              <w:jc w:val="center"/>
              <w:ind w:right="47"/>
              <w:spacing w:after="0"/>
              <w:rPr>
                <w:sz w:val="20"/>
                <w:szCs w:val="20"/>
                <w:color w:val="auto"/>
              </w:rPr>
            </w:pPr>
            <w:r>
              <w:rPr>
                <w:rFonts w:ascii="Arial" w:cs="Arial" w:eastAsia="Arial" w:hAnsi="Arial"/>
                <w:sz w:val="14"/>
                <w:szCs w:val="14"/>
                <w:color w:val="001641"/>
              </w:rPr>
              <w:t>0%</w:t>
            </w:r>
          </w:p>
        </w:tc>
        <w:tc>
          <w:tcPr>
            <w:tcW w:w="0" w:type="dxa"/>
            <w:vAlign w:val="bottom"/>
          </w:tcPr>
          <w:p>
            <w:pPr>
              <w:spacing w:after="0"/>
              <w:rPr>
                <w:sz w:val="1"/>
                <w:szCs w:val="1"/>
                <w:color w:val="auto"/>
              </w:rPr>
            </w:pPr>
          </w:p>
        </w:tc>
      </w:tr>
      <w:tr>
        <w:trPr>
          <w:trHeight w:val="290"/>
        </w:trPr>
        <w:tc>
          <w:tcPr>
            <w:tcW w:w="100" w:type="dxa"/>
            <w:vAlign w:val="bottom"/>
            <w:tcBorders>
              <w:bottom w:val="single" w:sz="8" w:color="BFA071"/>
            </w:tcBorders>
          </w:tcPr>
          <w:p>
            <w:pPr>
              <w:spacing w:after="0"/>
              <w:rPr>
                <w:sz w:val="24"/>
                <w:szCs w:val="24"/>
                <w:color w:val="auto"/>
              </w:rPr>
            </w:pPr>
          </w:p>
        </w:tc>
        <w:tc>
          <w:tcPr>
            <w:tcW w:w="2060" w:type="dxa"/>
            <w:vAlign w:val="bottom"/>
            <w:tcBorders>
              <w:bottom w:val="single" w:sz="8" w:color="BFA071"/>
            </w:tcBorders>
          </w:tcPr>
          <w:p>
            <w:pPr>
              <w:ind w:left="60"/>
              <w:spacing w:after="0"/>
              <w:rPr>
                <w:sz w:val="20"/>
                <w:szCs w:val="20"/>
                <w:color w:val="auto"/>
              </w:rPr>
            </w:pPr>
            <w:r>
              <w:rPr>
                <w:rFonts w:ascii="Arial" w:cs="Arial" w:eastAsia="Arial" w:hAnsi="Arial"/>
                <w:sz w:val="14"/>
                <w:szCs w:val="14"/>
                <w:b w:val="1"/>
                <w:bCs w:val="1"/>
                <w:color w:val="001641"/>
              </w:rPr>
              <w:t>Threshold</w:t>
            </w:r>
          </w:p>
        </w:tc>
        <w:tc>
          <w:tcPr>
            <w:tcW w:w="2440" w:type="dxa"/>
            <w:vAlign w:val="bottom"/>
            <w:tcBorders>
              <w:bottom w:val="single" w:sz="8" w:color="BFA071"/>
            </w:tcBorders>
          </w:tcPr>
          <w:p>
            <w:pPr>
              <w:ind w:left="1000"/>
              <w:spacing w:after="0"/>
              <w:rPr>
                <w:sz w:val="20"/>
                <w:szCs w:val="20"/>
                <w:color w:val="auto"/>
              </w:rPr>
            </w:pPr>
            <w:r>
              <w:rPr>
                <w:rFonts w:ascii="Arial" w:cs="Arial" w:eastAsia="Arial" w:hAnsi="Arial"/>
                <w:sz w:val="14"/>
                <w:szCs w:val="14"/>
                <w:color w:val="001641"/>
              </w:rPr>
              <w:t>30</w:t>
            </w:r>
            <w:r>
              <w:rPr>
                <w:rFonts w:ascii="Arial" w:cs="Arial" w:eastAsia="Arial" w:hAnsi="Arial"/>
                <w:sz w:val="23"/>
                <w:szCs w:val="23"/>
                <w:color w:val="001641"/>
                <w:vertAlign w:val="superscript"/>
              </w:rPr>
              <w:t>th</w:t>
            </w:r>
            <w:r>
              <w:rPr>
                <w:rFonts w:ascii="Arial" w:cs="Arial" w:eastAsia="Arial" w:hAnsi="Arial"/>
                <w:sz w:val="14"/>
                <w:szCs w:val="14"/>
                <w:color w:val="001641"/>
              </w:rPr>
              <w:t xml:space="preserve"> Percentile</w:t>
            </w:r>
          </w:p>
        </w:tc>
        <w:tc>
          <w:tcPr>
            <w:tcW w:w="1500" w:type="dxa"/>
            <w:vAlign w:val="bottom"/>
            <w:tcBorders>
              <w:bottom w:val="single" w:sz="8" w:color="BFA071"/>
            </w:tcBorders>
          </w:tcPr>
          <w:p>
            <w:pPr>
              <w:spacing w:after="0"/>
              <w:rPr>
                <w:sz w:val="24"/>
                <w:szCs w:val="24"/>
                <w:color w:val="auto"/>
              </w:rPr>
            </w:pPr>
          </w:p>
        </w:tc>
        <w:tc>
          <w:tcPr>
            <w:tcW w:w="100" w:type="dxa"/>
            <w:vAlign w:val="bottom"/>
            <w:tcBorders>
              <w:bottom w:val="single" w:sz="8" w:color="BFA071"/>
            </w:tcBorders>
            <w:shd w:val="clear" w:color="auto" w:fill="EBE1D2"/>
          </w:tcPr>
          <w:p>
            <w:pPr>
              <w:spacing w:after="0"/>
              <w:rPr>
                <w:sz w:val="24"/>
                <w:szCs w:val="24"/>
                <w:color w:val="auto"/>
              </w:rPr>
            </w:pPr>
          </w:p>
        </w:tc>
        <w:tc>
          <w:tcPr>
            <w:tcW w:w="2980" w:type="dxa"/>
            <w:vAlign w:val="bottom"/>
            <w:tcBorders>
              <w:bottom w:val="single" w:sz="8" w:color="BFA071"/>
            </w:tcBorders>
            <w:shd w:val="clear" w:color="auto" w:fill="EBE1D2"/>
          </w:tcPr>
          <w:p>
            <w:pPr>
              <w:jc w:val="center"/>
              <w:ind w:right="47"/>
              <w:spacing w:after="0"/>
              <w:rPr>
                <w:sz w:val="20"/>
                <w:szCs w:val="20"/>
                <w:color w:val="auto"/>
              </w:rPr>
            </w:pPr>
            <w:r>
              <w:rPr>
                <w:rFonts w:ascii="Arial" w:cs="Arial" w:eastAsia="Arial" w:hAnsi="Arial"/>
                <w:sz w:val="14"/>
                <w:szCs w:val="14"/>
                <w:color w:val="001641"/>
              </w:rPr>
              <w:t>50%</w:t>
            </w:r>
          </w:p>
        </w:tc>
        <w:tc>
          <w:tcPr>
            <w:tcW w:w="0" w:type="dxa"/>
            <w:vAlign w:val="bottom"/>
          </w:tcPr>
          <w:p>
            <w:pPr>
              <w:spacing w:after="0"/>
              <w:rPr>
                <w:sz w:val="1"/>
                <w:szCs w:val="1"/>
                <w:color w:val="auto"/>
              </w:rPr>
            </w:pPr>
          </w:p>
        </w:tc>
      </w:tr>
      <w:tr>
        <w:trPr>
          <w:trHeight w:val="291"/>
        </w:trPr>
        <w:tc>
          <w:tcPr>
            <w:tcW w:w="100" w:type="dxa"/>
            <w:vAlign w:val="bottom"/>
            <w:tcBorders>
              <w:bottom w:val="single" w:sz="8" w:color="BFA071"/>
            </w:tcBorders>
          </w:tcPr>
          <w:p>
            <w:pPr>
              <w:spacing w:after="0"/>
              <w:rPr>
                <w:sz w:val="24"/>
                <w:szCs w:val="24"/>
                <w:color w:val="auto"/>
              </w:rPr>
            </w:pPr>
          </w:p>
        </w:tc>
        <w:tc>
          <w:tcPr>
            <w:tcW w:w="2060" w:type="dxa"/>
            <w:vAlign w:val="bottom"/>
            <w:tcBorders>
              <w:bottom w:val="single" w:sz="8" w:color="BFA071"/>
            </w:tcBorders>
          </w:tcPr>
          <w:p>
            <w:pPr>
              <w:ind w:left="60"/>
              <w:spacing w:after="0"/>
              <w:rPr>
                <w:sz w:val="20"/>
                <w:szCs w:val="20"/>
                <w:color w:val="auto"/>
              </w:rPr>
            </w:pPr>
            <w:r>
              <w:rPr>
                <w:rFonts w:ascii="Arial" w:cs="Arial" w:eastAsia="Arial" w:hAnsi="Arial"/>
                <w:sz w:val="14"/>
                <w:szCs w:val="14"/>
                <w:b w:val="1"/>
                <w:bCs w:val="1"/>
                <w:color w:val="001641"/>
              </w:rPr>
              <w:t>Target</w:t>
            </w:r>
          </w:p>
        </w:tc>
        <w:tc>
          <w:tcPr>
            <w:tcW w:w="2440" w:type="dxa"/>
            <w:vAlign w:val="bottom"/>
            <w:tcBorders>
              <w:bottom w:val="single" w:sz="8" w:color="BFA071"/>
            </w:tcBorders>
          </w:tcPr>
          <w:p>
            <w:pPr>
              <w:ind w:left="1000"/>
              <w:spacing w:after="0"/>
              <w:rPr>
                <w:sz w:val="20"/>
                <w:szCs w:val="20"/>
                <w:color w:val="auto"/>
              </w:rPr>
            </w:pPr>
            <w:r>
              <w:rPr>
                <w:rFonts w:ascii="Arial" w:cs="Arial" w:eastAsia="Arial" w:hAnsi="Arial"/>
                <w:sz w:val="14"/>
                <w:szCs w:val="14"/>
                <w:color w:val="001641"/>
              </w:rPr>
              <w:t>50</w:t>
            </w:r>
            <w:r>
              <w:rPr>
                <w:rFonts w:ascii="Arial" w:cs="Arial" w:eastAsia="Arial" w:hAnsi="Arial"/>
                <w:sz w:val="23"/>
                <w:szCs w:val="23"/>
                <w:color w:val="001641"/>
                <w:vertAlign w:val="superscript"/>
              </w:rPr>
              <w:t>th</w:t>
            </w:r>
            <w:r>
              <w:rPr>
                <w:rFonts w:ascii="Arial" w:cs="Arial" w:eastAsia="Arial" w:hAnsi="Arial"/>
                <w:sz w:val="14"/>
                <w:szCs w:val="14"/>
                <w:color w:val="001641"/>
              </w:rPr>
              <w:t xml:space="preserve"> Percentile</w:t>
            </w:r>
          </w:p>
        </w:tc>
        <w:tc>
          <w:tcPr>
            <w:tcW w:w="1500" w:type="dxa"/>
            <w:vAlign w:val="bottom"/>
            <w:tcBorders>
              <w:bottom w:val="single" w:sz="8" w:color="BFA071"/>
            </w:tcBorders>
          </w:tcPr>
          <w:p>
            <w:pPr>
              <w:spacing w:after="0"/>
              <w:rPr>
                <w:sz w:val="24"/>
                <w:szCs w:val="24"/>
                <w:color w:val="auto"/>
              </w:rPr>
            </w:pPr>
          </w:p>
        </w:tc>
        <w:tc>
          <w:tcPr>
            <w:tcW w:w="100" w:type="dxa"/>
            <w:vAlign w:val="bottom"/>
            <w:tcBorders>
              <w:bottom w:val="single" w:sz="8" w:color="BFA071"/>
            </w:tcBorders>
            <w:shd w:val="clear" w:color="auto" w:fill="EBE1D2"/>
          </w:tcPr>
          <w:p>
            <w:pPr>
              <w:spacing w:after="0"/>
              <w:rPr>
                <w:sz w:val="24"/>
                <w:szCs w:val="24"/>
                <w:color w:val="auto"/>
              </w:rPr>
            </w:pPr>
          </w:p>
        </w:tc>
        <w:tc>
          <w:tcPr>
            <w:tcW w:w="2980" w:type="dxa"/>
            <w:vAlign w:val="bottom"/>
            <w:tcBorders>
              <w:bottom w:val="single" w:sz="8" w:color="BFA071"/>
            </w:tcBorders>
            <w:shd w:val="clear" w:color="auto" w:fill="EBE1D2"/>
          </w:tcPr>
          <w:p>
            <w:pPr>
              <w:jc w:val="center"/>
              <w:ind w:right="47"/>
              <w:spacing w:after="0"/>
              <w:rPr>
                <w:sz w:val="20"/>
                <w:szCs w:val="20"/>
                <w:color w:val="auto"/>
              </w:rPr>
            </w:pPr>
            <w:r>
              <w:rPr>
                <w:rFonts w:ascii="Arial" w:cs="Arial" w:eastAsia="Arial" w:hAnsi="Arial"/>
                <w:sz w:val="14"/>
                <w:szCs w:val="14"/>
                <w:color w:val="001641"/>
              </w:rPr>
              <w:t>100%</w:t>
            </w:r>
          </w:p>
        </w:tc>
        <w:tc>
          <w:tcPr>
            <w:tcW w:w="0" w:type="dxa"/>
            <w:vAlign w:val="bottom"/>
          </w:tcPr>
          <w:p>
            <w:pPr>
              <w:spacing w:after="0"/>
              <w:rPr>
                <w:sz w:val="1"/>
                <w:szCs w:val="1"/>
                <w:color w:val="auto"/>
              </w:rPr>
            </w:pPr>
          </w:p>
        </w:tc>
      </w:tr>
      <w:tr>
        <w:trPr>
          <w:trHeight w:val="290"/>
        </w:trPr>
        <w:tc>
          <w:tcPr>
            <w:tcW w:w="100" w:type="dxa"/>
            <w:vAlign w:val="bottom"/>
            <w:tcBorders>
              <w:bottom w:val="single" w:sz="8" w:color="BFA071"/>
            </w:tcBorders>
          </w:tcPr>
          <w:p>
            <w:pPr>
              <w:spacing w:after="0"/>
              <w:rPr>
                <w:sz w:val="24"/>
                <w:szCs w:val="24"/>
                <w:color w:val="auto"/>
              </w:rPr>
            </w:pPr>
          </w:p>
        </w:tc>
        <w:tc>
          <w:tcPr>
            <w:tcW w:w="2060" w:type="dxa"/>
            <w:vAlign w:val="bottom"/>
            <w:tcBorders>
              <w:bottom w:val="single" w:sz="8" w:color="BFA071"/>
            </w:tcBorders>
          </w:tcPr>
          <w:p>
            <w:pPr>
              <w:ind w:left="60"/>
              <w:spacing w:after="0"/>
              <w:rPr>
                <w:sz w:val="20"/>
                <w:szCs w:val="20"/>
                <w:color w:val="auto"/>
              </w:rPr>
            </w:pPr>
            <w:r>
              <w:rPr>
                <w:rFonts w:ascii="Arial" w:cs="Arial" w:eastAsia="Arial" w:hAnsi="Arial"/>
                <w:sz w:val="14"/>
                <w:szCs w:val="14"/>
                <w:b w:val="1"/>
                <w:bCs w:val="1"/>
                <w:color w:val="001641"/>
              </w:rPr>
              <w:t>Stretch</w:t>
            </w:r>
          </w:p>
        </w:tc>
        <w:tc>
          <w:tcPr>
            <w:tcW w:w="2440" w:type="dxa"/>
            <w:vAlign w:val="bottom"/>
            <w:tcBorders>
              <w:bottom w:val="single" w:sz="8" w:color="BFA071"/>
            </w:tcBorders>
          </w:tcPr>
          <w:p>
            <w:pPr>
              <w:ind w:left="1000"/>
              <w:spacing w:after="0"/>
              <w:rPr>
                <w:sz w:val="20"/>
                <w:szCs w:val="20"/>
                <w:color w:val="auto"/>
              </w:rPr>
            </w:pPr>
            <w:r>
              <w:rPr>
                <w:rFonts w:ascii="Arial" w:cs="Arial" w:eastAsia="Arial" w:hAnsi="Arial"/>
                <w:sz w:val="14"/>
                <w:szCs w:val="14"/>
                <w:color w:val="001641"/>
              </w:rPr>
              <w:t>70</w:t>
            </w:r>
            <w:r>
              <w:rPr>
                <w:rFonts w:ascii="Arial" w:cs="Arial" w:eastAsia="Arial" w:hAnsi="Arial"/>
                <w:sz w:val="23"/>
                <w:szCs w:val="23"/>
                <w:color w:val="001641"/>
                <w:vertAlign w:val="superscript"/>
              </w:rPr>
              <w:t>th</w:t>
            </w:r>
            <w:r>
              <w:rPr>
                <w:rFonts w:ascii="Arial" w:cs="Arial" w:eastAsia="Arial" w:hAnsi="Arial"/>
                <w:sz w:val="14"/>
                <w:szCs w:val="14"/>
                <w:color w:val="001641"/>
              </w:rPr>
              <w:t xml:space="preserve"> Percentile</w:t>
            </w:r>
          </w:p>
        </w:tc>
        <w:tc>
          <w:tcPr>
            <w:tcW w:w="1500" w:type="dxa"/>
            <w:vAlign w:val="bottom"/>
            <w:tcBorders>
              <w:bottom w:val="single" w:sz="8" w:color="BFA071"/>
            </w:tcBorders>
          </w:tcPr>
          <w:p>
            <w:pPr>
              <w:spacing w:after="0"/>
              <w:rPr>
                <w:sz w:val="24"/>
                <w:szCs w:val="24"/>
                <w:color w:val="auto"/>
              </w:rPr>
            </w:pPr>
          </w:p>
        </w:tc>
        <w:tc>
          <w:tcPr>
            <w:tcW w:w="100" w:type="dxa"/>
            <w:vAlign w:val="bottom"/>
            <w:tcBorders>
              <w:bottom w:val="single" w:sz="8" w:color="BFA071"/>
            </w:tcBorders>
            <w:shd w:val="clear" w:color="auto" w:fill="EBE1D2"/>
          </w:tcPr>
          <w:p>
            <w:pPr>
              <w:spacing w:after="0"/>
              <w:rPr>
                <w:sz w:val="24"/>
                <w:szCs w:val="24"/>
                <w:color w:val="auto"/>
              </w:rPr>
            </w:pPr>
          </w:p>
        </w:tc>
        <w:tc>
          <w:tcPr>
            <w:tcW w:w="2980" w:type="dxa"/>
            <w:vAlign w:val="bottom"/>
            <w:tcBorders>
              <w:bottom w:val="single" w:sz="8" w:color="BFA071"/>
            </w:tcBorders>
            <w:shd w:val="clear" w:color="auto" w:fill="EBE1D2"/>
          </w:tcPr>
          <w:p>
            <w:pPr>
              <w:jc w:val="center"/>
              <w:ind w:right="47"/>
              <w:spacing w:after="0"/>
              <w:rPr>
                <w:sz w:val="20"/>
                <w:szCs w:val="20"/>
                <w:color w:val="auto"/>
              </w:rPr>
            </w:pPr>
            <w:r>
              <w:rPr>
                <w:rFonts w:ascii="Arial" w:cs="Arial" w:eastAsia="Arial" w:hAnsi="Arial"/>
                <w:sz w:val="14"/>
                <w:szCs w:val="14"/>
                <w:color w:val="001641"/>
              </w:rPr>
              <w:t>150%</w:t>
            </w:r>
          </w:p>
        </w:tc>
        <w:tc>
          <w:tcPr>
            <w:tcW w:w="0" w:type="dxa"/>
            <w:vAlign w:val="bottom"/>
          </w:tcPr>
          <w:p>
            <w:pPr>
              <w:spacing w:after="0"/>
              <w:rPr>
                <w:sz w:val="1"/>
                <w:szCs w:val="1"/>
                <w:color w:val="auto"/>
              </w:rPr>
            </w:pPr>
          </w:p>
        </w:tc>
      </w:tr>
      <w:tr>
        <w:trPr>
          <w:trHeight w:val="290"/>
        </w:trPr>
        <w:tc>
          <w:tcPr>
            <w:tcW w:w="100" w:type="dxa"/>
            <w:vAlign w:val="bottom"/>
            <w:tcBorders>
              <w:bottom w:val="single" w:sz="8" w:color="BFA071"/>
            </w:tcBorders>
          </w:tcPr>
          <w:p>
            <w:pPr>
              <w:spacing w:after="0"/>
              <w:rPr>
                <w:sz w:val="24"/>
                <w:szCs w:val="24"/>
                <w:color w:val="auto"/>
              </w:rPr>
            </w:pPr>
          </w:p>
        </w:tc>
        <w:tc>
          <w:tcPr>
            <w:tcW w:w="2060" w:type="dxa"/>
            <w:vAlign w:val="bottom"/>
            <w:tcBorders>
              <w:bottom w:val="single" w:sz="8" w:color="BFA071"/>
            </w:tcBorders>
          </w:tcPr>
          <w:p>
            <w:pPr>
              <w:ind w:left="60"/>
              <w:spacing w:after="0"/>
              <w:rPr>
                <w:sz w:val="20"/>
                <w:szCs w:val="20"/>
                <w:color w:val="auto"/>
              </w:rPr>
            </w:pPr>
            <w:r>
              <w:rPr>
                <w:rFonts w:ascii="Arial" w:cs="Arial" w:eastAsia="Arial" w:hAnsi="Arial"/>
                <w:sz w:val="14"/>
                <w:szCs w:val="14"/>
                <w:b w:val="1"/>
                <w:bCs w:val="1"/>
                <w:color w:val="001641"/>
              </w:rPr>
              <w:t>Maximum</w:t>
            </w:r>
          </w:p>
        </w:tc>
        <w:tc>
          <w:tcPr>
            <w:tcW w:w="3940" w:type="dxa"/>
            <w:vAlign w:val="bottom"/>
            <w:tcBorders>
              <w:bottom w:val="single" w:sz="8" w:color="BFA071"/>
            </w:tcBorders>
            <w:gridSpan w:val="2"/>
          </w:tcPr>
          <w:p>
            <w:pPr>
              <w:ind w:left="1000"/>
              <w:spacing w:after="0"/>
              <w:rPr>
                <w:sz w:val="20"/>
                <w:szCs w:val="20"/>
                <w:color w:val="auto"/>
              </w:rPr>
            </w:pPr>
            <w:r>
              <w:rPr>
                <w:rFonts w:ascii="Arial" w:cs="Arial" w:eastAsia="Arial" w:hAnsi="Arial"/>
                <w:sz w:val="14"/>
                <w:szCs w:val="14"/>
                <w:color w:val="001641"/>
              </w:rPr>
              <w:t>90</w:t>
            </w:r>
            <w:r>
              <w:rPr>
                <w:rFonts w:ascii="Arial" w:cs="Arial" w:eastAsia="Arial" w:hAnsi="Arial"/>
                <w:sz w:val="23"/>
                <w:szCs w:val="23"/>
                <w:color w:val="001641"/>
                <w:vertAlign w:val="superscript"/>
              </w:rPr>
              <w:t>th</w:t>
            </w:r>
            <w:r>
              <w:rPr>
                <w:rFonts w:ascii="Arial" w:cs="Arial" w:eastAsia="Arial" w:hAnsi="Arial"/>
                <w:sz w:val="14"/>
                <w:szCs w:val="14"/>
                <w:color w:val="001641"/>
              </w:rPr>
              <w:t xml:space="preserve"> Percentile and above</w:t>
            </w:r>
          </w:p>
        </w:tc>
        <w:tc>
          <w:tcPr>
            <w:tcW w:w="100" w:type="dxa"/>
            <w:vAlign w:val="bottom"/>
            <w:tcBorders>
              <w:bottom w:val="single" w:sz="8" w:color="BFA071"/>
            </w:tcBorders>
            <w:shd w:val="clear" w:color="auto" w:fill="EBE1D2"/>
          </w:tcPr>
          <w:p>
            <w:pPr>
              <w:spacing w:after="0"/>
              <w:rPr>
                <w:sz w:val="24"/>
                <w:szCs w:val="24"/>
                <w:color w:val="auto"/>
              </w:rPr>
            </w:pPr>
          </w:p>
        </w:tc>
        <w:tc>
          <w:tcPr>
            <w:tcW w:w="2980" w:type="dxa"/>
            <w:vAlign w:val="bottom"/>
            <w:tcBorders>
              <w:bottom w:val="single" w:sz="8" w:color="BFA071"/>
            </w:tcBorders>
            <w:shd w:val="clear" w:color="auto" w:fill="EBE1D2"/>
          </w:tcPr>
          <w:p>
            <w:pPr>
              <w:jc w:val="center"/>
              <w:ind w:right="47"/>
              <w:spacing w:after="0"/>
              <w:rPr>
                <w:sz w:val="20"/>
                <w:szCs w:val="20"/>
                <w:color w:val="auto"/>
              </w:rPr>
            </w:pPr>
            <w:r>
              <w:rPr>
                <w:rFonts w:ascii="Arial" w:cs="Arial" w:eastAsia="Arial" w:hAnsi="Arial"/>
                <w:sz w:val="14"/>
                <w:szCs w:val="14"/>
                <w:color w:val="001641"/>
              </w:rPr>
              <w:t>200%</w:t>
            </w:r>
          </w:p>
        </w:tc>
        <w:tc>
          <w:tcPr>
            <w:tcW w:w="0" w:type="dxa"/>
            <w:vAlign w:val="bottom"/>
          </w:tcPr>
          <w:p>
            <w:pPr>
              <w:spacing w:after="0"/>
              <w:rPr>
                <w:sz w:val="1"/>
                <w:szCs w:val="1"/>
                <w:color w:val="auto"/>
              </w:rPr>
            </w:pPr>
          </w:p>
        </w:tc>
      </w:tr>
      <w:tr>
        <w:trPr>
          <w:trHeight w:val="257"/>
        </w:trPr>
        <w:tc>
          <w:tcPr>
            <w:tcW w:w="100" w:type="dxa"/>
            <w:vAlign w:val="bottom"/>
            <w:tcBorders>
              <w:bottom w:val="single" w:sz="8" w:color="EBE1D2"/>
            </w:tcBorders>
            <w:shd w:val="clear" w:color="auto" w:fill="EBE1D2"/>
          </w:tcPr>
          <w:p>
            <w:pPr>
              <w:spacing w:after="0"/>
              <w:rPr>
                <w:sz w:val="22"/>
                <w:szCs w:val="22"/>
                <w:color w:val="auto"/>
              </w:rPr>
            </w:pPr>
          </w:p>
        </w:tc>
        <w:tc>
          <w:tcPr>
            <w:tcW w:w="2060" w:type="dxa"/>
            <w:vAlign w:val="bottom"/>
            <w:tcBorders>
              <w:bottom w:val="single" w:sz="8" w:color="EBE1D2"/>
            </w:tcBorders>
            <w:shd w:val="clear" w:color="auto" w:fill="EBE1D2"/>
          </w:tcPr>
          <w:p>
            <w:pPr>
              <w:ind w:left="60"/>
              <w:spacing w:after="0"/>
              <w:rPr>
                <w:sz w:val="20"/>
                <w:szCs w:val="20"/>
                <w:color w:val="auto"/>
              </w:rPr>
            </w:pPr>
            <w:r>
              <w:rPr>
                <w:rFonts w:ascii="Arial" w:cs="Arial" w:eastAsia="Arial" w:hAnsi="Arial"/>
                <w:sz w:val="14"/>
                <w:szCs w:val="14"/>
                <w:b w:val="1"/>
                <w:bCs w:val="1"/>
                <w:color w:val="001641"/>
              </w:rPr>
              <w:t>Actual Achievement</w:t>
            </w:r>
          </w:p>
        </w:tc>
        <w:tc>
          <w:tcPr>
            <w:tcW w:w="2440" w:type="dxa"/>
            <w:vAlign w:val="bottom"/>
            <w:tcBorders>
              <w:bottom w:val="single" w:sz="8" w:color="EBE1D2"/>
            </w:tcBorders>
            <w:shd w:val="clear" w:color="auto" w:fill="EBE1D2"/>
          </w:tcPr>
          <w:p>
            <w:pPr>
              <w:ind w:left="1000"/>
              <w:spacing w:after="0" w:line="236" w:lineRule="exact"/>
              <w:rPr>
                <w:sz w:val="20"/>
                <w:szCs w:val="20"/>
                <w:color w:val="auto"/>
              </w:rPr>
            </w:pPr>
            <w:r>
              <w:rPr>
                <w:rFonts w:ascii="Arial" w:cs="Arial" w:eastAsia="Arial" w:hAnsi="Arial"/>
                <w:sz w:val="14"/>
                <w:szCs w:val="14"/>
                <w:b w:val="1"/>
                <w:bCs w:val="1"/>
                <w:color w:val="001641"/>
              </w:rPr>
              <w:t>81.25</w:t>
            </w:r>
            <w:r>
              <w:rPr>
                <w:rFonts w:ascii="Arial" w:cs="Arial" w:eastAsia="Arial" w:hAnsi="Arial"/>
                <w:sz w:val="23"/>
                <w:szCs w:val="23"/>
                <w:b w:val="1"/>
                <w:bCs w:val="1"/>
                <w:color w:val="001641"/>
                <w:vertAlign w:val="superscript"/>
              </w:rPr>
              <w:t>th</w:t>
            </w:r>
            <w:r>
              <w:rPr>
                <w:rFonts w:ascii="Arial" w:cs="Arial" w:eastAsia="Arial" w:hAnsi="Arial"/>
                <w:sz w:val="14"/>
                <w:szCs w:val="14"/>
                <w:b w:val="1"/>
                <w:bCs w:val="1"/>
                <w:color w:val="001641"/>
              </w:rPr>
              <w:t xml:space="preserve"> Percentile</w:t>
            </w:r>
          </w:p>
        </w:tc>
        <w:tc>
          <w:tcPr>
            <w:tcW w:w="1500" w:type="dxa"/>
            <w:vAlign w:val="bottom"/>
            <w:tcBorders>
              <w:bottom w:val="single" w:sz="8" w:color="EBE1D2"/>
            </w:tcBorders>
            <w:shd w:val="clear" w:color="auto" w:fill="EBE1D2"/>
          </w:tcPr>
          <w:p>
            <w:pPr>
              <w:spacing w:after="0"/>
              <w:rPr>
                <w:sz w:val="22"/>
                <w:szCs w:val="22"/>
                <w:color w:val="auto"/>
              </w:rPr>
            </w:pPr>
          </w:p>
        </w:tc>
        <w:tc>
          <w:tcPr>
            <w:tcW w:w="100" w:type="dxa"/>
            <w:vAlign w:val="bottom"/>
            <w:tcBorders>
              <w:bottom w:val="single" w:sz="8" w:color="EBE1D2"/>
            </w:tcBorders>
            <w:shd w:val="clear" w:color="auto" w:fill="EBE1D2"/>
          </w:tcPr>
          <w:p>
            <w:pPr>
              <w:spacing w:after="0"/>
              <w:rPr>
                <w:sz w:val="22"/>
                <w:szCs w:val="22"/>
                <w:color w:val="auto"/>
              </w:rPr>
            </w:pPr>
          </w:p>
        </w:tc>
        <w:tc>
          <w:tcPr>
            <w:tcW w:w="2980" w:type="dxa"/>
            <w:vAlign w:val="bottom"/>
            <w:tcBorders>
              <w:bottom w:val="single" w:sz="8" w:color="EBE1D2"/>
            </w:tcBorders>
            <w:shd w:val="clear" w:color="auto" w:fill="EBE1D2"/>
          </w:tcPr>
          <w:p>
            <w:pPr>
              <w:jc w:val="center"/>
              <w:ind w:right="47"/>
              <w:spacing w:after="0"/>
              <w:rPr>
                <w:sz w:val="20"/>
                <w:szCs w:val="20"/>
                <w:color w:val="auto"/>
              </w:rPr>
            </w:pPr>
            <w:r>
              <w:rPr>
                <w:rFonts w:ascii="Arial" w:cs="Arial" w:eastAsia="Arial" w:hAnsi="Arial"/>
                <w:sz w:val="14"/>
                <w:szCs w:val="14"/>
                <w:b w:val="1"/>
                <w:bCs w:val="1"/>
                <w:color w:val="001641"/>
              </w:rPr>
              <w:t>178.13%</w:t>
            </w:r>
          </w:p>
        </w:tc>
        <w:tc>
          <w:tcPr>
            <w:tcW w:w="0" w:type="dxa"/>
            <w:vAlign w:val="bottom"/>
          </w:tcPr>
          <w:p>
            <w:pPr>
              <w:spacing w:after="0"/>
              <w:rPr>
                <w:sz w:val="1"/>
                <w:szCs w:val="1"/>
                <w:color w:val="auto"/>
              </w:rPr>
            </w:pPr>
          </w:p>
        </w:tc>
      </w:tr>
      <w:tr>
        <w:trPr>
          <w:trHeight w:val="20"/>
        </w:trPr>
        <w:tc>
          <w:tcPr>
            <w:tcW w:w="100" w:type="dxa"/>
            <w:vAlign w:val="bottom"/>
            <w:shd w:val="clear" w:color="auto" w:fill="001641"/>
          </w:tcPr>
          <w:p>
            <w:pPr>
              <w:spacing w:after="0" w:line="20" w:lineRule="exact"/>
              <w:rPr>
                <w:sz w:val="1"/>
                <w:szCs w:val="1"/>
                <w:color w:val="auto"/>
              </w:rPr>
            </w:pPr>
          </w:p>
        </w:tc>
        <w:tc>
          <w:tcPr>
            <w:tcW w:w="2060" w:type="dxa"/>
            <w:vAlign w:val="bottom"/>
            <w:shd w:val="clear" w:color="auto" w:fill="001641"/>
          </w:tcPr>
          <w:p>
            <w:pPr>
              <w:spacing w:after="0" w:line="20" w:lineRule="exact"/>
              <w:rPr>
                <w:sz w:val="1"/>
                <w:szCs w:val="1"/>
                <w:color w:val="auto"/>
              </w:rPr>
            </w:pPr>
          </w:p>
        </w:tc>
        <w:tc>
          <w:tcPr>
            <w:tcW w:w="2440" w:type="dxa"/>
            <w:vAlign w:val="bottom"/>
            <w:shd w:val="clear" w:color="auto" w:fill="001641"/>
          </w:tcPr>
          <w:p>
            <w:pPr>
              <w:spacing w:after="0" w:line="20" w:lineRule="exact"/>
              <w:rPr>
                <w:sz w:val="1"/>
                <w:szCs w:val="1"/>
                <w:color w:val="auto"/>
              </w:rPr>
            </w:pPr>
          </w:p>
        </w:tc>
        <w:tc>
          <w:tcPr>
            <w:tcW w:w="1500" w:type="dxa"/>
            <w:vAlign w:val="bottom"/>
            <w:shd w:val="clear" w:color="auto" w:fill="001641"/>
          </w:tcPr>
          <w:p>
            <w:pPr>
              <w:spacing w:after="0" w:line="20" w:lineRule="exact"/>
              <w:rPr>
                <w:sz w:val="1"/>
                <w:szCs w:val="1"/>
                <w:color w:val="auto"/>
              </w:rPr>
            </w:pPr>
          </w:p>
        </w:tc>
        <w:tc>
          <w:tcPr>
            <w:tcW w:w="100" w:type="dxa"/>
            <w:vAlign w:val="bottom"/>
            <w:shd w:val="clear" w:color="auto" w:fill="001641"/>
          </w:tcPr>
          <w:p>
            <w:pPr>
              <w:spacing w:after="0" w:line="20" w:lineRule="exact"/>
              <w:rPr>
                <w:sz w:val="1"/>
                <w:szCs w:val="1"/>
                <w:color w:val="auto"/>
              </w:rPr>
            </w:pPr>
          </w:p>
        </w:tc>
        <w:tc>
          <w:tcPr>
            <w:tcW w:w="2980" w:type="dxa"/>
            <w:vAlign w:val="bottom"/>
            <w:shd w:val="clear" w:color="auto" w:fill="00164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ALL OTHER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1641"/>
        </w:rPr>
        <w:t>EMPLOYEE BENEFITS AND PERQUISITES</w:t>
      </w:r>
    </w:p>
    <w:p>
      <w:pPr>
        <w:spacing w:after="0" w:line="162"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We provide a number of benefit plans to all eligible employees, including our NEOs. These benefits include programs such as medical, dental, life insurance, business travel accident insurance, short and long-term disability coverage and a 401(k) plan. We continue to engage all eligible employees, including our NEOs, by providing such benefits as flexible work arrangements and sabbaticals. We also provide a merchandise discount on most of our products to all our employees, including our NEOs, and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9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80</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91" w:name="page92"/>
    <w:bookmarkEnd w:id="91"/>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53340</wp:posOffset>
            </wp:positionV>
            <wp:extent cx="58293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001641"/>
        </w:rPr>
        <w:t>Other Benefits</w:t>
      </w:r>
    </w:p>
    <w:p>
      <w:pPr>
        <w:spacing w:after="0" w:line="86" w:lineRule="exact"/>
        <w:rPr>
          <w:sz w:val="20"/>
          <w:szCs w:val="20"/>
          <w:color w:val="auto"/>
        </w:rPr>
      </w:pPr>
    </w:p>
    <w:p>
      <w:pPr>
        <w:ind w:left="920" w:right="980"/>
        <w:spacing w:after="0" w:line="254" w:lineRule="auto"/>
        <w:rPr>
          <w:sz w:val="20"/>
          <w:szCs w:val="20"/>
          <w:color w:val="auto"/>
        </w:rPr>
      </w:pPr>
      <w:r>
        <w:rPr>
          <w:rFonts w:ascii="Arial" w:cs="Arial" w:eastAsia="Arial" w:hAnsi="Arial"/>
          <w:sz w:val="16"/>
          <w:szCs w:val="16"/>
          <w:color w:val="auto"/>
        </w:rPr>
        <w:t>We provide our NEOs with other benefits that we believe are reasonable, competitive, and consistent with our overall executive compensation programs. We believe that these benefits generally allow our executives to work more efficiently and promote our brand. The costs of these benefits constitute only a small percentage of each NEO’s total compensation. Our NEOs are eligible for financial counseling and an annual executive physical. Mr. Louvet also has membership benefits to a concierge medical service to oversee healthcare needs. We provide the use of an automobile and driver for Mr. R. Lauren and Mr. Louvet and an annual car allowance for all other NEOs.</w:t>
      </w:r>
    </w:p>
    <w:p>
      <w:pPr>
        <w:spacing w:after="0" w:line="128" w:lineRule="exact"/>
        <w:rPr>
          <w:sz w:val="20"/>
          <w:szCs w:val="20"/>
          <w:color w:val="auto"/>
        </w:rPr>
      </w:pPr>
    </w:p>
    <w:p>
      <w:pPr>
        <w:ind w:left="920" w:right="940"/>
        <w:spacing w:after="0" w:line="253" w:lineRule="auto"/>
        <w:rPr>
          <w:sz w:val="20"/>
          <w:szCs w:val="20"/>
          <w:color w:val="auto"/>
        </w:rPr>
      </w:pPr>
      <w:r>
        <w:rPr>
          <w:rFonts w:ascii="Arial" w:cs="Arial" w:eastAsia="Arial" w:hAnsi="Arial"/>
          <w:sz w:val="16"/>
          <w:szCs w:val="16"/>
          <w:color w:val="auto"/>
        </w:rPr>
        <w:t>In addition, pursuant to his employment agreement and for security purposes, Mr. R. Lauren is required to use private aircraft for any travel and is reimbursed for the expense of business travel. Also, under Mr. R. Lauren’s employment agreement, we will reimburse him up to a maximum aggregate amount of $200,000 for any expense incurred as a result of his use of his private aircraft, or other acceptable private aircraft, for personal travel. The Company did not pay for personal travel for any of the other NEOs in Fiscal 2026. In all cases, personal travel paid for by the Company is treated as imputed income to the executive. See the “All Other Compensation” column of the “Summary Compensation Table” and related footnotes for a discussion of all perquisites and other personal benefits provided to our NEOs.</w:t>
      </w:r>
    </w:p>
    <w:p>
      <w:pPr>
        <w:spacing w:after="0" w:line="30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BFA071"/>
        </w:rPr>
        <w:t>EXECUTIVE STOCK OWNERSHIP GUIDELINES</w:t>
      </w:r>
    </w:p>
    <w:p>
      <w:pPr>
        <w:spacing w:after="0" w:line="139" w:lineRule="exact"/>
        <w:rPr>
          <w:sz w:val="20"/>
          <w:szCs w:val="20"/>
          <w:color w:val="auto"/>
        </w:rPr>
      </w:pPr>
    </w:p>
    <w:p>
      <w:pPr>
        <w:ind w:left="920" w:right="1040"/>
        <w:spacing w:after="0" w:line="256" w:lineRule="auto"/>
        <w:rPr>
          <w:sz w:val="20"/>
          <w:szCs w:val="20"/>
          <w:color w:val="auto"/>
        </w:rPr>
      </w:pPr>
      <w:r>
        <w:rPr>
          <w:rFonts w:ascii="Arial" w:cs="Arial" w:eastAsia="Arial" w:hAnsi="Arial"/>
          <w:sz w:val="16"/>
          <w:szCs w:val="16"/>
          <w:color w:val="auto"/>
        </w:rPr>
        <w:t>Our Board and Talent Committee believe it is important for key members of our senior management team to build and maintain a long-term ownership position in the Company to further align their financial interests with those of our stockholders and to encourage the creation of sustainable long-term value. Our compensation structure for these individuals provides for a significant percentage of compensation to be equity-based, which places a substantial portion of compensation at risk over a long-term period.</w:t>
      </w:r>
    </w:p>
    <w:p>
      <w:pPr>
        <w:spacing w:after="0" w:line="126" w:lineRule="exact"/>
        <w:rPr>
          <w:sz w:val="20"/>
          <w:szCs w:val="20"/>
          <w:color w:val="auto"/>
        </w:rPr>
      </w:pPr>
    </w:p>
    <w:p>
      <w:pPr>
        <w:ind w:left="920" w:right="1080"/>
        <w:spacing w:after="0" w:line="259" w:lineRule="auto"/>
        <w:rPr>
          <w:sz w:val="20"/>
          <w:szCs w:val="20"/>
          <w:color w:val="auto"/>
        </w:rPr>
      </w:pPr>
      <w:r>
        <w:rPr>
          <w:rFonts w:ascii="Arial" w:cs="Arial" w:eastAsia="Arial" w:hAnsi="Arial"/>
          <w:sz w:val="16"/>
          <w:szCs w:val="16"/>
          <w:color w:val="auto"/>
        </w:rPr>
        <w:t>In June 2010, the Talent Committee established stock ownership guidelines for our non-employee directors, our NEOs, and select other members of our senior management group to further link the interests of these individuals with those of our stockholders. Further details on the guidelines for non-employee directors are provided in the “Director Compensation” section above. Below is a summary of our current stock ownership guidelines for our NEOs:</w:t>
      </w:r>
    </w:p>
    <w:p>
      <w:pPr>
        <w:spacing w:after="0" w:line="124" w:lineRule="exact"/>
        <w:rPr>
          <w:sz w:val="20"/>
          <w:szCs w:val="20"/>
          <w:color w:val="auto"/>
        </w:rPr>
      </w:pPr>
    </w:p>
    <w:p>
      <w:pPr>
        <w:ind w:left="1080" w:right="1100" w:hanging="166"/>
        <w:spacing w:after="0" w:line="286"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001641"/>
        </w:rPr>
        <w:t xml:space="preserve">Multiple of Salary Approach. </w:t>
      </w:r>
      <w:r>
        <w:rPr>
          <w:rFonts w:ascii="Arial" w:cs="Arial" w:eastAsia="Arial" w:hAnsi="Arial"/>
          <w:sz w:val="16"/>
          <w:szCs w:val="16"/>
          <w:color w:val="000000"/>
        </w:rPr>
        <w:t>The application of a multiple of salary approach is used to establish stock ownership targets.</w:t>
      </w:r>
      <w:r>
        <w:rPr>
          <w:rFonts w:ascii="Arial" w:cs="Arial" w:eastAsia="Arial" w:hAnsi="Arial"/>
          <w:sz w:val="16"/>
          <w:szCs w:val="16"/>
          <w:b w:val="1"/>
          <w:bCs w:val="1"/>
          <w:color w:val="001641"/>
        </w:rPr>
        <w:t xml:space="preserve"> </w:t>
      </w:r>
      <w:r>
        <w:rPr>
          <w:rFonts w:ascii="Arial" w:cs="Arial" w:eastAsia="Arial" w:hAnsi="Arial"/>
          <w:sz w:val="16"/>
          <w:szCs w:val="16"/>
          <w:color w:val="000000"/>
        </w:rPr>
        <w:t>The guidelines for NEOs were based on competitive multiples of salary.</w:t>
      </w:r>
    </w:p>
    <w:p>
      <w:pPr>
        <w:spacing w:after="0" w:line="74" w:lineRule="exact"/>
        <w:rPr>
          <w:rFonts w:ascii="Arial" w:cs="Arial" w:eastAsia="Arial" w:hAnsi="Arial"/>
          <w:sz w:val="16"/>
          <w:szCs w:val="16"/>
          <w:color w:val="auto"/>
        </w:rPr>
      </w:pPr>
    </w:p>
    <w:p>
      <w:pPr>
        <w:ind w:left="1080" w:right="940" w:hanging="166"/>
        <w:spacing w:after="0" w:line="259"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001641"/>
        </w:rPr>
        <w:t xml:space="preserve">Holding Requirement. </w:t>
      </w:r>
      <w:r>
        <w:rPr>
          <w:rFonts w:ascii="Arial" w:cs="Arial" w:eastAsia="Arial" w:hAnsi="Arial"/>
          <w:sz w:val="16"/>
          <w:szCs w:val="16"/>
          <w:color w:val="000000"/>
        </w:rPr>
        <w:t>If at any time the minimum number of shares owned is not achieved, the NEO will be required to</w:t>
      </w:r>
      <w:r>
        <w:rPr>
          <w:rFonts w:ascii="Arial" w:cs="Arial" w:eastAsia="Arial" w:hAnsi="Arial"/>
          <w:sz w:val="16"/>
          <w:szCs w:val="16"/>
          <w:b w:val="1"/>
          <w:bCs w:val="1"/>
          <w:color w:val="001641"/>
        </w:rPr>
        <w:t xml:space="preserve"> </w:t>
      </w:r>
      <w:r>
        <w:rPr>
          <w:rFonts w:ascii="Arial" w:cs="Arial" w:eastAsia="Arial" w:hAnsi="Arial"/>
          <w:sz w:val="16"/>
          <w:szCs w:val="16"/>
          <w:color w:val="000000"/>
        </w:rPr>
        <w:t>retain 50% of the net shares resulting from the vesting of all time-based RSU awards, performance-based awards and 50% of the net shares resulting from the exercise of all stock option awards, until the NEO’s applicable level of ownership is met and maintained.</w:t>
      </w:r>
    </w:p>
    <w:p>
      <w:pPr>
        <w:spacing w:after="0" w:line="83" w:lineRule="exact"/>
        <w:rPr>
          <w:rFonts w:ascii="Arial" w:cs="Arial" w:eastAsia="Arial" w:hAnsi="Arial"/>
          <w:sz w:val="16"/>
          <w:szCs w:val="16"/>
          <w:color w:val="auto"/>
        </w:rPr>
      </w:pPr>
    </w:p>
    <w:p>
      <w:pPr>
        <w:ind w:left="1080" w:right="1020" w:hanging="166"/>
        <w:spacing w:after="0" w:line="266"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001641"/>
        </w:rPr>
        <w:t xml:space="preserve">Determination of Shares. </w:t>
      </w:r>
      <w:r>
        <w:rPr>
          <w:rFonts w:ascii="Arial" w:cs="Arial" w:eastAsia="Arial" w:hAnsi="Arial"/>
          <w:sz w:val="16"/>
          <w:szCs w:val="16"/>
          <w:color w:val="000000"/>
        </w:rPr>
        <w:t>The minimum number of shares required is determined annually in June using the NEO’s</w:t>
      </w:r>
      <w:r>
        <w:rPr>
          <w:rFonts w:ascii="Arial" w:cs="Arial" w:eastAsia="Arial" w:hAnsi="Arial"/>
          <w:sz w:val="16"/>
          <w:szCs w:val="16"/>
          <w:b w:val="1"/>
          <w:bCs w:val="1"/>
          <w:color w:val="001641"/>
        </w:rPr>
        <w:t xml:space="preserve"> </w:t>
      </w:r>
      <w:r>
        <w:rPr>
          <w:rFonts w:ascii="Arial" w:cs="Arial" w:eastAsia="Arial" w:hAnsi="Arial"/>
          <w:sz w:val="16"/>
          <w:szCs w:val="16"/>
          <w:color w:val="000000"/>
        </w:rPr>
        <w:t>applicable multiple and base salary as of the beginning of the current fiscal year and the average daily closing share price for the 20 trading days ending on May 31 of that year.</w:t>
      </w:r>
    </w:p>
    <w:p>
      <w:pPr>
        <w:spacing w:after="0" w:line="117" w:lineRule="exact"/>
        <w:rPr>
          <w:sz w:val="20"/>
          <w:szCs w:val="20"/>
          <w:color w:val="auto"/>
        </w:rPr>
      </w:pPr>
    </w:p>
    <w:p>
      <w:pPr>
        <w:ind w:left="1080" w:right="960"/>
        <w:spacing w:after="0" w:line="266" w:lineRule="auto"/>
        <w:rPr>
          <w:sz w:val="20"/>
          <w:szCs w:val="20"/>
          <w:color w:val="auto"/>
        </w:rPr>
      </w:pPr>
      <w:r>
        <w:rPr>
          <w:rFonts w:ascii="Arial" w:cs="Arial" w:eastAsia="Arial" w:hAnsi="Arial"/>
          <w:sz w:val="16"/>
          <w:szCs w:val="16"/>
          <w:color w:val="auto"/>
        </w:rPr>
        <w:t>Shares directly or beneficially owned by an employee subject to the guidelines count toward the achievement of ownership guidelines, including certain shares underlying vested RSUs that may not be distributed to Mr. R. Lauren until his employment is terminated. Unvested time-based RSUs also count toward the achievement of ownership targets.</w:t>
      </w:r>
    </w:p>
    <w:p>
      <w:pPr>
        <w:spacing w:after="0" w:line="117" w:lineRule="exact"/>
        <w:rPr>
          <w:sz w:val="20"/>
          <w:szCs w:val="20"/>
          <w:color w:val="auto"/>
        </w:rPr>
      </w:pPr>
    </w:p>
    <w:p>
      <w:pPr>
        <w:ind w:left="920" w:right="1160"/>
        <w:spacing w:after="0" w:line="286" w:lineRule="auto"/>
        <w:rPr>
          <w:sz w:val="20"/>
          <w:szCs w:val="20"/>
          <w:color w:val="auto"/>
        </w:rPr>
      </w:pPr>
      <w:r>
        <w:rPr>
          <w:rFonts w:ascii="Arial" w:cs="Arial" w:eastAsia="Arial" w:hAnsi="Arial"/>
          <w:sz w:val="16"/>
          <w:szCs w:val="16"/>
          <w:color w:val="auto"/>
        </w:rPr>
        <w:t>All of our NEOs exceeded their respective Fiscal 2026 stock ownership guidelines. As of the end of Fiscal 2026, the following stock ownership targets were in effect for our NEOs: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920" w:type="dxa"/>
            <w:vAlign w:val="bottom"/>
          </w:tcPr>
          <w:p>
            <w:pPr>
              <w:spacing w:after="0"/>
              <w:rPr>
                <w:sz w:val="24"/>
                <w:szCs w:val="24"/>
                <w:color w:val="auto"/>
              </w:rPr>
            </w:pPr>
          </w:p>
        </w:tc>
        <w:tc>
          <w:tcPr>
            <w:tcW w:w="5340" w:type="dxa"/>
            <w:vAlign w:val="bottom"/>
            <w:shd w:val="clear" w:color="auto" w:fill="001641"/>
          </w:tcPr>
          <w:p>
            <w:pPr>
              <w:ind w:left="140"/>
              <w:spacing w:after="0"/>
              <w:rPr>
                <w:sz w:val="20"/>
                <w:szCs w:val="20"/>
                <w:color w:val="auto"/>
              </w:rPr>
            </w:pPr>
            <w:r>
              <w:rPr>
                <w:rFonts w:ascii="Arial" w:cs="Arial" w:eastAsia="Arial" w:hAnsi="Arial"/>
                <w:sz w:val="14"/>
                <w:szCs w:val="14"/>
                <w:b w:val="1"/>
                <w:bCs w:val="1"/>
                <w:color w:val="FFFFFF"/>
              </w:rPr>
              <w:t>Name</w:t>
            </w:r>
          </w:p>
        </w:tc>
        <w:tc>
          <w:tcPr>
            <w:tcW w:w="3840" w:type="dxa"/>
            <w:vAlign w:val="bottom"/>
            <w:shd w:val="clear" w:color="auto" w:fill="001641"/>
          </w:tcPr>
          <w:p>
            <w:pPr>
              <w:ind w:left="1640"/>
              <w:spacing w:after="0"/>
              <w:rPr>
                <w:sz w:val="20"/>
                <w:szCs w:val="20"/>
                <w:color w:val="auto"/>
              </w:rPr>
            </w:pPr>
            <w:r>
              <w:rPr>
                <w:rFonts w:ascii="Arial" w:cs="Arial" w:eastAsia="Arial" w:hAnsi="Arial"/>
                <w:sz w:val="14"/>
                <w:szCs w:val="14"/>
                <w:b w:val="1"/>
                <w:bCs w:val="1"/>
                <w:color w:val="FFFFFF"/>
              </w:rPr>
              <w:t>Share Ownership Target Value</w:t>
            </w:r>
          </w:p>
        </w:tc>
        <w:tc>
          <w:tcPr>
            <w:tcW w:w="920" w:type="dxa"/>
            <w:vAlign w:val="bottom"/>
          </w:tcPr>
          <w:p>
            <w:pPr>
              <w:spacing w:after="0"/>
              <w:rPr>
                <w:sz w:val="24"/>
                <w:szCs w:val="24"/>
                <w:color w:val="auto"/>
              </w:rPr>
            </w:pPr>
          </w:p>
        </w:tc>
      </w:tr>
      <w:tr>
        <w:trPr>
          <w:trHeight w:val="236"/>
        </w:trPr>
        <w:tc>
          <w:tcPr>
            <w:tcW w:w="920" w:type="dxa"/>
            <w:vAlign w:val="bottom"/>
          </w:tcPr>
          <w:p>
            <w:pPr>
              <w:spacing w:after="0"/>
              <w:rPr>
                <w:sz w:val="20"/>
                <w:szCs w:val="20"/>
                <w:color w:val="auto"/>
              </w:rPr>
            </w:pPr>
          </w:p>
        </w:tc>
        <w:tc>
          <w:tcPr>
            <w:tcW w:w="5340" w:type="dxa"/>
            <w:vAlign w:val="bottom"/>
            <w:tcBorders>
              <w:bottom w:val="single" w:sz="8" w:color="BFA071"/>
            </w:tcBorders>
          </w:tcPr>
          <w:p>
            <w:pPr>
              <w:ind w:left="140"/>
              <w:spacing w:after="0"/>
              <w:rPr>
                <w:sz w:val="20"/>
                <w:szCs w:val="20"/>
                <w:color w:val="auto"/>
              </w:rPr>
            </w:pPr>
            <w:r>
              <w:rPr>
                <w:rFonts w:ascii="Arial" w:cs="Arial" w:eastAsia="Arial" w:hAnsi="Arial"/>
                <w:sz w:val="14"/>
                <w:szCs w:val="14"/>
                <w:b w:val="1"/>
                <w:bCs w:val="1"/>
                <w:color w:val="001641"/>
              </w:rPr>
              <w:t xml:space="preserve">Ralph Lauren, </w:t>
            </w:r>
            <w:r>
              <w:rPr>
                <w:rFonts w:ascii="Arial" w:cs="Arial" w:eastAsia="Arial" w:hAnsi="Arial"/>
                <w:sz w:val="14"/>
                <w:szCs w:val="14"/>
                <w:i w:val="1"/>
                <w:iCs w:val="1"/>
                <w:color w:val="001641"/>
              </w:rPr>
              <w:t>Executive Chairman and Chief Creative Officer</w:t>
            </w:r>
          </w:p>
        </w:tc>
        <w:tc>
          <w:tcPr>
            <w:tcW w:w="3840" w:type="dxa"/>
            <w:vAlign w:val="bottom"/>
            <w:tcBorders>
              <w:bottom w:val="single" w:sz="8" w:color="BFA071"/>
            </w:tcBorders>
          </w:tcPr>
          <w:p>
            <w:pPr>
              <w:ind w:left="1640"/>
              <w:spacing w:after="0"/>
              <w:rPr>
                <w:sz w:val="20"/>
                <w:szCs w:val="20"/>
                <w:color w:val="auto"/>
              </w:rPr>
            </w:pPr>
            <w:r>
              <w:rPr>
                <w:rFonts w:ascii="Arial" w:cs="Arial" w:eastAsia="Arial" w:hAnsi="Arial"/>
                <w:sz w:val="14"/>
                <w:szCs w:val="14"/>
                <w:color w:val="001641"/>
              </w:rPr>
              <w:t>6 times base salary</w:t>
            </w:r>
          </w:p>
        </w:tc>
        <w:tc>
          <w:tcPr>
            <w:tcW w:w="920" w:type="dxa"/>
            <w:vAlign w:val="bottom"/>
          </w:tcPr>
          <w:p>
            <w:pPr>
              <w:spacing w:after="0"/>
              <w:rPr>
                <w:sz w:val="20"/>
                <w:szCs w:val="20"/>
                <w:color w:val="auto"/>
              </w:rPr>
            </w:pPr>
          </w:p>
        </w:tc>
      </w:tr>
      <w:tr>
        <w:trPr>
          <w:trHeight w:val="223"/>
        </w:trPr>
        <w:tc>
          <w:tcPr>
            <w:tcW w:w="920" w:type="dxa"/>
            <w:vAlign w:val="bottom"/>
          </w:tcPr>
          <w:p>
            <w:pPr>
              <w:spacing w:after="0"/>
              <w:rPr>
                <w:sz w:val="19"/>
                <w:szCs w:val="19"/>
                <w:color w:val="auto"/>
              </w:rPr>
            </w:pPr>
          </w:p>
        </w:tc>
        <w:tc>
          <w:tcPr>
            <w:tcW w:w="5340" w:type="dxa"/>
            <w:vAlign w:val="bottom"/>
            <w:tcBorders>
              <w:bottom w:val="single" w:sz="8" w:color="BFA071"/>
            </w:tcBorders>
          </w:tcPr>
          <w:p>
            <w:pPr>
              <w:ind w:left="140"/>
              <w:spacing w:after="0"/>
              <w:rPr>
                <w:sz w:val="20"/>
                <w:szCs w:val="20"/>
                <w:color w:val="auto"/>
              </w:rPr>
            </w:pPr>
            <w:r>
              <w:rPr>
                <w:rFonts w:ascii="Arial" w:cs="Arial" w:eastAsia="Arial" w:hAnsi="Arial"/>
                <w:sz w:val="14"/>
                <w:szCs w:val="14"/>
                <w:b w:val="1"/>
                <w:bCs w:val="1"/>
                <w:color w:val="001641"/>
              </w:rPr>
              <w:t xml:space="preserve">Patrice Louvet, </w:t>
            </w:r>
            <w:r>
              <w:rPr>
                <w:rFonts w:ascii="Arial" w:cs="Arial" w:eastAsia="Arial" w:hAnsi="Arial"/>
                <w:sz w:val="14"/>
                <w:szCs w:val="14"/>
                <w:i w:val="1"/>
                <w:iCs w:val="1"/>
                <w:color w:val="001641"/>
              </w:rPr>
              <w:t>CEO</w:t>
            </w:r>
          </w:p>
        </w:tc>
        <w:tc>
          <w:tcPr>
            <w:tcW w:w="3840" w:type="dxa"/>
            <w:vAlign w:val="bottom"/>
            <w:tcBorders>
              <w:bottom w:val="single" w:sz="8" w:color="BFA071"/>
            </w:tcBorders>
          </w:tcPr>
          <w:p>
            <w:pPr>
              <w:ind w:left="1640"/>
              <w:spacing w:after="0"/>
              <w:rPr>
                <w:sz w:val="20"/>
                <w:szCs w:val="20"/>
                <w:color w:val="auto"/>
              </w:rPr>
            </w:pPr>
            <w:r>
              <w:rPr>
                <w:rFonts w:ascii="Arial" w:cs="Arial" w:eastAsia="Arial" w:hAnsi="Arial"/>
                <w:sz w:val="14"/>
                <w:szCs w:val="14"/>
                <w:color w:val="001641"/>
              </w:rPr>
              <w:t>6 times base salary</w:t>
            </w:r>
          </w:p>
        </w:tc>
        <w:tc>
          <w:tcPr>
            <w:tcW w:w="920" w:type="dxa"/>
            <w:vAlign w:val="bottom"/>
          </w:tcPr>
          <w:p>
            <w:pPr>
              <w:spacing w:after="0"/>
              <w:rPr>
                <w:sz w:val="19"/>
                <w:szCs w:val="19"/>
                <w:color w:val="auto"/>
              </w:rPr>
            </w:pPr>
          </w:p>
        </w:tc>
      </w:tr>
      <w:tr>
        <w:trPr>
          <w:trHeight w:val="223"/>
        </w:trPr>
        <w:tc>
          <w:tcPr>
            <w:tcW w:w="920" w:type="dxa"/>
            <w:vAlign w:val="bottom"/>
          </w:tcPr>
          <w:p>
            <w:pPr>
              <w:spacing w:after="0"/>
              <w:rPr>
                <w:sz w:val="19"/>
                <w:szCs w:val="19"/>
                <w:color w:val="auto"/>
              </w:rPr>
            </w:pPr>
          </w:p>
        </w:tc>
        <w:tc>
          <w:tcPr>
            <w:tcW w:w="5340" w:type="dxa"/>
            <w:vAlign w:val="bottom"/>
            <w:tcBorders>
              <w:bottom w:val="single" w:sz="8" w:color="BFA071"/>
            </w:tcBorders>
          </w:tcPr>
          <w:p>
            <w:pPr>
              <w:ind w:left="140"/>
              <w:spacing w:after="0"/>
              <w:rPr>
                <w:sz w:val="20"/>
                <w:szCs w:val="20"/>
                <w:color w:val="auto"/>
              </w:rPr>
            </w:pPr>
            <w:r>
              <w:rPr>
                <w:rFonts w:ascii="Arial" w:cs="Arial" w:eastAsia="Arial" w:hAnsi="Arial"/>
                <w:sz w:val="14"/>
                <w:szCs w:val="14"/>
                <w:b w:val="1"/>
                <w:bCs w:val="1"/>
                <w:color w:val="001641"/>
              </w:rPr>
              <w:t xml:space="preserve">Robert Ranftl, </w:t>
            </w:r>
            <w:r>
              <w:rPr>
                <w:rFonts w:ascii="Arial" w:cs="Arial" w:eastAsia="Arial" w:hAnsi="Arial"/>
                <w:sz w:val="14"/>
                <w:szCs w:val="14"/>
                <w:i w:val="1"/>
                <w:iCs w:val="1"/>
                <w:color w:val="001641"/>
              </w:rPr>
              <w:t>COO</w:t>
            </w:r>
          </w:p>
        </w:tc>
        <w:tc>
          <w:tcPr>
            <w:tcW w:w="3840" w:type="dxa"/>
            <w:vAlign w:val="bottom"/>
            <w:tcBorders>
              <w:bottom w:val="single" w:sz="8" w:color="BFA071"/>
            </w:tcBorders>
          </w:tcPr>
          <w:p>
            <w:pPr>
              <w:ind w:left="1640"/>
              <w:spacing w:after="0"/>
              <w:rPr>
                <w:sz w:val="20"/>
                <w:szCs w:val="20"/>
                <w:color w:val="auto"/>
              </w:rPr>
            </w:pPr>
            <w:r>
              <w:rPr>
                <w:rFonts w:ascii="Arial" w:cs="Arial" w:eastAsia="Arial" w:hAnsi="Arial"/>
                <w:sz w:val="14"/>
                <w:szCs w:val="14"/>
                <w:color w:val="001641"/>
              </w:rPr>
              <w:t>3 times base salary</w:t>
            </w:r>
          </w:p>
        </w:tc>
        <w:tc>
          <w:tcPr>
            <w:tcW w:w="920" w:type="dxa"/>
            <w:vAlign w:val="bottom"/>
          </w:tcPr>
          <w:p>
            <w:pPr>
              <w:spacing w:after="0"/>
              <w:rPr>
                <w:sz w:val="19"/>
                <w:szCs w:val="19"/>
                <w:color w:val="auto"/>
              </w:rPr>
            </w:pPr>
          </w:p>
        </w:tc>
      </w:tr>
      <w:tr>
        <w:trPr>
          <w:trHeight w:val="223"/>
        </w:trPr>
        <w:tc>
          <w:tcPr>
            <w:tcW w:w="920" w:type="dxa"/>
            <w:vAlign w:val="bottom"/>
          </w:tcPr>
          <w:p>
            <w:pPr>
              <w:spacing w:after="0"/>
              <w:rPr>
                <w:sz w:val="19"/>
                <w:szCs w:val="19"/>
                <w:color w:val="auto"/>
              </w:rPr>
            </w:pPr>
          </w:p>
        </w:tc>
        <w:tc>
          <w:tcPr>
            <w:tcW w:w="5340" w:type="dxa"/>
            <w:vAlign w:val="bottom"/>
            <w:tcBorders>
              <w:bottom w:val="single" w:sz="8" w:color="BFA071"/>
            </w:tcBorders>
          </w:tcPr>
          <w:p>
            <w:pPr>
              <w:ind w:left="140"/>
              <w:spacing w:after="0"/>
              <w:rPr>
                <w:sz w:val="20"/>
                <w:szCs w:val="20"/>
                <w:color w:val="auto"/>
              </w:rPr>
            </w:pPr>
            <w:r>
              <w:rPr>
                <w:rFonts w:ascii="Arial" w:cs="Arial" w:eastAsia="Arial" w:hAnsi="Arial"/>
                <w:sz w:val="14"/>
                <w:szCs w:val="14"/>
                <w:b w:val="1"/>
                <w:bCs w:val="1"/>
                <w:color w:val="001641"/>
              </w:rPr>
              <w:t xml:space="preserve">Justin Picicci, </w:t>
            </w:r>
            <w:r>
              <w:rPr>
                <w:rFonts w:ascii="Arial" w:cs="Arial" w:eastAsia="Arial" w:hAnsi="Arial"/>
                <w:sz w:val="14"/>
                <w:szCs w:val="14"/>
                <w:i w:val="1"/>
                <w:iCs w:val="1"/>
                <w:color w:val="001641"/>
              </w:rPr>
              <w:t>CFO</w:t>
            </w:r>
          </w:p>
        </w:tc>
        <w:tc>
          <w:tcPr>
            <w:tcW w:w="3840" w:type="dxa"/>
            <w:vAlign w:val="bottom"/>
            <w:tcBorders>
              <w:bottom w:val="single" w:sz="8" w:color="BFA071"/>
            </w:tcBorders>
          </w:tcPr>
          <w:p>
            <w:pPr>
              <w:ind w:left="1640"/>
              <w:spacing w:after="0"/>
              <w:rPr>
                <w:sz w:val="20"/>
                <w:szCs w:val="20"/>
                <w:color w:val="auto"/>
              </w:rPr>
            </w:pPr>
            <w:r>
              <w:rPr>
                <w:rFonts w:ascii="Arial" w:cs="Arial" w:eastAsia="Arial" w:hAnsi="Arial"/>
                <w:sz w:val="14"/>
                <w:szCs w:val="14"/>
                <w:color w:val="001641"/>
              </w:rPr>
              <w:t>3 times base salary</w:t>
            </w:r>
          </w:p>
        </w:tc>
        <w:tc>
          <w:tcPr>
            <w:tcW w:w="920" w:type="dxa"/>
            <w:vAlign w:val="bottom"/>
          </w:tcPr>
          <w:p>
            <w:pPr>
              <w:spacing w:after="0"/>
              <w:rPr>
                <w:sz w:val="19"/>
                <w:szCs w:val="19"/>
                <w:color w:val="auto"/>
              </w:rPr>
            </w:pPr>
          </w:p>
        </w:tc>
      </w:tr>
      <w:tr>
        <w:trPr>
          <w:trHeight w:val="223"/>
        </w:trPr>
        <w:tc>
          <w:tcPr>
            <w:tcW w:w="920" w:type="dxa"/>
            <w:vAlign w:val="bottom"/>
          </w:tcPr>
          <w:p>
            <w:pPr>
              <w:spacing w:after="0"/>
              <w:rPr>
                <w:sz w:val="19"/>
                <w:szCs w:val="19"/>
                <w:color w:val="auto"/>
              </w:rPr>
            </w:pPr>
          </w:p>
        </w:tc>
        <w:tc>
          <w:tcPr>
            <w:tcW w:w="5340" w:type="dxa"/>
            <w:vAlign w:val="bottom"/>
            <w:tcBorders>
              <w:bottom w:val="single" w:sz="8" w:color="BFA071"/>
            </w:tcBorders>
          </w:tcPr>
          <w:p>
            <w:pPr>
              <w:ind w:left="140"/>
              <w:spacing w:after="0"/>
              <w:rPr>
                <w:sz w:val="20"/>
                <w:szCs w:val="20"/>
                <w:color w:val="auto"/>
              </w:rPr>
            </w:pPr>
            <w:r>
              <w:rPr>
                <w:rFonts w:ascii="Arial" w:cs="Arial" w:eastAsia="Arial" w:hAnsi="Arial"/>
                <w:sz w:val="14"/>
                <w:szCs w:val="14"/>
                <w:b w:val="1"/>
                <w:bCs w:val="1"/>
                <w:color w:val="001641"/>
              </w:rPr>
              <w:t xml:space="preserve">Halide Alagoz, </w:t>
            </w:r>
            <w:r>
              <w:rPr>
                <w:rFonts w:ascii="Arial" w:cs="Arial" w:eastAsia="Arial" w:hAnsi="Arial"/>
                <w:sz w:val="14"/>
                <w:szCs w:val="14"/>
                <w:i w:val="1"/>
                <w:iCs w:val="1"/>
                <w:color w:val="001641"/>
              </w:rPr>
              <w:t>Chief Product &amp; Merchandising Officer</w:t>
            </w:r>
          </w:p>
        </w:tc>
        <w:tc>
          <w:tcPr>
            <w:tcW w:w="3840" w:type="dxa"/>
            <w:vAlign w:val="bottom"/>
            <w:tcBorders>
              <w:bottom w:val="single" w:sz="8" w:color="BFA071"/>
            </w:tcBorders>
          </w:tcPr>
          <w:p>
            <w:pPr>
              <w:ind w:left="1640"/>
              <w:spacing w:after="0"/>
              <w:rPr>
                <w:sz w:val="20"/>
                <w:szCs w:val="20"/>
                <w:color w:val="auto"/>
              </w:rPr>
            </w:pPr>
            <w:r>
              <w:rPr>
                <w:rFonts w:ascii="Arial" w:cs="Arial" w:eastAsia="Arial" w:hAnsi="Arial"/>
                <w:sz w:val="14"/>
                <w:szCs w:val="14"/>
                <w:color w:val="001641"/>
              </w:rPr>
              <w:t>3 times base salary</w:t>
            </w:r>
          </w:p>
        </w:tc>
        <w:tc>
          <w:tcPr>
            <w:tcW w:w="920" w:type="dxa"/>
            <w:vAlign w:val="bottom"/>
          </w:tcPr>
          <w:p>
            <w:pPr>
              <w:spacing w:after="0"/>
              <w:rPr>
                <w:sz w:val="19"/>
                <w:szCs w:val="19"/>
                <w:color w:val="auto"/>
              </w:rPr>
            </w:pPr>
          </w:p>
        </w:tc>
      </w:tr>
      <w:tr>
        <w:trPr>
          <w:trHeight w:val="223"/>
        </w:trPr>
        <w:tc>
          <w:tcPr>
            <w:tcW w:w="920" w:type="dxa"/>
            <w:vAlign w:val="bottom"/>
          </w:tcPr>
          <w:p>
            <w:pPr>
              <w:spacing w:after="0"/>
              <w:rPr>
                <w:sz w:val="19"/>
                <w:szCs w:val="19"/>
                <w:color w:val="auto"/>
              </w:rPr>
            </w:pPr>
          </w:p>
        </w:tc>
        <w:tc>
          <w:tcPr>
            <w:tcW w:w="5340" w:type="dxa"/>
            <w:vAlign w:val="bottom"/>
            <w:tcBorders>
              <w:bottom w:val="single" w:sz="8" w:color="001641"/>
            </w:tcBorders>
          </w:tcPr>
          <w:p>
            <w:pPr>
              <w:ind w:left="140"/>
              <w:spacing w:after="0"/>
              <w:rPr>
                <w:sz w:val="20"/>
                <w:szCs w:val="20"/>
                <w:color w:val="auto"/>
              </w:rPr>
            </w:pPr>
            <w:r>
              <w:rPr>
                <w:rFonts w:ascii="Arial" w:cs="Arial" w:eastAsia="Arial" w:hAnsi="Arial"/>
                <w:sz w:val="14"/>
                <w:szCs w:val="14"/>
                <w:b w:val="1"/>
                <w:bCs w:val="1"/>
                <w:color w:val="001641"/>
              </w:rPr>
              <w:t xml:space="preserve">David Lauren, </w:t>
            </w:r>
            <w:r>
              <w:rPr>
                <w:rFonts w:ascii="Arial" w:cs="Arial" w:eastAsia="Arial" w:hAnsi="Arial"/>
                <w:sz w:val="14"/>
                <w:szCs w:val="14"/>
                <w:i w:val="1"/>
                <w:iCs w:val="1"/>
                <w:color w:val="001641"/>
              </w:rPr>
              <w:t>Chief Branding and Innovation Officer</w:t>
            </w:r>
          </w:p>
        </w:tc>
        <w:tc>
          <w:tcPr>
            <w:tcW w:w="3840" w:type="dxa"/>
            <w:vAlign w:val="bottom"/>
            <w:tcBorders>
              <w:bottom w:val="single" w:sz="8" w:color="001641"/>
            </w:tcBorders>
          </w:tcPr>
          <w:p>
            <w:pPr>
              <w:ind w:left="1640"/>
              <w:spacing w:after="0"/>
              <w:rPr>
                <w:sz w:val="20"/>
                <w:szCs w:val="20"/>
                <w:color w:val="auto"/>
              </w:rPr>
            </w:pPr>
            <w:r>
              <w:rPr>
                <w:rFonts w:ascii="Arial" w:cs="Arial" w:eastAsia="Arial" w:hAnsi="Arial"/>
                <w:sz w:val="14"/>
                <w:szCs w:val="14"/>
                <w:color w:val="001641"/>
              </w:rPr>
              <w:t>3 times base salary</w:t>
            </w:r>
          </w:p>
        </w:tc>
        <w:tc>
          <w:tcPr>
            <w:tcW w:w="92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5340" w:type="dxa"/>
            <w:vAlign w:val="bottom"/>
            <w:tcBorders>
              <w:bottom w:val="single" w:sz="8" w:color="808080"/>
            </w:tcBorders>
          </w:tcPr>
          <w:p>
            <w:pPr>
              <w:spacing w:after="0"/>
              <w:rPr>
                <w:sz w:val="18"/>
                <w:szCs w:val="18"/>
                <w:color w:val="auto"/>
              </w:rPr>
            </w:pPr>
          </w:p>
        </w:tc>
        <w:tc>
          <w:tcPr>
            <w:tcW w:w="3840" w:type="dxa"/>
            <w:vAlign w:val="bottom"/>
            <w:tcBorders>
              <w:bottom w:val="single" w:sz="8" w:color="808080"/>
            </w:tcBorders>
          </w:tcPr>
          <w:p>
            <w:pPr>
              <w:spacing w:after="0"/>
              <w:rPr>
                <w:sz w:val="18"/>
                <w:szCs w:val="18"/>
                <w:color w:val="auto"/>
              </w:rPr>
            </w:pPr>
          </w:p>
        </w:tc>
        <w:tc>
          <w:tcPr>
            <w:tcW w:w="920" w:type="dxa"/>
            <w:vAlign w:val="bottom"/>
          </w:tcPr>
          <w:p>
            <w:pPr>
              <w:spacing w:after="0"/>
              <w:rPr>
                <w:sz w:val="18"/>
                <w:szCs w:val="18"/>
                <w:color w:val="auto"/>
              </w:rPr>
            </w:pPr>
          </w:p>
        </w:tc>
      </w:tr>
      <w:tr>
        <w:trPr>
          <w:trHeight w:val="396"/>
        </w:trPr>
        <w:tc>
          <w:tcPr>
            <w:tcW w:w="9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760" w:type="dxa"/>
            <w:vAlign w:val="bottom"/>
            <w:gridSpan w:val="2"/>
          </w:tcPr>
          <w:p>
            <w:pPr>
              <w:ind w:left="1200"/>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81</w:t>
            </w:r>
          </w:p>
        </w:tc>
      </w:tr>
      <w:tr>
        <w:trPr>
          <w:trHeight w:val="171"/>
        </w:trPr>
        <w:tc>
          <w:tcPr>
            <w:tcW w:w="920" w:type="dxa"/>
            <w:vAlign w:val="bottom"/>
            <w:tcBorders>
              <w:bottom w:val="single" w:sz="8" w:color="auto"/>
            </w:tcBorders>
          </w:tcPr>
          <w:p>
            <w:pPr>
              <w:spacing w:after="0"/>
              <w:rPr>
                <w:sz w:val="14"/>
                <w:szCs w:val="14"/>
                <w:color w:val="auto"/>
              </w:rPr>
            </w:pPr>
          </w:p>
        </w:tc>
        <w:tc>
          <w:tcPr>
            <w:tcW w:w="53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-248285</wp:posOffset>
            </wp:positionV>
            <wp:extent cx="128905" cy="11112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92" w:name="page93"/>
    <w:bookmarkEnd w:id="9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85"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RELATED CONSIDERATIONS</w:t>
      </w:r>
    </w:p>
    <w:p>
      <w:pPr>
        <w:spacing w:after="0" w:line="22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PAY EQUITY</w:t>
      </w:r>
    </w:p>
    <w:p>
      <w:pPr>
        <w:spacing w:after="0" w:line="162" w:lineRule="exact"/>
        <w:rPr>
          <w:sz w:val="20"/>
          <w:szCs w:val="20"/>
          <w:color w:val="auto"/>
        </w:rPr>
      </w:pPr>
    </w:p>
    <w:p>
      <w:pPr>
        <w:ind w:left="6" w:right="560"/>
        <w:spacing w:after="0" w:line="286" w:lineRule="auto"/>
        <w:rPr>
          <w:sz w:val="20"/>
          <w:szCs w:val="20"/>
          <w:color w:val="auto"/>
        </w:rPr>
      </w:pPr>
      <w:r>
        <w:rPr>
          <w:rFonts w:ascii="Arial" w:cs="Arial" w:eastAsia="Arial" w:hAnsi="Arial"/>
          <w:sz w:val="16"/>
          <w:szCs w:val="16"/>
          <w:color w:val="auto"/>
        </w:rPr>
        <w:t>Ralph Lauren prides itself on understanding that one of the most important components of our employees’ experience is ensuring that they are paid fairly and have access to opportunities.</w:t>
      </w:r>
    </w:p>
    <w:p>
      <w:pPr>
        <w:spacing w:after="0" w:line="102" w:lineRule="exact"/>
        <w:rPr>
          <w:sz w:val="20"/>
          <w:szCs w:val="20"/>
          <w:color w:val="auto"/>
        </w:rPr>
      </w:pPr>
    </w:p>
    <w:p>
      <w:pPr>
        <w:ind w:left="6" w:right="20"/>
        <w:spacing w:after="0" w:line="256" w:lineRule="auto"/>
        <w:rPr>
          <w:sz w:val="20"/>
          <w:szCs w:val="20"/>
          <w:color w:val="auto"/>
        </w:rPr>
      </w:pPr>
      <w:r>
        <w:rPr>
          <w:rFonts w:ascii="Arial" w:cs="Arial" w:eastAsia="Arial" w:hAnsi="Arial"/>
          <w:sz w:val="16"/>
          <w:szCs w:val="16"/>
          <w:color w:val="auto"/>
        </w:rPr>
        <w:t>We take a leadership role in the fashion industry and a proactive approach to workplace equity and continually monitor our compensation and employee development programs to ensure fairness. We spearheaded a gender parity initiative for the fashion industry in 2019. In Fiscal 2024, we expanded our partnership with an independent firm who is the creator of an analytics platform used to analyze our employee compensation to ensure pay equity, and to also include analyses of movement within the Company to assess employee opportunity.</w:t>
      </w:r>
    </w:p>
    <w:p>
      <w:pPr>
        <w:spacing w:after="0" w:line="126" w:lineRule="exact"/>
        <w:rPr>
          <w:sz w:val="20"/>
          <w:szCs w:val="20"/>
          <w:color w:val="auto"/>
        </w:rPr>
      </w:pPr>
    </w:p>
    <w:p>
      <w:pPr>
        <w:ind w:left="6" w:right="20"/>
        <w:spacing w:after="0" w:line="256" w:lineRule="auto"/>
        <w:rPr>
          <w:sz w:val="20"/>
          <w:szCs w:val="20"/>
          <w:color w:val="auto"/>
        </w:rPr>
      </w:pPr>
      <w:r>
        <w:rPr>
          <w:rFonts w:ascii="Arial" w:cs="Arial" w:eastAsia="Arial" w:hAnsi="Arial"/>
          <w:sz w:val="16"/>
          <w:szCs w:val="16"/>
          <w:color w:val="auto"/>
        </w:rPr>
        <w:t>In Fiscal 2024, we announced our intent to achieve 100% pay equity. During Fiscal 2025 and Fiscal 2026, we made continued progress toward this goal and expect to achieve 100% pay equity ahead of plan by the first quarter of Fiscal 2027. Each year, we conduct pay equity analysis of employees performing work with similar skills, effort, and responsibility to identify and correct, if identified, any statistically significant inequities. Our review of our employees’ compensation includes 100% of our global population.</w:t>
      </w:r>
    </w:p>
    <w:p>
      <w:pPr>
        <w:spacing w:after="0" w:line="126" w:lineRule="exact"/>
        <w:rPr>
          <w:sz w:val="20"/>
          <w:szCs w:val="20"/>
          <w:color w:val="auto"/>
        </w:rPr>
      </w:pPr>
    </w:p>
    <w:p>
      <w:pPr>
        <w:ind w:left="6" w:right="160"/>
        <w:spacing w:after="0" w:line="266" w:lineRule="auto"/>
        <w:rPr>
          <w:sz w:val="20"/>
          <w:szCs w:val="20"/>
          <w:color w:val="auto"/>
        </w:rPr>
      </w:pPr>
      <w:r>
        <w:rPr>
          <w:rFonts w:ascii="Arial" w:cs="Arial" w:eastAsia="Arial" w:hAnsi="Arial"/>
          <w:sz w:val="16"/>
          <w:szCs w:val="16"/>
          <w:color w:val="auto"/>
        </w:rPr>
        <w:t>We also conduct analysis of representation and promotions to identify patterns with more precision and determine if any necessary corrective actions are needed to ensure fairness of movement within the Company. Opportunities for advancement are posted both internally and externally.</w:t>
      </w:r>
    </w:p>
    <w:p>
      <w:pPr>
        <w:spacing w:after="0" w:line="117" w:lineRule="exact"/>
        <w:rPr>
          <w:sz w:val="20"/>
          <w:szCs w:val="20"/>
          <w:color w:val="auto"/>
        </w:rPr>
      </w:pPr>
    </w:p>
    <w:p>
      <w:pPr>
        <w:ind w:left="6" w:right="120"/>
        <w:spacing w:after="0" w:line="286" w:lineRule="auto"/>
        <w:rPr>
          <w:sz w:val="20"/>
          <w:szCs w:val="20"/>
          <w:color w:val="auto"/>
        </w:rPr>
      </w:pPr>
      <w:r>
        <w:rPr>
          <w:rFonts w:ascii="Arial" w:cs="Arial" w:eastAsia="Arial" w:hAnsi="Arial"/>
          <w:sz w:val="16"/>
          <w:szCs w:val="16"/>
          <w:color w:val="auto"/>
        </w:rPr>
        <w:t>In addition to the steps we take to analyze pay equity and employee opportunity, and to continue to deliver on our commitment of achieving 100% pay equity, we will ensure we use data-informed insights and actions to:</w:t>
      </w:r>
    </w:p>
    <w:p>
      <w:pPr>
        <w:spacing w:after="0" w:line="102" w:lineRule="exact"/>
        <w:rPr>
          <w:sz w:val="20"/>
          <w:szCs w:val="20"/>
          <w:color w:val="auto"/>
        </w:rPr>
      </w:pPr>
    </w:p>
    <w:p>
      <w:pPr>
        <w:ind w:left="166" w:hanging="166"/>
        <w:spacing w:after="0"/>
        <w:tabs>
          <w:tab w:leader="none" w:pos="166" w:val="left"/>
        </w:tabs>
        <w:numPr>
          <w:ilvl w:val="0"/>
          <w:numId w:val="70"/>
        </w:numPr>
        <w:rPr>
          <w:rFonts w:ascii="Arial" w:cs="Arial" w:eastAsia="Arial" w:hAnsi="Arial"/>
          <w:sz w:val="16"/>
          <w:szCs w:val="16"/>
          <w:color w:val="auto"/>
        </w:rPr>
      </w:pPr>
      <w:r>
        <w:rPr>
          <w:rFonts w:ascii="Arial" w:cs="Arial" w:eastAsia="Arial" w:hAnsi="Arial"/>
          <w:sz w:val="16"/>
          <w:szCs w:val="16"/>
          <w:color w:val="auto"/>
        </w:rPr>
        <w:t>Ensure all hires, and pay changes (merit, market adjustments, promotions, transfers) are equitable year-round</w:t>
      </w:r>
    </w:p>
    <w:p>
      <w:pPr>
        <w:spacing w:after="0" w:line="167" w:lineRule="exact"/>
        <w:rPr>
          <w:rFonts w:ascii="Arial" w:cs="Arial" w:eastAsia="Arial" w:hAnsi="Arial"/>
          <w:sz w:val="16"/>
          <w:szCs w:val="16"/>
          <w:color w:val="auto"/>
        </w:rPr>
      </w:pPr>
    </w:p>
    <w:p>
      <w:pPr>
        <w:ind w:left="166" w:hanging="166"/>
        <w:spacing w:after="0"/>
        <w:tabs>
          <w:tab w:leader="none" w:pos="166"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Increase transparency around pay and opportunities</w:t>
      </w:r>
    </w:p>
    <w:p>
      <w:pPr>
        <w:spacing w:after="0" w:line="167" w:lineRule="exact"/>
        <w:rPr>
          <w:sz w:val="20"/>
          <w:szCs w:val="20"/>
          <w:color w:val="auto"/>
        </w:rPr>
      </w:pPr>
    </w:p>
    <w:p>
      <w:pPr>
        <w:ind w:left="6" w:right="200"/>
        <w:spacing w:after="0" w:line="259" w:lineRule="auto"/>
        <w:rPr>
          <w:sz w:val="20"/>
          <w:szCs w:val="20"/>
          <w:color w:val="auto"/>
        </w:rPr>
      </w:pPr>
      <w:r>
        <w:rPr>
          <w:rFonts w:ascii="Arial" w:cs="Arial" w:eastAsia="Arial" w:hAnsi="Arial"/>
          <w:sz w:val="16"/>
          <w:szCs w:val="16"/>
          <w:color w:val="auto"/>
        </w:rPr>
        <w:t>Ralph Lauren publishes an annual UK Gender Pay Gap report in line with UK legislation. We have reduced our mean gender pay gap by over 2% on the previous year, and the no median gender pay gap is 0%. Our mean bonus pay gap has increased slightly by 1% on the previous year but remains in line with UK average figures. We continue to see a higher percentage of women in senior management positions and have again increased the percentage of women in the upper pay quartile.</w:t>
      </w:r>
    </w:p>
    <w:p>
      <w:pPr>
        <w:spacing w:after="0" w:line="124" w:lineRule="exact"/>
        <w:rPr>
          <w:sz w:val="20"/>
          <w:szCs w:val="20"/>
          <w:color w:val="auto"/>
        </w:rPr>
      </w:pPr>
    </w:p>
    <w:p>
      <w:pPr>
        <w:ind w:left="6" w:right="80"/>
        <w:spacing w:after="0" w:line="286" w:lineRule="auto"/>
        <w:rPr>
          <w:sz w:val="20"/>
          <w:szCs w:val="20"/>
          <w:color w:val="auto"/>
        </w:rPr>
      </w:pPr>
      <w:r>
        <w:rPr>
          <w:rFonts w:ascii="Arial" w:cs="Arial" w:eastAsia="Arial" w:hAnsi="Arial"/>
          <w:sz w:val="16"/>
          <w:szCs w:val="16"/>
          <w:color w:val="auto"/>
        </w:rPr>
        <w:t>In France we continue to improve our total score going from 98 to 99 (out of 100) from last year. Our scores showed no gender impact on the areas below:</w:t>
      </w:r>
    </w:p>
    <w:p>
      <w:pPr>
        <w:spacing w:after="0" w:line="102" w:lineRule="exact"/>
        <w:rPr>
          <w:sz w:val="20"/>
          <w:szCs w:val="20"/>
          <w:color w:val="auto"/>
        </w:rPr>
      </w:pPr>
    </w:p>
    <w:p>
      <w:pPr>
        <w:ind w:left="166" w:hanging="166"/>
        <w:spacing w:after="0"/>
        <w:tabs>
          <w:tab w:leader="none" w:pos="166"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Individual salary increases</w:t>
      </w:r>
    </w:p>
    <w:p>
      <w:pPr>
        <w:spacing w:after="0" w:line="167" w:lineRule="exact"/>
        <w:rPr>
          <w:rFonts w:ascii="Arial" w:cs="Arial" w:eastAsia="Arial" w:hAnsi="Arial"/>
          <w:sz w:val="16"/>
          <w:szCs w:val="16"/>
          <w:color w:val="auto"/>
        </w:rPr>
      </w:pPr>
    </w:p>
    <w:p>
      <w:pPr>
        <w:ind w:left="166" w:hanging="166"/>
        <w:spacing w:after="0"/>
        <w:tabs>
          <w:tab w:leader="none" w:pos="166"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Promotions</w:t>
      </w:r>
    </w:p>
    <w:p>
      <w:pPr>
        <w:spacing w:after="0" w:line="167" w:lineRule="exact"/>
        <w:rPr>
          <w:rFonts w:ascii="Arial" w:cs="Arial" w:eastAsia="Arial" w:hAnsi="Arial"/>
          <w:sz w:val="16"/>
          <w:szCs w:val="16"/>
          <w:color w:val="auto"/>
        </w:rPr>
      </w:pPr>
    </w:p>
    <w:p>
      <w:pPr>
        <w:ind w:left="166" w:hanging="166"/>
        <w:spacing w:after="0"/>
        <w:tabs>
          <w:tab w:leader="none" w:pos="166" w:val="left"/>
        </w:tabs>
        <w:numPr>
          <w:ilvl w:val="0"/>
          <w:numId w:val="71"/>
        </w:numPr>
        <w:rPr>
          <w:rFonts w:ascii="Arial" w:cs="Arial" w:eastAsia="Arial" w:hAnsi="Arial"/>
          <w:sz w:val="16"/>
          <w:szCs w:val="16"/>
          <w:color w:val="auto"/>
        </w:rPr>
      </w:pPr>
      <w:r>
        <w:rPr>
          <w:rFonts w:ascii="Arial" w:cs="Arial" w:eastAsia="Arial" w:hAnsi="Arial"/>
          <w:sz w:val="16"/>
          <w:szCs w:val="16"/>
          <w:color w:val="auto"/>
        </w:rPr>
        <w:t>Percentage of employees whose salary was increased upon their return from maternity leave</w:t>
      </w:r>
    </w:p>
    <w:p>
      <w:pPr>
        <w:spacing w:after="0" w:line="167" w:lineRule="exact"/>
        <w:rPr>
          <w:rFonts w:ascii="Arial" w:cs="Arial" w:eastAsia="Arial" w:hAnsi="Arial"/>
          <w:sz w:val="16"/>
          <w:szCs w:val="16"/>
          <w:color w:val="auto"/>
        </w:rPr>
      </w:pPr>
    </w:p>
    <w:p>
      <w:pPr>
        <w:ind w:left="166" w:hanging="166"/>
        <w:spacing w:after="0"/>
        <w:tabs>
          <w:tab w:leader="none" w:pos="166" w:val="left"/>
        </w:tabs>
        <w:numPr>
          <w:ilvl w:val="0"/>
          <w:numId w:val="71"/>
        </w:numPr>
        <w:rPr>
          <w:rFonts w:ascii="Arial" w:cs="Arial" w:eastAsia="Arial" w:hAnsi="Arial"/>
          <w:sz w:val="16"/>
          <w:szCs w:val="16"/>
          <w:color w:val="auto"/>
        </w:rPr>
      </w:pPr>
      <w:r>
        <w:rPr>
          <w:rFonts w:ascii="Arial" w:cs="Arial" w:eastAsia="Arial" w:hAnsi="Arial"/>
          <w:sz w:val="16"/>
          <w:szCs w:val="16"/>
          <w:color w:val="auto"/>
        </w:rPr>
        <w:t>Women and men representation in the top 10 highest paid jobs</w:t>
      </w:r>
    </w:p>
    <w:p>
      <w:pPr>
        <w:spacing w:after="0" w:line="23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001641"/>
        </w:rPr>
        <w:t>Certain Tax Matters</w:t>
      </w:r>
    </w:p>
    <w:p>
      <w:pPr>
        <w:spacing w:after="0" w:line="100" w:lineRule="exact"/>
        <w:rPr>
          <w:sz w:val="20"/>
          <w:szCs w:val="20"/>
          <w:color w:val="auto"/>
        </w:rPr>
      </w:pPr>
    </w:p>
    <w:p>
      <w:pPr>
        <w:ind w:left="6"/>
        <w:spacing w:after="0" w:line="259" w:lineRule="auto"/>
        <w:rPr>
          <w:sz w:val="20"/>
          <w:szCs w:val="20"/>
          <w:color w:val="auto"/>
        </w:rPr>
      </w:pPr>
      <w:r>
        <w:rPr>
          <w:rFonts w:ascii="Arial" w:cs="Arial" w:eastAsia="Arial" w:hAnsi="Arial"/>
          <w:sz w:val="16"/>
          <w:szCs w:val="16"/>
          <w:color w:val="auto"/>
        </w:rPr>
        <w:t>The Internal Revenue Code generally imposes a $1 million limit on the amount that a public company may deduct for compensation paid to the company’s covered employees, including its NEOs. We expect that compensation paid to our covered employees, including our NEOs, in excess of $1 million will not be deductible (except in accordance with certain limited exceptions).</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001641"/>
        </w:rPr>
        <w:t>Accounting Matters</w:t>
      </w:r>
    </w:p>
    <w:p>
      <w:pPr>
        <w:spacing w:after="0" w:line="100" w:lineRule="exact"/>
        <w:rPr>
          <w:sz w:val="20"/>
          <w:szCs w:val="20"/>
          <w:color w:val="auto"/>
        </w:rPr>
      </w:pPr>
    </w:p>
    <w:p>
      <w:pPr>
        <w:jc w:val="both"/>
        <w:ind w:left="6" w:right="220"/>
        <w:spacing w:after="0" w:line="266" w:lineRule="auto"/>
        <w:rPr>
          <w:sz w:val="20"/>
          <w:szCs w:val="20"/>
          <w:color w:val="auto"/>
        </w:rPr>
      </w:pPr>
      <w:r>
        <w:rPr>
          <w:rFonts w:ascii="Arial" w:cs="Arial" w:eastAsia="Arial" w:hAnsi="Arial"/>
          <w:sz w:val="16"/>
          <w:szCs w:val="16"/>
          <w:color w:val="auto"/>
        </w:rPr>
        <w:t>Each element of the compensation paid to our executives is expensed in our financial statements as required by U.S. GAAP. The financial statement impact of various compensation awards is an important factor that the Talent Committee considers in determining the amount, form, and design of each pay component for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8293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81"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82</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6"/>
          </w:cols>
          <w:pgMar w:left="1354" w:top="114" w:right="13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001641"/>
        </w:rPr>
        <w:t>Clawback Policy</w:t>
      </w:r>
    </w:p>
    <w:p>
      <w:pPr>
        <w:spacing w:after="0" w:line="86"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In Fiscal 2024, the Talent Committee approved a new clawback policy as required by the Dodd-Frank Act that complies with related SEC rules and NYSE listing requirements (the “Dodd-Frank Clawback Policy”). The Dodd-Frank Clawback Policy provides for the mandatory recoupment of erroneously awarded incentive-based compensation in the event of an accounting restatement. In such an event, the Company would seek to recover the amount of erroneously awarded incentive-based compensation paid to applicable executives that was in excess of the amount that would have been awarded based on the restated financial results, subject to and in accordance with the terms of the Dodd-Frank Clawback Policy and applicable law.</w:t>
      </w:r>
    </w:p>
    <w:p>
      <w:pPr>
        <w:spacing w:after="0" w:line="12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In addition to the new Dodd-Frank Clawback Policy, the Company’s pre-existing clawback policies remain in place as noted below. The EOAIP includes a formal policy regarding the recovery of awards (including time-based and performance-based equity awards) granted under the EOAIP in connection with a restatement of our financial statements. Under the policy included in the EOAIP, if, as a result of an executive officer’s intentional misconduct or gross negligence, we are required to prepare an accounting restatement due to our material noncompliance with any financial reporting requirement under the securities laws, the Talent Committee may, in its reasonable discretion, require such executive to promptly reimburse us for the amount of any payment previously received by the executive pursuant to the EOAIP that was earned or paid during the 12 month period following the earlier of the first public issuance or filing with the SEC of any financial document embodying such financial reporting requirement that required such accounting restatement. Awards granted to our NEOs under the 2010 Stock Incentive Plan and the 2019 Stock Incentive Plan are subject to the same recoupment.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58293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266700</wp:posOffset>
            </wp:positionV>
            <wp:extent cx="128905" cy="11176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126365</wp:posOffset>
            </wp:positionV>
            <wp:extent cx="699516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TALENT COMMITTEE REPORT</w:t>
      </w:r>
    </w:p>
    <w:p>
      <w:pPr>
        <w:spacing w:after="0" w:line="15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Talent Committee, composed entirely of independent directors, reviewed, and discussed the CD&amp;A with management and with the other members of the Board. Based on their review and discussions, the Talent Committee recommended to the Board that the CD&amp;A be included in this Proxy Statement and incorporated by reference in our Annual Report on Form 10-K for the year ended March 28, 2026.</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Talent Committee: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Linda Findley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Talent Committee Chair</w:t>
      </w:r>
      <w:r>
        <w:rPr>
          <w:rFonts w:ascii="Arial" w:cs="Arial" w:eastAsia="Arial" w:hAnsi="Arial"/>
          <w:sz w:val="16"/>
          <w:szCs w:val="16"/>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Angela Ahrendts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Lead Independent Director of the Board</w:t>
      </w:r>
      <w:r>
        <w:rPr>
          <w:rFonts w:ascii="Arial" w:cs="Arial" w:eastAsia="Arial" w:hAnsi="Arial"/>
          <w:sz w:val="16"/>
          <w:szCs w:val="16"/>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A George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Darren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582930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84</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760"/>
            <wp:effectExtent l="0" t="0" r="0" b="0"/>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95" w:name="page96"/>
    <w:bookmarkEnd w:id="9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582930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
        <w:spacing w:after="0"/>
        <w:rPr>
          <w:sz w:val="20"/>
          <w:szCs w:val="20"/>
          <w:color w:val="auto"/>
        </w:rPr>
      </w:pPr>
      <w:r>
        <w:rPr>
          <w:rFonts w:ascii="Times New Roman" w:cs="Times New Roman" w:eastAsia="Times New Roman" w:hAnsi="Times New Roman"/>
          <w:sz w:val="54"/>
          <w:szCs w:val="54"/>
          <w:color w:val="001641"/>
        </w:rPr>
        <w:t>Executive Compensation Matters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SUMMARY COMPENSATION TABLE</w:t>
      </w:r>
    </w:p>
    <w:p>
      <w:pPr>
        <w:spacing w:after="0" w:line="166" w:lineRule="exact"/>
        <w:rPr>
          <w:sz w:val="20"/>
          <w:szCs w:val="20"/>
          <w:color w:val="auto"/>
        </w:rPr>
      </w:pPr>
    </w:p>
    <w:p>
      <w:pPr>
        <w:ind w:left="6" w:right="120"/>
        <w:spacing w:after="0" w:line="286" w:lineRule="auto"/>
        <w:rPr>
          <w:sz w:val="20"/>
          <w:szCs w:val="20"/>
          <w:color w:val="auto"/>
        </w:rPr>
      </w:pPr>
      <w:r>
        <w:rPr>
          <w:rFonts w:ascii="Arial" w:cs="Arial" w:eastAsia="Arial" w:hAnsi="Arial"/>
          <w:sz w:val="16"/>
          <w:szCs w:val="16"/>
          <w:color w:val="auto"/>
        </w:rPr>
        <w:t>The following table sets forth a summary of all compensation awarded or paid to or earned by our NEOs for Fiscal 2026, Fiscal 2025, and Fiscal 2024.</w:t>
      </w:r>
    </w:p>
    <w:p>
      <w:pPr>
        <w:spacing w:after="0" w:line="143" w:lineRule="exact"/>
        <w:rPr>
          <w:sz w:val="20"/>
          <w:szCs w:val="20"/>
          <w:color w:val="auto"/>
        </w:rPr>
      </w:pPr>
    </w:p>
    <w:tbl>
      <w:tblPr>
        <w:tblLayout w:type="fixed"/>
        <w:tblInd w:w="6" w:type="dxa"/>
        <w:tblCellMar>
          <w:top w:w="0" w:type="dxa"/>
          <w:left w:w="0" w:type="dxa"/>
          <w:bottom w:w="0" w:type="dxa"/>
          <w:right w:w="0" w:type="dxa"/>
        </w:tblCellMar>
      </w:tblPr>
      <w:tr>
        <w:trPr>
          <w:trHeight w:val="261"/>
        </w:trPr>
        <w:tc>
          <w:tcPr>
            <w:tcW w:w="80" w:type="dxa"/>
            <w:vAlign w:val="bottom"/>
            <w:shd w:val="clear" w:color="auto" w:fill="001641"/>
          </w:tcPr>
          <w:p>
            <w:pPr>
              <w:spacing w:after="0"/>
              <w:rPr>
                <w:sz w:val="22"/>
                <w:szCs w:val="22"/>
                <w:color w:val="auto"/>
              </w:rPr>
            </w:pPr>
          </w:p>
        </w:tc>
        <w:tc>
          <w:tcPr>
            <w:tcW w:w="2780" w:type="dxa"/>
            <w:vAlign w:val="bottom"/>
            <w:shd w:val="clear" w:color="auto" w:fill="001641"/>
          </w:tcPr>
          <w:p>
            <w:pPr>
              <w:spacing w:after="0"/>
              <w:rPr>
                <w:sz w:val="22"/>
                <w:szCs w:val="22"/>
                <w:color w:val="auto"/>
              </w:rPr>
            </w:pPr>
          </w:p>
        </w:tc>
        <w:tc>
          <w:tcPr>
            <w:tcW w:w="700" w:type="dxa"/>
            <w:vAlign w:val="bottom"/>
            <w:shd w:val="clear" w:color="auto" w:fill="001641"/>
          </w:tcPr>
          <w:p>
            <w:pPr>
              <w:spacing w:after="0"/>
              <w:rPr>
                <w:sz w:val="22"/>
                <w:szCs w:val="22"/>
                <w:color w:val="auto"/>
              </w:rPr>
            </w:pPr>
          </w:p>
        </w:tc>
        <w:tc>
          <w:tcPr>
            <w:tcW w:w="920" w:type="dxa"/>
            <w:vAlign w:val="bottom"/>
            <w:shd w:val="clear" w:color="auto" w:fill="001641"/>
          </w:tcPr>
          <w:p>
            <w:pPr>
              <w:spacing w:after="0"/>
              <w:rPr>
                <w:sz w:val="22"/>
                <w:szCs w:val="22"/>
                <w:color w:val="auto"/>
              </w:rPr>
            </w:pPr>
          </w:p>
        </w:tc>
        <w:tc>
          <w:tcPr>
            <w:tcW w:w="1000" w:type="dxa"/>
            <w:vAlign w:val="bottom"/>
            <w:shd w:val="clear" w:color="auto" w:fill="001641"/>
          </w:tcPr>
          <w:p>
            <w:pPr>
              <w:spacing w:after="0"/>
              <w:rPr>
                <w:sz w:val="22"/>
                <w:szCs w:val="22"/>
                <w:color w:val="auto"/>
              </w:rPr>
            </w:pPr>
          </w:p>
        </w:tc>
        <w:tc>
          <w:tcPr>
            <w:tcW w:w="1360" w:type="dxa"/>
            <w:vAlign w:val="bottom"/>
            <w:shd w:val="clear" w:color="auto" w:fill="001641"/>
          </w:tcPr>
          <w:p>
            <w:pPr>
              <w:jc w:val="right"/>
              <w:ind w:right="108"/>
              <w:spacing w:after="0"/>
              <w:rPr>
                <w:sz w:val="20"/>
                <w:szCs w:val="20"/>
                <w:color w:val="auto"/>
              </w:rPr>
            </w:pPr>
            <w:r>
              <w:rPr>
                <w:rFonts w:ascii="Arial" w:cs="Arial" w:eastAsia="Arial" w:hAnsi="Arial"/>
                <w:sz w:val="14"/>
                <w:szCs w:val="14"/>
                <w:b w:val="1"/>
                <w:bCs w:val="1"/>
                <w:color w:val="FFFFFF"/>
              </w:rPr>
              <w:t>Non-Equity</w:t>
            </w:r>
          </w:p>
        </w:tc>
        <w:tc>
          <w:tcPr>
            <w:tcW w:w="1360" w:type="dxa"/>
            <w:vAlign w:val="bottom"/>
            <w:shd w:val="clear" w:color="auto" w:fill="001641"/>
          </w:tcPr>
          <w:p>
            <w:pPr>
              <w:spacing w:after="0"/>
              <w:rPr>
                <w:sz w:val="22"/>
                <w:szCs w:val="22"/>
                <w:color w:val="auto"/>
              </w:rPr>
            </w:pPr>
          </w:p>
        </w:tc>
        <w:tc>
          <w:tcPr>
            <w:tcW w:w="980" w:type="dxa"/>
            <w:vAlign w:val="bottom"/>
            <w:shd w:val="clear" w:color="auto" w:fill="001641"/>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80" w:type="dxa"/>
            <w:vAlign w:val="bottom"/>
            <w:shd w:val="clear" w:color="auto" w:fill="001641"/>
          </w:tcPr>
          <w:p>
            <w:pPr>
              <w:spacing w:after="0"/>
              <w:rPr>
                <w:sz w:val="14"/>
                <w:szCs w:val="14"/>
                <w:color w:val="auto"/>
              </w:rPr>
            </w:pPr>
          </w:p>
        </w:tc>
        <w:tc>
          <w:tcPr>
            <w:tcW w:w="2780" w:type="dxa"/>
            <w:vAlign w:val="bottom"/>
            <w:shd w:val="clear" w:color="auto" w:fill="001641"/>
          </w:tcPr>
          <w:p>
            <w:pPr>
              <w:ind w:left="40"/>
              <w:spacing w:after="0"/>
              <w:rPr>
                <w:sz w:val="20"/>
                <w:szCs w:val="20"/>
                <w:color w:val="auto"/>
              </w:rPr>
            </w:pPr>
            <w:r>
              <w:rPr>
                <w:rFonts w:ascii="Arial" w:cs="Arial" w:eastAsia="Arial" w:hAnsi="Arial"/>
                <w:sz w:val="14"/>
                <w:szCs w:val="14"/>
                <w:b w:val="1"/>
                <w:bCs w:val="1"/>
                <w:color w:val="FFFFFF"/>
              </w:rPr>
              <w:t>Name and</w:t>
            </w:r>
          </w:p>
        </w:tc>
        <w:tc>
          <w:tcPr>
            <w:tcW w:w="700" w:type="dxa"/>
            <w:vAlign w:val="bottom"/>
            <w:shd w:val="clear" w:color="auto" w:fill="001641"/>
          </w:tcPr>
          <w:p>
            <w:pPr>
              <w:spacing w:after="0"/>
              <w:rPr>
                <w:sz w:val="14"/>
                <w:szCs w:val="14"/>
                <w:color w:val="auto"/>
              </w:rPr>
            </w:pPr>
          </w:p>
        </w:tc>
        <w:tc>
          <w:tcPr>
            <w:tcW w:w="920" w:type="dxa"/>
            <w:vAlign w:val="bottom"/>
            <w:vMerge w:val="restart"/>
            <w:shd w:val="clear" w:color="auto" w:fill="001641"/>
          </w:tcPr>
          <w:p>
            <w:pPr>
              <w:jc w:val="right"/>
              <w:ind w:right="108"/>
              <w:spacing w:after="0"/>
              <w:rPr>
                <w:sz w:val="20"/>
                <w:szCs w:val="20"/>
                <w:color w:val="auto"/>
              </w:rPr>
            </w:pPr>
            <w:r>
              <w:rPr>
                <w:rFonts w:ascii="Arial" w:cs="Arial" w:eastAsia="Arial" w:hAnsi="Arial"/>
                <w:sz w:val="14"/>
                <w:szCs w:val="14"/>
                <w:b w:val="1"/>
                <w:bCs w:val="1"/>
                <w:color w:val="FFFFFF"/>
              </w:rPr>
              <w:t>Salary</w:t>
            </w:r>
            <w:r>
              <w:rPr>
                <w:rFonts w:ascii="Arial" w:cs="Arial" w:eastAsia="Arial" w:hAnsi="Arial"/>
                <w:sz w:val="23"/>
                <w:szCs w:val="23"/>
                <w:b w:val="1"/>
                <w:bCs w:val="1"/>
                <w:color w:val="FFFFFF"/>
                <w:vertAlign w:val="superscript"/>
              </w:rPr>
              <w:t>1</w:t>
            </w:r>
          </w:p>
        </w:tc>
        <w:tc>
          <w:tcPr>
            <w:tcW w:w="1000" w:type="dxa"/>
            <w:vAlign w:val="bottom"/>
            <w:shd w:val="clear" w:color="auto" w:fill="001641"/>
          </w:tcPr>
          <w:p>
            <w:pPr>
              <w:jc w:val="right"/>
              <w:ind w:right="108"/>
              <w:spacing w:after="0"/>
              <w:rPr>
                <w:sz w:val="20"/>
                <w:szCs w:val="20"/>
                <w:color w:val="auto"/>
              </w:rPr>
            </w:pPr>
            <w:r>
              <w:rPr>
                <w:rFonts w:ascii="Arial" w:cs="Arial" w:eastAsia="Arial" w:hAnsi="Arial"/>
                <w:sz w:val="14"/>
                <w:szCs w:val="14"/>
                <w:b w:val="1"/>
                <w:bCs w:val="1"/>
                <w:color w:val="FFFFFF"/>
              </w:rPr>
              <w:t>Stock</w:t>
            </w:r>
          </w:p>
        </w:tc>
        <w:tc>
          <w:tcPr>
            <w:tcW w:w="1360" w:type="dxa"/>
            <w:vAlign w:val="bottom"/>
            <w:shd w:val="clear" w:color="auto" w:fill="001641"/>
          </w:tcPr>
          <w:p>
            <w:pPr>
              <w:jc w:val="right"/>
              <w:ind w:right="108"/>
              <w:spacing w:after="0"/>
              <w:rPr>
                <w:sz w:val="20"/>
                <w:szCs w:val="20"/>
                <w:color w:val="auto"/>
              </w:rPr>
            </w:pPr>
            <w:r>
              <w:rPr>
                <w:rFonts w:ascii="Arial" w:cs="Arial" w:eastAsia="Arial" w:hAnsi="Arial"/>
                <w:sz w:val="14"/>
                <w:szCs w:val="14"/>
                <w:b w:val="1"/>
                <w:bCs w:val="1"/>
                <w:color w:val="FFFFFF"/>
              </w:rPr>
              <w:t>Incentive Plan</w:t>
            </w:r>
          </w:p>
        </w:tc>
        <w:tc>
          <w:tcPr>
            <w:tcW w:w="1360" w:type="dxa"/>
            <w:vAlign w:val="bottom"/>
            <w:shd w:val="clear" w:color="auto" w:fill="001641"/>
          </w:tcPr>
          <w:p>
            <w:pPr>
              <w:jc w:val="right"/>
              <w:ind w:right="108"/>
              <w:spacing w:after="0"/>
              <w:rPr>
                <w:sz w:val="20"/>
                <w:szCs w:val="20"/>
                <w:color w:val="auto"/>
              </w:rPr>
            </w:pPr>
            <w:r>
              <w:rPr>
                <w:rFonts w:ascii="Arial" w:cs="Arial" w:eastAsia="Arial" w:hAnsi="Arial"/>
                <w:sz w:val="14"/>
                <w:szCs w:val="14"/>
                <w:b w:val="1"/>
                <w:bCs w:val="1"/>
                <w:color w:val="FFFFFF"/>
              </w:rPr>
              <w:t>All Other</w:t>
            </w:r>
          </w:p>
        </w:tc>
        <w:tc>
          <w:tcPr>
            <w:tcW w:w="980" w:type="dxa"/>
            <w:vAlign w:val="bottom"/>
            <w:shd w:val="clear" w:color="auto" w:fill="001641"/>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 w:type="dxa"/>
            <w:vAlign w:val="bottom"/>
            <w:shd w:val="clear" w:color="auto" w:fill="001641"/>
          </w:tcPr>
          <w:p>
            <w:pPr>
              <w:spacing w:after="0"/>
              <w:rPr>
                <w:sz w:val="15"/>
                <w:szCs w:val="15"/>
                <w:color w:val="auto"/>
              </w:rPr>
            </w:pPr>
          </w:p>
        </w:tc>
        <w:tc>
          <w:tcPr>
            <w:tcW w:w="2780" w:type="dxa"/>
            <w:vAlign w:val="bottom"/>
            <w:shd w:val="clear" w:color="auto" w:fill="001641"/>
          </w:tcPr>
          <w:p>
            <w:pPr>
              <w:ind w:left="40"/>
              <w:spacing w:after="0"/>
              <w:rPr>
                <w:sz w:val="20"/>
                <w:szCs w:val="20"/>
                <w:color w:val="auto"/>
              </w:rPr>
            </w:pPr>
            <w:r>
              <w:rPr>
                <w:rFonts w:ascii="Arial" w:cs="Arial" w:eastAsia="Arial" w:hAnsi="Arial"/>
                <w:sz w:val="14"/>
                <w:szCs w:val="14"/>
                <w:b w:val="1"/>
                <w:bCs w:val="1"/>
                <w:color w:val="FFFFFF"/>
              </w:rPr>
              <w:t>Principal</w:t>
            </w:r>
          </w:p>
        </w:tc>
        <w:tc>
          <w:tcPr>
            <w:tcW w:w="700" w:type="dxa"/>
            <w:vAlign w:val="bottom"/>
            <w:shd w:val="clear" w:color="auto" w:fill="001641"/>
          </w:tcPr>
          <w:p>
            <w:pPr>
              <w:ind w:left="160"/>
              <w:spacing w:after="0"/>
              <w:rPr>
                <w:sz w:val="20"/>
                <w:szCs w:val="20"/>
                <w:color w:val="auto"/>
              </w:rPr>
            </w:pPr>
            <w:r>
              <w:rPr>
                <w:rFonts w:ascii="Arial" w:cs="Arial" w:eastAsia="Arial" w:hAnsi="Arial"/>
                <w:sz w:val="14"/>
                <w:szCs w:val="14"/>
                <w:b w:val="1"/>
                <w:bCs w:val="1"/>
                <w:color w:val="FFFFFF"/>
              </w:rPr>
              <w:t>Fiscal</w:t>
            </w:r>
          </w:p>
        </w:tc>
        <w:tc>
          <w:tcPr>
            <w:tcW w:w="920" w:type="dxa"/>
            <w:vAlign w:val="bottom"/>
            <w:vMerge w:val="continue"/>
            <w:shd w:val="clear" w:color="auto" w:fill="001641"/>
          </w:tcPr>
          <w:p>
            <w:pPr>
              <w:spacing w:after="0"/>
              <w:rPr>
                <w:sz w:val="15"/>
                <w:szCs w:val="15"/>
                <w:color w:val="auto"/>
              </w:rPr>
            </w:pPr>
          </w:p>
        </w:tc>
        <w:tc>
          <w:tcPr>
            <w:tcW w:w="1000" w:type="dxa"/>
            <w:vAlign w:val="bottom"/>
            <w:shd w:val="clear" w:color="auto" w:fill="001641"/>
          </w:tcPr>
          <w:p>
            <w:pPr>
              <w:jc w:val="right"/>
              <w:ind w:right="108"/>
              <w:spacing w:after="0" w:line="181"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20"/>
                <w:szCs w:val="20"/>
                <w:b w:val="1"/>
                <w:bCs w:val="1"/>
                <w:color w:val="FFFFFF"/>
                <w:vertAlign w:val="superscript"/>
              </w:rPr>
              <w:t>2</w:t>
            </w:r>
          </w:p>
        </w:tc>
        <w:tc>
          <w:tcPr>
            <w:tcW w:w="1360" w:type="dxa"/>
            <w:vAlign w:val="bottom"/>
            <w:shd w:val="clear" w:color="auto" w:fill="001641"/>
          </w:tcPr>
          <w:p>
            <w:pPr>
              <w:jc w:val="right"/>
              <w:ind w:right="68"/>
              <w:spacing w:after="0" w:line="181" w:lineRule="exact"/>
              <w:rPr>
                <w:sz w:val="20"/>
                <w:szCs w:val="20"/>
                <w:color w:val="auto"/>
              </w:rPr>
            </w:pPr>
            <w:r>
              <w:rPr>
                <w:rFonts w:ascii="Arial" w:cs="Arial" w:eastAsia="Arial" w:hAnsi="Arial"/>
                <w:sz w:val="13"/>
                <w:szCs w:val="13"/>
                <w:b w:val="1"/>
                <w:bCs w:val="1"/>
                <w:color w:val="FFFFFF"/>
              </w:rPr>
              <w:t>Compensation</w:t>
            </w:r>
            <w:r>
              <w:rPr>
                <w:rFonts w:ascii="Arial" w:cs="Arial" w:eastAsia="Arial" w:hAnsi="Arial"/>
                <w:sz w:val="20"/>
                <w:szCs w:val="20"/>
                <w:b w:val="1"/>
                <w:bCs w:val="1"/>
                <w:color w:val="FFFFFF"/>
                <w:vertAlign w:val="superscript"/>
              </w:rPr>
              <w:t>3</w:t>
            </w:r>
          </w:p>
        </w:tc>
        <w:tc>
          <w:tcPr>
            <w:tcW w:w="1360" w:type="dxa"/>
            <w:vAlign w:val="bottom"/>
            <w:shd w:val="clear" w:color="auto" w:fill="001641"/>
          </w:tcPr>
          <w:p>
            <w:pPr>
              <w:jc w:val="right"/>
              <w:ind w:right="68"/>
              <w:spacing w:after="0" w:line="181" w:lineRule="exact"/>
              <w:rPr>
                <w:sz w:val="20"/>
                <w:szCs w:val="20"/>
                <w:color w:val="auto"/>
              </w:rPr>
            </w:pPr>
            <w:r>
              <w:rPr>
                <w:rFonts w:ascii="Arial" w:cs="Arial" w:eastAsia="Arial" w:hAnsi="Arial"/>
                <w:sz w:val="13"/>
                <w:szCs w:val="13"/>
                <w:b w:val="1"/>
                <w:bCs w:val="1"/>
                <w:color w:val="FFFFFF"/>
              </w:rPr>
              <w:t>Compensation</w:t>
            </w:r>
            <w:r>
              <w:rPr>
                <w:rFonts w:ascii="Arial" w:cs="Arial" w:eastAsia="Arial" w:hAnsi="Arial"/>
                <w:sz w:val="20"/>
                <w:szCs w:val="20"/>
                <w:b w:val="1"/>
                <w:bCs w:val="1"/>
                <w:color w:val="FFFFFF"/>
                <w:vertAlign w:val="superscript"/>
              </w:rPr>
              <w:t>4</w:t>
            </w:r>
          </w:p>
        </w:tc>
        <w:tc>
          <w:tcPr>
            <w:tcW w:w="980" w:type="dxa"/>
            <w:vAlign w:val="bottom"/>
            <w:shd w:val="clear" w:color="auto" w:fill="001641"/>
          </w:tcPr>
          <w:p>
            <w:pPr>
              <w:jc w:val="right"/>
              <w:ind w:right="6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12"/>
        </w:trPr>
        <w:tc>
          <w:tcPr>
            <w:tcW w:w="80" w:type="dxa"/>
            <w:vAlign w:val="bottom"/>
            <w:shd w:val="clear" w:color="auto" w:fill="001641"/>
          </w:tcPr>
          <w:p>
            <w:pPr>
              <w:spacing w:after="0"/>
              <w:rPr>
                <w:sz w:val="18"/>
                <w:szCs w:val="18"/>
                <w:color w:val="auto"/>
              </w:rPr>
            </w:pPr>
          </w:p>
        </w:tc>
        <w:tc>
          <w:tcPr>
            <w:tcW w:w="2780" w:type="dxa"/>
            <w:vAlign w:val="bottom"/>
            <w:shd w:val="clear" w:color="auto" w:fill="001641"/>
          </w:tcPr>
          <w:p>
            <w:pPr>
              <w:ind w:left="40"/>
              <w:spacing w:after="0"/>
              <w:rPr>
                <w:sz w:val="20"/>
                <w:szCs w:val="20"/>
                <w:color w:val="auto"/>
              </w:rPr>
            </w:pPr>
            <w:r>
              <w:rPr>
                <w:rFonts w:ascii="Arial" w:cs="Arial" w:eastAsia="Arial" w:hAnsi="Arial"/>
                <w:sz w:val="14"/>
                <w:szCs w:val="14"/>
                <w:b w:val="1"/>
                <w:bCs w:val="1"/>
                <w:color w:val="FFFFFF"/>
              </w:rPr>
              <w:t>Position</w:t>
            </w:r>
          </w:p>
        </w:tc>
        <w:tc>
          <w:tcPr>
            <w:tcW w:w="700" w:type="dxa"/>
            <w:vAlign w:val="bottom"/>
            <w:shd w:val="clear" w:color="auto" w:fill="001641"/>
          </w:tcPr>
          <w:p>
            <w:pPr>
              <w:ind w:left="260"/>
              <w:spacing w:after="0"/>
              <w:rPr>
                <w:sz w:val="20"/>
                <w:szCs w:val="20"/>
                <w:color w:val="auto"/>
              </w:rPr>
            </w:pPr>
            <w:r>
              <w:rPr>
                <w:rFonts w:ascii="Arial" w:cs="Arial" w:eastAsia="Arial" w:hAnsi="Arial"/>
                <w:sz w:val="14"/>
                <w:szCs w:val="14"/>
                <w:b w:val="1"/>
                <w:bCs w:val="1"/>
                <w:color w:val="FFFFFF"/>
              </w:rPr>
              <w:t>Year</w:t>
            </w:r>
          </w:p>
        </w:tc>
        <w:tc>
          <w:tcPr>
            <w:tcW w:w="920" w:type="dxa"/>
            <w:vAlign w:val="bottom"/>
            <w:shd w:val="clear" w:color="auto" w:fill="001641"/>
          </w:tcPr>
          <w:p>
            <w:pPr>
              <w:jc w:val="right"/>
              <w:ind w:right="68"/>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001641"/>
          </w:tcPr>
          <w:p>
            <w:pPr>
              <w:jc w:val="right"/>
              <w:ind w:right="68"/>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001641"/>
          </w:tcPr>
          <w:p>
            <w:pPr>
              <w:jc w:val="right"/>
              <w:ind w:right="68"/>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001641"/>
          </w:tcPr>
          <w:p>
            <w:pPr>
              <w:jc w:val="right"/>
              <w:ind w:right="68"/>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001641"/>
          </w:tcPr>
          <w:p>
            <w:pPr>
              <w:jc w:val="right"/>
              <w:ind w:right="2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780" w:type="dxa"/>
            <w:vAlign w:val="bottom"/>
            <w:vMerge w:val="restart"/>
          </w:tcPr>
          <w:p>
            <w:pPr>
              <w:ind w:left="40"/>
              <w:spacing w:after="0"/>
              <w:rPr>
                <w:sz w:val="20"/>
                <w:szCs w:val="20"/>
                <w:color w:val="auto"/>
              </w:rPr>
            </w:pPr>
            <w:r>
              <w:rPr>
                <w:rFonts w:ascii="Arial" w:cs="Arial" w:eastAsia="Arial" w:hAnsi="Arial"/>
                <w:sz w:val="14"/>
                <w:szCs w:val="14"/>
                <w:b w:val="1"/>
                <w:bCs w:val="1"/>
                <w:color w:val="001641"/>
              </w:rPr>
              <w:t>Ralph Lauren</w:t>
            </w:r>
          </w:p>
        </w:tc>
        <w:tc>
          <w:tcPr>
            <w:tcW w:w="700" w:type="dxa"/>
            <w:vAlign w:val="bottom"/>
          </w:tcPr>
          <w:p>
            <w:pPr>
              <w:ind w:left="140"/>
              <w:spacing w:after="0"/>
              <w:rPr>
                <w:sz w:val="20"/>
                <w:szCs w:val="20"/>
                <w:color w:val="auto"/>
              </w:rPr>
            </w:pPr>
            <w:r>
              <w:rPr>
                <w:rFonts w:ascii="Arial" w:cs="Arial" w:eastAsia="Arial" w:hAnsi="Arial"/>
                <w:sz w:val="14"/>
                <w:szCs w:val="14"/>
                <w:color w:val="001641"/>
              </w:rPr>
              <w:t>2026</w:t>
            </w:r>
          </w:p>
        </w:tc>
        <w:tc>
          <w:tcPr>
            <w:tcW w:w="920" w:type="dxa"/>
            <w:vAlign w:val="bottom"/>
          </w:tcPr>
          <w:p>
            <w:pPr>
              <w:jc w:val="right"/>
              <w:ind w:right="68"/>
              <w:spacing w:after="0"/>
              <w:rPr>
                <w:sz w:val="20"/>
                <w:szCs w:val="20"/>
                <w:color w:val="auto"/>
              </w:rPr>
            </w:pPr>
            <w:r>
              <w:rPr>
                <w:rFonts w:ascii="Arial" w:cs="Arial" w:eastAsia="Arial" w:hAnsi="Arial"/>
                <w:sz w:val="14"/>
                <w:szCs w:val="14"/>
                <w:color w:val="001641"/>
              </w:rPr>
              <w:t>1,750,000</w:t>
            </w:r>
          </w:p>
        </w:tc>
        <w:tc>
          <w:tcPr>
            <w:tcW w:w="1000" w:type="dxa"/>
            <w:vAlign w:val="bottom"/>
          </w:tcPr>
          <w:p>
            <w:pPr>
              <w:jc w:val="right"/>
              <w:ind w:right="88"/>
              <w:spacing w:after="0"/>
              <w:rPr>
                <w:sz w:val="20"/>
                <w:szCs w:val="20"/>
                <w:color w:val="auto"/>
              </w:rPr>
            </w:pPr>
            <w:r>
              <w:rPr>
                <w:rFonts w:ascii="Arial" w:cs="Arial" w:eastAsia="Arial" w:hAnsi="Arial"/>
                <w:sz w:val="14"/>
                <w:szCs w:val="14"/>
                <w:color w:val="001641"/>
              </w:rPr>
              <w:t>11,000,235</w:t>
            </w:r>
          </w:p>
        </w:tc>
        <w:tc>
          <w:tcPr>
            <w:tcW w:w="1360" w:type="dxa"/>
            <w:vAlign w:val="bottom"/>
          </w:tcPr>
          <w:p>
            <w:pPr>
              <w:jc w:val="right"/>
              <w:ind w:right="128"/>
              <w:spacing w:after="0"/>
              <w:rPr>
                <w:sz w:val="20"/>
                <w:szCs w:val="20"/>
                <w:color w:val="auto"/>
              </w:rPr>
            </w:pPr>
            <w:r>
              <w:rPr>
                <w:rFonts w:ascii="Arial" w:cs="Arial" w:eastAsia="Arial" w:hAnsi="Arial"/>
                <w:sz w:val="14"/>
                <w:szCs w:val="14"/>
                <w:color w:val="001641"/>
              </w:rPr>
              <w:t>11,820,000</w:t>
            </w:r>
          </w:p>
        </w:tc>
        <w:tc>
          <w:tcPr>
            <w:tcW w:w="1360" w:type="dxa"/>
            <w:vAlign w:val="bottom"/>
          </w:tcPr>
          <w:p>
            <w:pPr>
              <w:jc w:val="right"/>
              <w:ind w:right="168"/>
              <w:spacing w:after="0"/>
              <w:rPr>
                <w:sz w:val="20"/>
                <w:szCs w:val="20"/>
                <w:color w:val="auto"/>
              </w:rPr>
            </w:pPr>
            <w:r>
              <w:rPr>
                <w:rFonts w:ascii="Arial" w:cs="Arial" w:eastAsia="Arial" w:hAnsi="Arial"/>
                <w:sz w:val="14"/>
                <w:szCs w:val="14"/>
                <w:color w:val="001641"/>
              </w:rPr>
              <w:t>229,623</w:t>
            </w:r>
          </w:p>
        </w:tc>
        <w:tc>
          <w:tcPr>
            <w:tcW w:w="980" w:type="dxa"/>
            <w:vAlign w:val="bottom"/>
          </w:tcPr>
          <w:p>
            <w:pPr>
              <w:jc w:val="right"/>
              <w:ind w:right="28"/>
              <w:spacing w:after="0"/>
              <w:rPr>
                <w:sz w:val="20"/>
                <w:szCs w:val="20"/>
                <w:color w:val="auto"/>
              </w:rPr>
            </w:pPr>
            <w:r>
              <w:rPr>
                <w:rFonts w:ascii="Arial" w:cs="Arial" w:eastAsia="Arial" w:hAnsi="Arial"/>
                <w:sz w:val="14"/>
                <w:szCs w:val="14"/>
                <w:color w:val="001641"/>
              </w:rPr>
              <w:t>24,799,858</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2780" w:type="dxa"/>
            <w:vAlign w:val="bottom"/>
            <w:vMerge w:val="continue"/>
          </w:tcPr>
          <w:p>
            <w:pPr>
              <w:spacing w:after="0" w:line="20" w:lineRule="exact"/>
              <w:rPr>
                <w:sz w:val="1"/>
                <w:szCs w:val="1"/>
                <w:color w:val="auto"/>
              </w:rPr>
            </w:pPr>
          </w:p>
        </w:tc>
        <w:tc>
          <w:tcPr>
            <w:tcW w:w="70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100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2780" w:type="dxa"/>
            <w:vAlign w:val="bottom"/>
          </w:tcPr>
          <w:p>
            <w:pPr>
              <w:ind w:left="40"/>
              <w:spacing w:after="0"/>
              <w:rPr>
                <w:sz w:val="20"/>
                <w:szCs w:val="20"/>
                <w:color w:val="auto"/>
              </w:rPr>
            </w:pPr>
            <w:r>
              <w:rPr>
                <w:rFonts w:ascii="Arial" w:cs="Arial" w:eastAsia="Arial" w:hAnsi="Arial"/>
                <w:sz w:val="14"/>
                <w:szCs w:val="14"/>
                <w:color w:val="001641"/>
              </w:rPr>
              <w:t>Executive Chairman and Chief Creative</w:t>
            </w:r>
          </w:p>
        </w:tc>
        <w:tc>
          <w:tcPr>
            <w:tcW w:w="700" w:type="dxa"/>
            <w:vAlign w:val="bottom"/>
          </w:tcPr>
          <w:p>
            <w:pPr>
              <w:ind w:left="140"/>
              <w:spacing w:after="0"/>
              <w:rPr>
                <w:sz w:val="20"/>
                <w:szCs w:val="20"/>
                <w:color w:val="auto"/>
              </w:rPr>
            </w:pPr>
            <w:r>
              <w:rPr>
                <w:rFonts w:ascii="Arial" w:cs="Arial" w:eastAsia="Arial" w:hAnsi="Arial"/>
                <w:sz w:val="14"/>
                <w:szCs w:val="14"/>
                <w:color w:val="001641"/>
              </w:rPr>
              <w:t>2025</w:t>
            </w:r>
          </w:p>
        </w:tc>
        <w:tc>
          <w:tcPr>
            <w:tcW w:w="920" w:type="dxa"/>
            <w:vAlign w:val="bottom"/>
          </w:tcPr>
          <w:p>
            <w:pPr>
              <w:jc w:val="right"/>
              <w:ind w:right="68"/>
              <w:spacing w:after="0"/>
              <w:rPr>
                <w:sz w:val="20"/>
                <w:szCs w:val="20"/>
                <w:color w:val="auto"/>
              </w:rPr>
            </w:pPr>
            <w:r>
              <w:rPr>
                <w:rFonts w:ascii="Arial" w:cs="Arial" w:eastAsia="Arial" w:hAnsi="Arial"/>
                <w:sz w:val="14"/>
                <w:szCs w:val="14"/>
                <w:color w:val="001641"/>
              </w:rPr>
              <w:t>1,750,000</w:t>
            </w:r>
          </w:p>
        </w:tc>
        <w:tc>
          <w:tcPr>
            <w:tcW w:w="1000" w:type="dxa"/>
            <w:vAlign w:val="bottom"/>
          </w:tcPr>
          <w:p>
            <w:pPr>
              <w:jc w:val="right"/>
              <w:ind w:right="88"/>
              <w:spacing w:after="0"/>
              <w:rPr>
                <w:sz w:val="20"/>
                <w:szCs w:val="20"/>
                <w:color w:val="auto"/>
              </w:rPr>
            </w:pPr>
            <w:r>
              <w:rPr>
                <w:rFonts w:ascii="Arial" w:cs="Arial" w:eastAsia="Arial" w:hAnsi="Arial"/>
                <w:sz w:val="14"/>
                <w:szCs w:val="14"/>
                <w:color w:val="001641"/>
              </w:rPr>
              <w:t>11,000,337</w:t>
            </w:r>
          </w:p>
        </w:tc>
        <w:tc>
          <w:tcPr>
            <w:tcW w:w="1360" w:type="dxa"/>
            <w:vAlign w:val="bottom"/>
          </w:tcPr>
          <w:p>
            <w:pPr>
              <w:jc w:val="right"/>
              <w:ind w:right="128"/>
              <w:spacing w:after="0"/>
              <w:rPr>
                <w:sz w:val="20"/>
                <w:szCs w:val="20"/>
                <w:color w:val="auto"/>
              </w:rPr>
            </w:pPr>
            <w:r>
              <w:rPr>
                <w:rFonts w:ascii="Arial" w:cs="Arial" w:eastAsia="Arial" w:hAnsi="Arial"/>
                <w:sz w:val="14"/>
                <w:szCs w:val="14"/>
                <w:color w:val="001641"/>
              </w:rPr>
              <w:t>11,160,000</w:t>
            </w:r>
          </w:p>
        </w:tc>
        <w:tc>
          <w:tcPr>
            <w:tcW w:w="1360" w:type="dxa"/>
            <w:vAlign w:val="bottom"/>
          </w:tcPr>
          <w:p>
            <w:pPr>
              <w:jc w:val="right"/>
              <w:ind w:right="168"/>
              <w:spacing w:after="0"/>
              <w:rPr>
                <w:sz w:val="20"/>
                <w:szCs w:val="20"/>
                <w:color w:val="auto"/>
              </w:rPr>
            </w:pPr>
            <w:r>
              <w:rPr>
                <w:rFonts w:ascii="Arial" w:cs="Arial" w:eastAsia="Arial" w:hAnsi="Arial"/>
                <w:sz w:val="14"/>
                <w:szCs w:val="14"/>
                <w:color w:val="001641"/>
              </w:rPr>
              <w:t>272,810</w:t>
            </w:r>
          </w:p>
        </w:tc>
        <w:tc>
          <w:tcPr>
            <w:tcW w:w="980" w:type="dxa"/>
            <w:vAlign w:val="bottom"/>
          </w:tcPr>
          <w:p>
            <w:pPr>
              <w:jc w:val="right"/>
              <w:ind w:right="28"/>
              <w:spacing w:after="0"/>
              <w:rPr>
                <w:sz w:val="20"/>
                <w:szCs w:val="20"/>
                <w:color w:val="auto"/>
              </w:rPr>
            </w:pPr>
            <w:r>
              <w:rPr>
                <w:rFonts w:ascii="Arial" w:cs="Arial" w:eastAsia="Arial" w:hAnsi="Arial"/>
                <w:sz w:val="14"/>
                <w:szCs w:val="14"/>
                <w:color w:val="001641"/>
              </w:rPr>
              <w:t>24,183,147</w:t>
            </w: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2780" w:type="dxa"/>
            <w:vAlign w:val="bottom"/>
            <w:vMerge w:val="restart"/>
          </w:tcPr>
          <w:p>
            <w:pPr>
              <w:ind w:left="40"/>
              <w:spacing w:after="0"/>
              <w:rPr>
                <w:sz w:val="20"/>
                <w:szCs w:val="20"/>
                <w:color w:val="auto"/>
              </w:rPr>
            </w:pPr>
            <w:r>
              <w:rPr>
                <w:rFonts w:ascii="Arial" w:cs="Arial" w:eastAsia="Arial" w:hAnsi="Arial"/>
                <w:sz w:val="14"/>
                <w:szCs w:val="14"/>
                <w:color w:val="001641"/>
              </w:rPr>
              <w:t>Officer</w:t>
            </w:r>
          </w:p>
        </w:tc>
        <w:tc>
          <w:tcPr>
            <w:tcW w:w="700" w:type="dxa"/>
            <w:vAlign w:val="bottom"/>
            <w:tcBorders>
              <w:bottom w:val="single" w:sz="8" w:color="BFA071"/>
            </w:tcBorders>
          </w:tcPr>
          <w:p>
            <w:pPr>
              <w:spacing w:after="0"/>
              <w:rPr>
                <w:sz w:val="4"/>
                <w:szCs w:val="4"/>
                <w:color w:val="auto"/>
              </w:rPr>
            </w:pPr>
          </w:p>
        </w:tc>
        <w:tc>
          <w:tcPr>
            <w:tcW w:w="920" w:type="dxa"/>
            <w:vAlign w:val="bottom"/>
            <w:tcBorders>
              <w:bottom w:val="single" w:sz="8" w:color="BFA071"/>
            </w:tcBorders>
          </w:tcPr>
          <w:p>
            <w:pPr>
              <w:spacing w:after="0"/>
              <w:rPr>
                <w:sz w:val="4"/>
                <w:szCs w:val="4"/>
                <w:color w:val="auto"/>
              </w:rPr>
            </w:pPr>
          </w:p>
        </w:tc>
        <w:tc>
          <w:tcPr>
            <w:tcW w:w="1000" w:type="dxa"/>
            <w:vAlign w:val="bottom"/>
            <w:tcBorders>
              <w:bottom w:val="single" w:sz="8" w:color="BFA071"/>
            </w:tcBorders>
          </w:tcPr>
          <w:p>
            <w:pPr>
              <w:spacing w:after="0"/>
              <w:rPr>
                <w:sz w:val="4"/>
                <w:szCs w:val="4"/>
                <w:color w:val="auto"/>
              </w:rPr>
            </w:pPr>
          </w:p>
        </w:tc>
        <w:tc>
          <w:tcPr>
            <w:tcW w:w="1360" w:type="dxa"/>
            <w:vAlign w:val="bottom"/>
            <w:tcBorders>
              <w:bottom w:val="single" w:sz="8" w:color="BFA071"/>
            </w:tcBorders>
          </w:tcPr>
          <w:p>
            <w:pPr>
              <w:spacing w:after="0"/>
              <w:rPr>
                <w:sz w:val="4"/>
                <w:szCs w:val="4"/>
                <w:color w:val="auto"/>
              </w:rPr>
            </w:pPr>
          </w:p>
        </w:tc>
        <w:tc>
          <w:tcPr>
            <w:tcW w:w="1360" w:type="dxa"/>
            <w:vAlign w:val="bottom"/>
            <w:tcBorders>
              <w:bottom w:val="single" w:sz="8" w:color="BFA071"/>
            </w:tcBorders>
          </w:tcPr>
          <w:p>
            <w:pPr>
              <w:spacing w:after="0"/>
              <w:rPr>
                <w:sz w:val="4"/>
                <w:szCs w:val="4"/>
                <w:color w:val="auto"/>
              </w:rPr>
            </w:pPr>
          </w:p>
        </w:tc>
        <w:tc>
          <w:tcPr>
            <w:tcW w:w="980" w:type="dxa"/>
            <w:vAlign w:val="bottom"/>
            <w:tcBorders>
              <w:bottom w:val="single" w:sz="8" w:color="BFA071"/>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1641"/>
              </w:rPr>
              <w:t>2024</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001641"/>
              </w:rPr>
              <w:t>1,750,000</w:t>
            </w: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001641"/>
              </w:rPr>
              <w:t>11,000,149</w:t>
            </w:r>
          </w:p>
        </w:tc>
        <w:tc>
          <w:tcPr>
            <w:tcW w:w="1360" w:type="dxa"/>
            <w:vAlign w:val="bottom"/>
            <w:vMerge w:val="restart"/>
          </w:tcPr>
          <w:p>
            <w:pPr>
              <w:jc w:val="right"/>
              <w:ind w:right="128"/>
              <w:spacing w:after="0"/>
              <w:rPr>
                <w:sz w:val="20"/>
                <w:szCs w:val="20"/>
                <w:color w:val="auto"/>
              </w:rPr>
            </w:pPr>
            <w:r>
              <w:rPr>
                <w:rFonts w:ascii="Arial" w:cs="Arial" w:eastAsia="Arial" w:hAnsi="Arial"/>
                <w:sz w:val="14"/>
                <w:szCs w:val="14"/>
                <w:color w:val="001641"/>
              </w:rPr>
              <w:t>6,720,000</w:t>
            </w:r>
          </w:p>
        </w:tc>
        <w:tc>
          <w:tcPr>
            <w:tcW w:w="1360" w:type="dxa"/>
            <w:vAlign w:val="bottom"/>
            <w:vMerge w:val="restart"/>
          </w:tcPr>
          <w:p>
            <w:pPr>
              <w:jc w:val="right"/>
              <w:ind w:right="168"/>
              <w:spacing w:after="0"/>
              <w:rPr>
                <w:sz w:val="20"/>
                <w:szCs w:val="20"/>
                <w:color w:val="auto"/>
              </w:rPr>
            </w:pPr>
            <w:r>
              <w:rPr>
                <w:rFonts w:ascii="Arial" w:cs="Arial" w:eastAsia="Arial" w:hAnsi="Arial"/>
                <w:sz w:val="14"/>
                <w:szCs w:val="14"/>
                <w:color w:val="001641"/>
              </w:rPr>
              <w:t>249,988</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001641"/>
              </w:rPr>
              <w:t>19,720,137</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7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BFA071"/>
            </w:tcBorders>
          </w:tcPr>
          <w:p>
            <w:pPr>
              <w:spacing w:after="0" w:line="20" w:lineRule="exact"/>
              <w:rPr>
                <w:sz w:val="1"/>
                <w:szCs w:val="1"/>
                <w:color w:val="auto"/>
              </w:rPr>
            </w:pPr>
          </w:p>
        </w:tc>
        <w:tc>
          <w:tcPr>
            <w:tcW w:w="2780" w:type="dxa"/>
            <w:vAlign w:val="bottom"/>
            <w:tcBorders>
              <w:bottom w:val="single" w:sz="8" w:color="BFA071"/>
            </w:tcBorders>
          </w:tcPr>
          <w:p>
            <w:pPr>
              <w:spacing w:after="0" w:line="20" w:lineRule="exact"/>
              <w:rPr>
                <w:sz w:val="1"/>
                <w:szCs w:val="1"/>
                <w:color w:val="auto"/>
              </w:rPr>
            </w:pPr>
          </w:p>
        </w:tc>
        <w:tc>
          <w:tcPr>
            <w:tcW w:w="70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100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780" w:type="dxa"/>
            <w:vAlign w:val="bottom"/>
            <w:vMerge w:val="restart"/>
          </w:tcPr>
          <w:p>
            <w:pPr>
              <w:ind w:left="40"/>
              <w:spacing w:after="0"/>
              <w:rPr>
                <w:sz w:val="20"/>
                <w:szCs w:val="20"/>
                <w:color w:val="auto"/>
              </w:rPr>
            </w:pPr>
            <w:r>
              <w:rPr>
                <w:rFonts w:ascii="Arial" w:cs="Arial" w:eastAsia="Arial" w:hAnsi="Arial"/>
                <w:sz w:val="14"/>
                <w:szCs w:val="14"/>
                <w:b w:val="1"/>
                <w:bCs w:val="1"/>
                <w:color w:val="001641"/>
              </w:rPr>
              <w:t>Patrice Louvet</w:t>
            </w:r>
          </w:p>
        </w:tc>
        <w:tc>
          <w:tcPr>
            <w:tcW w:w="700" w:type="dxa"/>
            <w:vAlign w:val="bottom"/>
          </w:tcPr>
          <w:p>
            <w:pPr>
              <w:ind w:left="140"/>
              <w:spacing w:after="0"/>
              <w:rPr>
                <w:sz w:val="20"/>
                <w:szCs w:val="20"/>
                <w:color w:val="auto"/>
              </w:rPr>
            </w:pPr>
            <w:r>
              <w:rPr>
                <w:rFonts w:ascii="Arial" w:cs="Arial" w:eastAsia="Arial" w:hAnsi="Arial"/>
                <w:sz w:val="14"/>
                <w:szCs w:val="14"/>
                <w:color w:val="001641"/>
              </w:rPr>
              <w:t>2026</w:t>
            </w:r>
          </w:p>
        </w:tc>
        <w:tc>
          <w:tcPr>
            <w:tcW w:w="920" w:type="dxa"/>
            <w:vAlign w:val="bottom"/>
          </w:tcPr>
          <w:p>
            <w:pPr>
              <w:jc w:val="right"/>
              <w:ind w:right="68"/>
              <w:spacing w:after="0"/>
              <w:rPr>
                <w:sz w:val="20"/>
                <w:szCs w:val="20"/>
                <w:color w:val="auto"/>
              </w:rPr>
            </w:pPr>
            <w:r>
              <w:rPr>
                <w:rFonts w:ascii="Arial" w:cs="Arial" w:eastAsia="Arial" w:hAnsi="Arial"/>
                <w:sz w:val="14"/>
                <w:szCs w:val="14"/>
                <w:color w:val="001641"/>
              </w:rPr>
              <w:t>1,350,000</w:t>
            </w:r>
          </w:p>
        </w:tc>
        <w:tc>
          <w:tcPr>
            <w:tcW w:w="1000" w:type="dxa"/>
            <w:vAlign w:val="bottom"/>
          </w:tcPr>
          <w:p>
            <w:pPr>
              <w:jc w:val="right"/>
              <w:ind w:right="68"/>
              <w:spacing w:after="0"/>
              <w:rPr>
                <w:sz w:val="20"/>
                <w:szCs w:val="20"/>
                <w:color w:val="auto"/>
              </w:rPr>
            </w:pPr>
            <w:r>
              <w:rPr>
                <w:rFonts w:ascii="Arial" w:cs="Arial" w:eastAsia="Arial" w:hAnsi="Arial"/>
                <w:sz w:val="14"/>
                <w:szCs w:val="14"/>
                <w:color w:val="001641"/>
              </w:rPr>
              <w:t>13,710,179</w:t>
            </w:r>
          </w:p>
        </w:tc>
        <w:tc>
          <w:tcPr>
            <w:tcW w:w="1360" w:type="dxa"/>
            <w:vAlign w:val="bottom"/>
          </w:tcPr>
          <w:p>
            <w:pPr>
              <w:jc w:val="right"/>
              <w:ind w:right="128"/>
              <w:spacing w:after="0"/>
              <w:rPr>
                <w:sz w:val="20"/>
                <w:szCs w:val="20"/>
                <w:color w:val="auto"/>
              </w:rPr>
            </w:pPr>
            <w:r>
              <w:rPr>
                <w:rFonts w:ascii="Arial" w:cs="Arial" w:eastAsia="Arial" w:hAnsi="Arial"/>
                <w:sz w:val="14"/>
                <w:szCs w:val="14"/>
                <w:color w:val="001641"/>
              </w:rPr>
              <w:t>8,100,000</w:t>
            </w:r>
          </w:p>
        </w:tc>
        <w:tc>
          <w:tcPr>
            <w:tcW w:w="1360" w:type="dxa"/>
            <w:vAlign w:val="bottom"/>
          </w:tcPr>
          <w:p>
            <w:pPr>
              <w:jc w:val="right"/>
              <w:ind w:right="168"/>
              <w:spacing w:after="0"/>
              <w:rPr>
                <w:sz w:val="20"/>
                <w:szCs w:val="20"/>
                <w:color w:val="auto"/>
              </w:rPr>
            </w:pPr>
            <w:r>
              <w:rPr>
                <w:rFonts w:ascii="Arial" w:cs="Arial" w:eastAsia="Arial" w:hAnsi="Arial"/>
                <w:sz w:val="14"/>
                <w:szCs w:val="14"/>
                <w:color w:val="001641"/>
              </w:rPr>
              <w:t>104,090</w:t>
            </w:r>
          </w:p>
        </w:tc>
        <w:tc>
          <w:tcPr>
            <w:tcW w:w="980" w:type="dxa"/>
            <w:vAlign w:val="bottom"/>
          </w:tcPr>
          <w:p>
            <w:pPr>
              <w:jc w:val="right"/>
              <w:ind w:right="28"/>
              <w:spacing w:after="0"/>
              <w:rPr>
                <w:sz w:val="20"/>
                <w:szCs w:val="20"/>
                <w:color w:val="auto"/>
              </w:rPr>
            </w:pPr>
            <w:r>
              <w:rPr>
                <w:rFonts w:ascii="Arial" w:cs="Arial" w:eastAsia="Arial" w:hAnsi="Arial"/>
                <w:sz w:val="14"/>
                <w:szCs w:val="14"/>
                <w:color w:val="001641"/>
              </w:rPr>
              <w:t>23,264,269</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2780" w:type="dxa"/>
            <w:vAlign w:val="bottom"/>
            <w:vMerge w:val="continue"/>
          </w:tcPr>
          <w:p>
            <w:pPr>
              <w:spacing w:after="0" w:line="20" w:lineRule="exact"/>
              <w:rPr>
                <w:sz w:val="1"/>
                <w:szCs w:val="1"/>
                <w:color w:val="auto"/>
              </w:rPr>
            </w:pPr>
          </w:p>
        </w:tc>
        <w:tc>
          <w:tcPr>
            <w:tcW w:w="70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100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2780" w:type="dxa"/>
            <w:vAlign w:val="bottom"/>
            <w:vMerge w:val="continue"/>
          </w:tcPr>
          <w:p>
            <w:pPr>
              <w:spacing w:after="0"/>
              <w:rPr>
                <w:sz w:val="8"/>
                <w:szCs w:val="8"/>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1641"/>
              </w:rPr>
              <w:t>2025</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001641"/>
              </w:rPr>
              <w:t>1,350,000</w:t>
            </w: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001641"/>
              </w:rPr>
              <w:t>13,541,857</w:t>
            </w:r>
          </w:p>
        </w:tc>
        <w:tc>
          <w:tcPr>
            <w:tcW w:w="1360" w:type="dxa"/>
            <w:vAlign w:val="bottom"/>
            <w:vMerge w:val="restart"/>
          </w:tcPr>
          <w:p>
            <w:pPr>
              <w:jc w:val="right"/>
              <w:ind w:right="128"/>
              <w:spacing w:after="0"/>
              <w:rPr>
                <w:sz w:val="20"/>
                <w:szCs w:val="20"/>
                <w:color w:val="auto"/>
              </w:rPr>
            </w:pPr>
            <w:r>
              <w:rPr>
                <w:rFonts w:ascii="Arial" w:cs="Arial" w:eastAsia="Arial" w:hAnsi="Arial"/>
                <w:sz w:val="14"/>
                <w:szCs w:val="14"/>
                <w:color w:val="001641"/>
              </w:rPr>
              <w:t>8,100,000</w:t>
            </w:r>
          </w:p>
        </w:tc>
        <w:tc>
          <w:tcPr>
            <w:tcW w:w="1360" w:type="dxa"/>
            <w:vAlign w:val="bottom"/>
            <w:vMerge w:val="restart"/>
          </w:tcPr>
          <w:p>
            <w:pPr>
              <w:jc w:val="right"/>
              <w:ind w:right="168"/>
              <w:spacing w:after="0"/>
              <w:rPr>
                <w:sz w:val="20"/>
                <w:szCs w:val="20"/>
                <w:color w:val="auto"/>
              </w:rPr>
            </w:pPr>
            <w:r>
              <w:rPr>
                <w:rFonts w:ascii="Arial" w:cs="Arial" w:eastAsia="Arial" w:hAnsi="Arial"/>
                <w:sz w:val="14"/>
                <w:szCs w:val="14"/>
                <w:color w:val="001641"/>
              </w:rPr>
              <w:t>87,578</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001641"/>
              </w:rPr>
              <w:t>23,079,435</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2780" w:type="dxa"/>
            <w:vAlign w:val="bottom"/>
            <w:vMerge w:val="restart"/>
          </w:tcPr>
          <w:p>
            <w:pPr>
              <w:ind w:left="40"/>
              <w:spacing w:after="0" w:line="125" w:lineRule="exact"/>
              <w:rPr>
                <w:sz w:val="20"/>
                <w:szCs w:val="20"/>
                <w:color w:val="auto"/>
              </w:rPr>
            </w:pPr>
            <w:r>
              <w:rPr>
                <w:rFonts w:ascii="Arial" w:cs="Arial" w:eastAsia="Arial" w:hAnsi="Arial"/>
                <w:sz w:val="14"/>
                <w:szCs w:val="14"/>
                <w:color w:val="001641"/>
              </w:rPr>
              <w:t>President and CEO</w:t>
            </w:r>
          </w:p>
        </w:tc>
        <w:tc>
          <w:tcPr>
            <w:tcW w:w="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2780" w:type="dxa"/>
            <w:vAlign w:val="bottom"/>
            <w:vMerge w:val="continue"/>
          </w:tcPr>
          <w:p>
            <w:pPr>
              <w:spacing w:after="0" w:line="20" w:lineRule="exact"/>
              <w:rPr>
                <w:sz w:val="1"/>
                <w:szCs w:val="1"/>
                <w:color w:val="auto"/>
              </w:rPr>
            </w:pPr>
          </w:p>
        </w:tc>
        <w:tc>
          <w:tcPr>
            <w:tcW w:w="70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100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00" w:type="dxa"/>
            <w:vAlign w:val="bottom"/>
          </w:tcPr>
          <w:p>
            <w:pPr>
              <w:ind w:left="140"/>
              <w:spacing w:after="0"/>
              <w:rPr>
                <w:sz w:val="20"/>
                <w:szCs w:val="20"/>
                <w:color w:val="auto"/>
              </w:rPr>
            </w:pPr>
            <w:r>
              <w:rPr>
                <w:rFonts w:ascii="Arial" w:cs="Arial" w:eastAsia="Arial" w:hAnsi="Arial"/>
                <w:sz w:val="14"/>
                <w:szCs w:val="14"/>
                <w:color w:val="001641"/>
              </w:rPr>
              <w:t>2024</w:t>
            </w:r>
          </w:p>
        </w:tc>
        <w:tc>
          <w:tcPr>
            <w:tcW w:w="920" w:type="dxa"/>
            <w:vAlign w:val="bottom"/>
          </w:tcPr>
          <w:p>
            <w:pPr>
              <w:jc w:val="right"/>
              <w:ind w:right="68"/>
              <w:spacing w:after="0"/>
              <w:rPr>
                <w:sz w:val="20"/>
                <w:szCs w:val="20"/>
                <w:color w:val="auto"/>
              </w:rPr>
            </w:pPr>
            <w:r>
              <w:rPr>
                <w:rFonts w:ascii="Arial" w:cs="Arial" w:eastAsia="Arial" w:hAnsi="Arial"/>
                <w:sz w:val="14"/>
                <w:szCs w:val="14"/>
                <w:color w:val="001641"/>
              </w:rPr>
              <w:t>1,350,000</w:t>
            </w:r>
          </w:p>
        </w:tc>
        <w:tc>
          <w:tcPr>
            <w:tcW w:w="1000" w:type="dxa"/>
            <w:vAlign w:val="bottom"/>
          </w:tcPr>
          <w:p>
            <w:pPr>
              <w:jc w:val="right"/>
              <w:ind w:right="68"/>
              <w:spacing w:after="0"/>
              <w:rPr>
                <w:sz w:val="20"/>
                <w:szCs w:val="20"/>
                <w:color w:val="auto"/>
              </w:rPr>
            </w:pPr>
            <w:r>
              <w:rPr>
                <w:rFonts w:ascii="Arial" w:cs="Arial" w:eastAsia="Arial" w:hAnsi="Arial"/>
                <w:sz w:val="14"/>
                <w:szCs w:val="14"/>
                <w:color w:val="001641"/>
              </w:rPr>
              <w:t>10,651,323</w:t>
            </w:r>
          </w:p>
        </w:tc>
        <w:tc>
          <w:tcPr>
            <w:tcW w:w="1360" w:type="dxa"/>
            <w:vAlign w:val="bottom"/>
          </w:tcPr>
          <w:p>
            <w:pPr>
              <w:jc w:val="right"/>
              <w:ind w:right="128"/>
              <w:spacing w:after="0"/>
              <w:rPr>
                <w:sz w:val="20"/>
                <w:szCs w:val="20"/>
                <w:color w:val="auto"/>
              </w:rPr>
            </w:pPr>
            <w:r>
              <w:rPr>
                <w:rFonts w:ascii="Arial" w:cs="Arial" w:eastAsia="Arial" w:hAnsi="Arial"/>
                <w:sz w:val="14"/>
                <w:szCs w:val="14"/>
                <w:color w:val="001641"/>
              </w:rPr>
              <w:t>4,536,000</w:t>
            </w:r>
          </w:p>
        </w:tc>
        <w:tc>
          <w:tcPr>
            <w:tcW w:w="1360" w:type="dxa"/>
            <w:vAlign w:val="bottom"/>
          </w:tcPr>
          <w:p>
            <w:pPr>
              <w:jc w:val="right"/>
              <w:ind w:right="168"/>
              <w:spacing w:after="0"/>
              <w:rPr>
                <w:sz w:val="20"/>
                <w:szCs w:val="20"/>
                <w:color w:val="auto"/>
              </w:rPr>
            </w:pPr>
            <w:r>
              <w:rPr>
                <w:rFonts w:ascii="Arial" w:cs="Arial" w:eastAsia="Arial" w:hAnsi="Arial"/>
                <w:sz w:val="14"/>
                <w:szCs w:val="14"/>
                <w:color w:val="001641"/>
              </w:rPr>
              <w:t>91,245</w:t>
            </w:r>
          </w:p>
        </w:tc>
        <w:tc>
          <w:tcPr>
            <w:tcW w:w="980" w:type="dxa"/>
            <w:vAlign w:val="bottom"/>
          </w:tcPr>
          <w:p>
            <w:pPr>
              <w:jc w:val="right"/>
              <w:ind w:right="28"/>
              <w:spacing w:after="0"/>
              <w:rPr>
                <w:sz w:val="20"/>
                <w:szCs w:val="20"/>
                <w:color w:val="auto"/>
              </w:rPr>
            </w:pPr>
            <w:r>
              <w:rPr>
                <w:rFonts w:ascii="Arial" w:cs="Arial" w:eastAsia="Arial" w:hAnsi="Arial"/>
                <w:sz w:val="14"/>
                <w:szCs w:val="14"/>
                <w:color w:val="001641"/>
              </w:rPr>
              <w:t>16,628,568</w:t>
            </w:r>
          </w:p>
        </w:tc>
        <w:tc>
          <w:tcPr>
            <w:tcW w:w="0" w:type="dxa"/>
            <w:vAlign w:val="bottom"/>
          </w:tcPr>
          <w:p>
            <w:pPr>
              <w:spacing w:after="0"/>
              <w:rPr>
                <w:sz w:val="1"/>
                <w:szCs w:val="1"/>
                <w:color w:val="auto"/>
              </w:rPr>
            </w:pPr>
          </w:p>
        </w:tc>
      </w:tr>
      <w:tr>
        <w:trPr>
          <w:trHeight w:val="22"/>
        </w:trPr>
        <w:tc>
          <w:tcPr>
            <w:tcW w:w="80" w:type="dxa"/>
            <w:vAlign w:val="bottom"/>
            <w:tcBorders>
              <w:bottom w:val="single" w:sz="8" w:color="BFA071"/>
            </w:tcBorders>
          </w:tcPr>
          <w:p>
            <w:pPr>
              <w:spacing w:after="0" w:line="20" w:lineRule="exact"/>
              <w:rPr>
                <w:sz w:val="1"/>
                <w:szCs w:val="1"/>
                <w:color w:val="auto"/>
              </w:rPr>
            </w:pPr>
          </w:p>
        </w:tc>
        <w:tc>
          <w:tcPr>
            <w:tcW w:w="2780" w:type="dxa"/>
            <w:vAlign w:val="bottom"/>
            <w:tcBorders>
              <w:bottom w:val="single" w:sz="8" w:color="BFA071"/>
            </w:tcBorders>
          </w:tcPr>
          <w:p>
            <w:pPr>
              <w:spacing w:after="0" w:line="20" w:lineRule="exact"/>
              <w:rPr>
                <w:sz w:val="1"/>
                <w:szCs w:val="1"/>
                <w:color w:val="auto"/>
              </w:rPr>
            </w:pPr>
          </w:p>
        </w:tc>
        <w:tc>
          <w:tcPr>
            <w:tcW w:w="70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100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2780" w:type="dxa"/>
            <w:vAlign w:val="bottom"/>
          </w:tcPr>
          <w:p>
            <w:pPr>
              <w:ind w:left="40"/>
              <w:spacing w:after="0"/>
              <w:rPr>
                <w:sz w:val="20"/>
                <w:szCs w:val="20"/>
                <w:color w:val="auto"/>
              </w:rPr>
            </w:pPr>
            <w:r>
              <w:rPr>
                <w:rFonts w:ascii="Arial" w:cs="Arial" w:eastAsia="Arial" w:hAnsi="Arial"/>
                <w:sz w:val="14"/>
                <w:szCs w:val="14"/>
                <w:b w:val="1"/>
                <w:bCs w:val="1"/>
                <w:color w:val="001641"/>
              </w:rPr>
              <w:t>Robert Ranftl</w:t>
            </w:r>
          </w:p>
        </w:tc>
        <w:tc>
          <w:tcPr>
            <w:tcW w:w="700" w:type="dxa"/>
            <w:vAlign w:val="bottom"/>
            <w:vMerge w:val="restart"/>
          </w:tcPr>
          <w:p>
            <w:pPr>
              <w:ind w:left="140"/>
              <w:spacing w:after="0"/>
              <w:rPr>
                <w:sz w:val="20"/>
                <w:szCs w:val="20"/>
                <w:color w:val="auto"/>
              </w:rPr>
            </w:pPr>
            <w:r>
              <w:rPr>
                <w:rFonts w:ascii="Arial" w:cs="Arial" w:eastAsia="Arial" w:hAnsi="Arial"/>
                <w:sz w:val="14"/>
                <w:szCs w:val="14"/>
                <w:color w:val="001641"/>
              </w:rPr>
              <w:t>2026</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001641"/>
              </w:rPr>
              <w:t>1,000,000</w:t>
            </w: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001641"/>
              </w:rPr>
              <w:t>2,203,027</w:t>
            </w:r>
          </w:p>
        </w:tc>
        <w:tc>
          <w:tcPr>
            <w:tcW w:w="1360" w:type="dxa"/>
            <w:vAlign w:val="bottom"/>
            <w:vMerge w:val="restart"/>
          </w:tcPr>
          <w:p>
            <w:pPr>
              <w:jc w:val="right"/>
              <w:ind w:right="128"/>
              <w:spacing w:after="0"/>
              <w:rPr>
                <w:sz w:val="20"/>
                <w:szCs w:val="20"/>
                <w:color w:val="auto"/>
              </w:rPr>
            </w:pPr>
            <w:r>
              <w:rPr>
                <w:rFonts w:ascii="Arial" w:cs="Arial" w:eastAsia="Arial" w:hAnsi="Arial"/>
                <w:sz w:val="14"/>
                <w:szCs w:val="14"/>
                <w:color w:val="001641"/>
              </w:rPr>
              <w:t>2,000,000</w:t>
            </w:r>
          </w:p>
        </w:tc>
        <w:tc>
          <w:tcPr>
            <w:tcW w:w="1360" w:type="dxa"/>
            <w:vAlign w:val="bottom"/>
            <w:vMerge w:val="restart"/>
          </w:tcPr>
          <w:p>
            <w:pPr>
              <w:jc w:val="right"/>
              <w:ind w:right="168"/>
              <w:spacing w:after="0"/>
              <w:rPr>
                <w:sz w:val="20"/>
                <w:szCs w:val="20"/>
                <w:color w:val="auto"/>
              </w:rPr>
            </w:pPr>
            <w:r>
              <w:rPr>
                <w:rFonts w:ascii="Arial" w:cs="Arial" w:eastAsia="Arial" w:hAnsi="Arial"/>
                <w:sz w:val="14"/>
                <w:szCs w:val="14"/>
                <w:color w:val="001641"/>
              </w:rPr>
              <w:t>34,619</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001641"/>
              </w:rPr>
              <w:t>5,237,646</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2780" w:type="dxa"/>
            <w:vAlign w:val="bottom"/>
            <w:vMerge w:val="restart"/>
          </w:tcPr>
          <w:p>
            <w:pPr>
              <w:ind w:left="40"/>
              <w:spacing w:after="0"/>
              <w:rPr>
                <w:sz w:val="20"/>
                <w:szCs w:val="20"/>
                <w:color w:val="auto"/>
              </w:rPr>
            </w:pPr>
            <w:r>
              <w:rPr>
                <w:rFonts w:ascii="Arial" w:cs="Arial" w:eastAsia="Arial" w:hAnsi="Arial"/>
                <w:sz w:val="14"/>
                <w:szCs w:val="14"/>
                <w:color w:val="001641"/>
              </w:rPr>
              <w:t>COO</w:t>
            </w:r>
          </w:p>
        </w:tc>
        <w:tc>
          <w:tcPr>
            <w:tcW w:w="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BFA071"/>
            </w:tcBorders>
          </w:tcPr>
          <w:p>
            <w:pPr>
              <w:spacing w:after="0" w:line="20" w:lineRule="exact"/>
              <w:rPr>
                <w:sz w:val="1"/>
                <w:szCs w:val="1"/>
                <w:color w:val="auto"/>
              </w:rPr>
            </w:pPr>
          </w:p>
        </w:tc>
        <w:tc>
          <w:tcPr>
            <w:tcW w:w="2780" w:type="dxa"/>
            <w:vAlign w:val="bottom"/>
            <w:tcBorders>
              <w:bottom w:val="single" w:sz="8" w:color="BFA071"/>
            </w:tcBorders>
          </w:tcPr>
          <w:p>
            <w:pPr>
              <w:spacing w:after="0" w:line="20" w:lineRule="exact"/>
              <w:rPr>
                <w:sz w:val="1"/>
                <w:szCs w:val="1"/>
                <w:color w:val="auto"/>
              </w:rPr>
            </w:pPr>
          </w:p>
        </w:tc>
        <w:tc>
          <w:tcPr>
            <w:tcW w:w="70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100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780" w:type="dxa"/>
            <w:vAlign w:val="bottom"/>
          </w:tcPr>
          <w:p>
            <w:pPr>
              <w:ind w:left="40"/>
              <w:spacing w:after="0"/>
              <w:rPr>
                <w:sz w:val="20"/>
                <w:szCs w:val="20"/>
                <w:color w:val="auto"/>
              </w:rPr>
            </w:pPr>
            <w:r>
              <w:rPr>
                <w:rFonts w:ascii="Arial" w:cs="Arial" w:eastAsia="Arial" w:hAnsi="Arial"/>
                <w:sz w:val="14"/>
                <w:szCs w:val="14"/>
                <w:b w:val="1"/>
                <w:bCs w:val="1"/>
                <w:color w:val="001641"/>
              </w:rPr>
              <w:t>Justin Picicci</w:t>
            </w:r>
          </w:p>
        </w:tc>
        <w:tc>
          <w:tcPr>
            <w:tcW w:w="700" w:type="dxa"/>
            <w:vAlign w:val="bottom"/>
            <w:tcBorders>
              <w:bottom w:val="single" w:sz="8" w:color="BFA071"/>
            </w:tcBorders>
          </w:tcPr>
          <w:p>
            <w:pPr>
              <w:ind w:left="140"/>
              <w:spacing w:after="0"/>
              <w:rPr>
                <w:sz w:val="20"/>
                <w:szCs w:val="20"/>
                <w:color w:val="auto"/>
              </w:rPr>
            </w:pPr>
            <w:r>
              <w:rPr>
                <w:rFonts w:ascii="Arial" w:cs="Arial" w:eastAsia="Arial" w:hAnsi="Arial"/>
                <w:sz w:val="14"/>
                <w:szCs w:val="14"/>
                <w:color w:val="001641"/>
              </w:rPr>
              <w:t>2026</w:t>
            </w:r>
          </w:p>
        </w:tc>
        <w:tc>
          <w:tcPr>
            <w:tcW w:w="92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700,000</w:t>
            </w:r>
          </w:p>
        </w:tc>
        <w:tc>
          <w:tcPr>
            <w:tcW w:w="1000" w:type="dxa"/>
            <w:vAlign w:val="bottom"/>
            <w:tcBorders>
              <w:bottom w:val="single" w:sz="8" w:color="BFA071"/>
            </w:tcBorders>
          </w:tcPr>
          <w:p>
            <w:pPr>
              <w:jc w:val="right"/>
              <w:ind w:right="68"/>
              <w:spacing w:after="0"/>
              <w:rPr>
                <w:sz w:val="20"/>
                <w:szCs w:val="20"/>
                <w:color w:val="auto"/>
              </w:rPr>
            </w:pPr>
            <w:r>
              <w:rPr>
                <w:rFonts w:ascii="Arial" w:cs="Arial" w:eastAsia="Arial" w:hAnsi="Arial"/>
                <w:sz w:val="14"/>
                <w:szCs w:val="14"/>
                <w:color w:val="001641"/>
              </w:rPr>
              <w:t>1,174,979</w:t>
            </w:r>
          </w:p>
        </w:tc>
        <w:tc>
          <w:tcPr>
            <w:tcW w:w="1360" w:type="dxa"/>
            <w:vAlign w:val="bottom"/>
            <w:tcBorders>
              <w:bottom w:val="single" w:sz="8" w:color="BFA071"/>
            </w:tcBorders>
          </w:tcPr>
          <w:p>
            <w:pPr>
              <w:jc w:val="right"/>
              <w:ind w:right="128"/>
              <w:spacing w:after="0"/>
              <w:rPr>
                <w:sz w:val="20"/>
                <w:szCs w:val="20"/>
                <w:color w:val="auto"/>
              </w:rPr>
            </w:pPr>
            <w:r>
              <w:rPr>
                <w:rFonts w:ascii="Arial" w:cs="Arial" w:eastAsia="Arial" w:hAnsi="Arial"/>
                <w:sz w:val="14"/>
                <w:szCs w:val="14"/>
                <w:color w:val="001641"/>
              </w:rPr>
              <w:t>1,400,000</w:t>
            </w:r>
          </w:p>
        </w:tc>
        <w:tc>
          <w:tcPr>
            <w:tcW w:w="136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28,500</w:t>
            </w:r>
          </w:p>
        </w:tc>
        <w:tc>
          <w:tcPr>
            <w:tcW w:w="980" w:type="dxa"/>
            <w:vAlign w:val="bottom"/>
            <w:tcBorders>
              <w:bottom w:val="single" w:sz="8" w:color="BFA071"/>
            </w:tcBorders>
          </w:tcPr>
          <w:p>
            <w:pPr>
              <w:jc w:val="right"/>
              <w:ind w:right="28"/>
              <w:spacing w:after="0"/>
              <w:rPr>
                <w:sz w:val="20"/>
                <w:szCs w:val="20"/>
                <w:color w:val="auto"/>
              </w:rPr>
            </w:pPr>
            <w:r>
              <w:rPr>
                <w:rFonts w:ascii="Arial" w:cs="Arial" w:eastAsia="Arial" w:hAnsi="Arial"/>
                <w:sz w:val="14"/>
                <w:szCs w:val="14"/>
                <w:color w:val="001641"/>
              </w:rPr>
              <w:t>3,303,479</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780" w:type="dxa"/>
            <w:vAlign w:val="bottom"/>
          </w:tcPr>
          <w:p>
            <w:pPr>
              <w:ind w:left="40"/>
              <w:spacing w:after="0"/>
              <w:rPr>
                <w:sz w:val="20"/>
                <w:szCs w:val="20"/>
                <w:color w:val="auto"/>
              </w:rPr>
            </w:pPr>
            <w:r>
              <w:rPr>
                <w:rFonts w:ascii="Arial" w:cs="Arial" w:eastAsia="Arial" w:hAnsi="Arial"/>
                <w:sz w:val="14"/>
                <w:szCs w:val="14"/>
                <w:color w:val="001641"/>
              </w:rPr>
              <w:t>CFO</w:t>
            </w:r>
          </w:p>
        </w:tc>
        <w:tc>
          <w:tcPr>
            <w:tcW w:w="700" w:type="dxa"/>
            <w:vAlign w:val="bottom"/>
          </w:tcPr>
          <w:p>
            <w:pPr>
              <w:ind w:left="140"/>
              <w:spacing w:after="0"/>
              <w:rPr>
                <w:sz w:val="20"/>
                <w:szCs w:val="20"/>
                <w:color w:val="auto"/>
              </w:rPr>
            </w:pPr>
            <w:r>
              <w:rPr>
                <w:rFonts w:ascii="Arial" w:cs="Arial" w:eastAsia="Arial" w:hAnsi="Arial"/>
                <w:sz w:val="14"/>
                <w:szCs w:val="14"/>
                <w:color w:val="001641"/>
              </w:rPr>
              <w:t>2025</w:t>
            </w:r>
          </w:p>
        </w:tc>
        <w:tc>
          <w:tcPr>
            <w:tcW w:w="920" w:type="dxa"/>
            <w:vAlign w:val="bottom"/>
          </w:tcPr>
          <w:p>
            <w:pPr>
              <w:jc w:val="right"/>
              <w:ind w:right="68"/>
              <w:spacing w:after="0"/>
              <w:rPr>
                <w:sz w:val="20"/>
                <w:szCs w:val="20"/>
                <w:color w:val="auto"/>
              </w:rPr>
            </w:pPr>
            <w:r>
              <w:rPr>
                <w:rFonts w:ascii="Arial" w:cs="Arial" w:eastAsia="Arial" w:hAnsi="Arial"/>
                <w:sz w:val="14"/>
                <w:szCs w:val="14"/>
                <w:color w:val="001641"/>
              </w:rPr>
              <w:t>685,385</w:t>
            </w:r>
          </w:p>
        </w:tc>
        <w:tc>
          <w:tcPr>
            <w:tcW w:w="1000" w:type="dxa"/>
            <w:vAlign w:val="bottom"/>
          </w:tcPr>
          <w:p>
            <w:pPr>
              <w:jc w:val="right"/>
              <w:ind w:right="68"/>
              <w:spacing w:after="0"/>
              <w:rPr>
                <w:sz w:val="20"/>
                <w:szCs w:val="20"/>
                <w:color w:val="auto"/>
              </w:rPr>
            </w:pPr>
            <w:r>
              <w:rPr>
                <w:rFonts w:ascii="Arial" w:cs="Arial" w:eastAsia="Arial" w:hAnsi="Arial"/>
                <w:sz w:val="14"/>
                <w:szCs w:val="14"/>
                <w:color w:val="001641"/>
              </w:rPr>
              <w:t>1,160,747</w:t>
            </w:r>
          </w:p>
        </w:tc>
        <w:tc>
          <w:tcPr>
            <w:tcW w:w="1360" w:type="dxa"/>
            <w:vAlign w:val="bottom"/>
          </w:tcPr>
          <w:p>
            <w:pPr>
              <w:jc w:val="right"/>
              <w:ind w:right="128"/>
              <w:spacing w:after="0"/>
              <w:rPr>
                <w:sz w:val="20"/>
                <w:szCs w:val="20"/>
                <w:color w:val="auto"/>
              </w:rPr>
            </w:pPr>
            <w:r>
              <w:rPr>
                <w:rFonts w:ascii="Arial" w:cs="Arial" w:eastAsia="Arial" w:hAnsi="Arial"/>
                <w:sz w:val="14"/>
                <w:szCs w:val="14"/>
                <w:color w:val="001641"/>
              </w:rPr>
              <w:t>1,370,879</w:t>
            </w:r>
          </w:p>
        </w:tc>
        <w:tc>
          <w:tcPr>
            <w:tcW w:w="1360" w:type="dxa"/>
            <w:vAlign w:val="bottom"/>
          </w:tcPr>
          <w:p>
            <w:pPr>
              <w:jc w:val="right"/>
              <w:ind w:right="168"/>
              <w:spacing w:after="0"/>
              <w:rPr>
                <w:sz w:val="20"/>
                <w:szCs w:val="20"/>
                <w:color w:val="auto"/>
              </w:rPr>
            </w:pPr>
            <w:r>
              <w:rPr>
                <w:rFonts w:ascii="Arial" w:cs="Arial" w:eastAsia="Arial" w:hAnsi="Arial"/>
                <w:sz w:val="14"/>
                <w:szCs w:val="14"/>
                <w:color w:val="001641"/>
              </w:rPr>
              <w:t>24,888</w:t>
            </w:r>
          </w:p>
        </w:tc>
        <w:tc>
          <w:tcPr>
            <w:tcW w:w="980" w:type="dxa"/>
            <w:vAlign w:val="bottom"/>
          </w:tcPr>
          <w:p>
            <w:pPr>
              <w:jc w:val="right"/>
              <w:ind w:right="28"/>
              <w:spacing w:after="0"/>
              <w:rPr>
                <w:sz w:val="20"/>
                <w:szCs w:val="20"/>
                <w:color w:val="auto"/>
              </w:rPr>
            </w:pPr>
            <w:r>
              <w:rPr>
                <w:rFonts w:ascii="Arial" w:cs="Arial" w:eastAsia="Arial" w:hAnsi="Arial"/>
                <w:sz w:val="14"/>
                <w:szCs w:val="14"/>
                <w:color w:val="001641"/>
              </w:rPr>
              <w:t>3,241,899</w:t>
            </w:r>
          </w:p>
        </w:tc>
        <w:tc>
          <w:tcPr>
            <w:tcW w:w="0" w:type="dxa"/>
            <w:vAlign w:val="bottom"/>
          </w:tcPr>
          <w:p>
            <w:pPr>
              <w:spacing w:after="0"/>
              <w:rPr>
                <w:sz w:val="1"/>
                <w:szCs w:val="1"/>
                <w:color w:val="auto"/>
              </w:rPr>
            </w:pPr>
          </w:p>
        </w:tc>
      </w:tr>
      <w:tr>
        <w:trPr>
          <w:trHeight w:val="22"/>
        </w:trPr>
        <w:tc>
          <w:tcPr>
            <w:tcW w:w="80" w:type="dxa"/>
            <w:vAlign w:val="bottom"/>
            <w:tcBorders>
              <w:bottom w:val="single" w:sz="8" w:color="BFA071"/>
            </w:tcBorders>
          </w:tcPr>
          <w:p>
            <w:pPr>
              <w:spacing w:after="0" w:line="20" w:lineRule="exact"/>
              <w:rPr>
                <w:sz w:val="1"/>
                <w:szCs w:val="1"/>
                <w:color w:val="auto"/>
              </w:rPr>
            </w:pPr>
          </w:p>
        </w:tc>
        <w:tc>
          <w:tcPr>
            <w:tcW w:w="2780" w:type="dxa"/>
            <w:vAlign w:val="bottom"/>
            <w:tcBorders>
              <w:bottom w:val="single" w:sz="8" w:color="BFA071"/>
            </w:tcBorders>
          </w:tcPr>
          <w:p>
            <w:pPr>
              <w:spacing w:after="0" w:line="20" w:lineRule="exact"/>
              <w:rPr>
                <w:sz w:val="1"/>
                <w:szCs w:val="1"/>
                <w:color w:val="auto"/>
              </w:rPr>
            </w:pPr>
          </w:p>
        </w:tc>
        <w:tc>
          <w:tcPr>
            <w:tcW w:w="70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100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780" w:type="dxa"/>
            <w:vAlign w:val="bottom"/>
            <w:vMerge w:val="restart"/>
          </w:tcPr>
          <w:p>
            <w:pPr>
              <w:ind w:left="40"/>
              <w:spacing w:after="0"/>
              <w:rPr>
                <w:sz w:val="20"/>
                <w:szCs w:val="20"/>
                <w:color w:val="auto"/>
              </w:rPr>
            </w:pPr>
            <w:r>
              <w:rPr>
                <w:rFonts w:ascii="Arial" w:cs="Arial" w:eastAsia="Arial" w:hAnsi="Arial"/>
                <w:sz w:val="14"/>
                <w:szCs w:val="14"/>
                <w:b w:val="1"/>
                <w:bCs w:val="1"/>
                <w:color w:val="001641"/>
              </w:rPr>
              <w:t>Halide Alagoz</w:t>
            </w:r>
          </w:p>
        </w:tc>
        <w:tc>
          <w:tcPr>
            <w:tcW w:w="700" w:type="dxa"/>
            <w:vAlign w:val="bottom"/>
          </w:tcPr>
          <w:p>
            <w:pPr>
              <w:ind w:left="140"/>
              <w:spacing w:after="0"/>
              <w:rPr>
                <w:sz w:val="20"/>
                <w:szCs w:val="20"/>
                <w:color w:val="auto"/>
              </w:rPr>
            </w:pPr>
            <w:r>
              <w:rPr>
                <w:rFonts w:ascii="Arial" w:cs="Arial" w:eastAsia="Arial" w:hAnsi="Arial"/>
                <w:sz w:val="14"/>
                <w:szCs w:val="14"/>
                <w:color w:val="001641"/>
              </w:rPr>
              <w:t>2026</w:t>
            </w:r>
          </w:p>
        </w:tc>
        <w:tc>
          <w:tcPr>
            <w:tcW w:w="920" w:type="dxa"/>
            <w:vAlign w:val="bottom"/>
          </w:tcPr>
          <w:p>
            <w:pPr>
              <w:jc w:val="right"/>
              <w:ind w:right="68"/>
              <w:spacing w:after="0"/>
              <w:rPr>
                <w:sz w:val="20"/>
                <w:szCs w:val="20"/>
                <w:color w:val="auto"/>
              </w:rPr>
            </w:pPr>
            <w:r>
              <w:rPr>
                <w:rFonts w:ascii="Arial" w:cs="Arial" w:eastAsia="Arial" w:hAnsi="Arial"/>
                <w:sz w:val="14"/>
                <w:szCs w:val="14"/>
                <w:color w:val="001641"/>
              </w:rPr>
              <w:t>1,000,000</w:t>
            </w:r>
          </w:p>
        </w:tc>
        <w:tc>
          <w:tcPr>
            <w:tcW w:w="1000" w:type="dxa"/>
            <w:vAlign w:val="bottom"/>
          </w:tcPr>
          <w:p>
            <w:pPr>
              <w:jc w:val="right"/>
              <w:ind w:right="68"/>
              <w:spacing w:after="0"/>
              <w:rPr>
                <w:sz w:val="20"/>
                <w:szCs w:val="20"/>
                <w:color w:val="auto"/>
              </w:rPr>
            </w:pPr>
            <w:r>
              <w:rPr>
                <w:rFonts w:ascii="Arial" w:cs="Arial" w:eastAsia="Arial" w:hAnsi="Arial"/>
                <w:sz w:val="14"/>
                <w:szCs w:val="14"/>
                <w:color w:val="001641"/>
              </w:rPr>
              <w:t>1,958,292</w:t>
            </w:r>
          </w:p>
        </w:tc>
        <w:tc>
          <w:tcPr>
            <w:tcW w:w="1360" w:type="dxa"/>
            <w:vAlign w:val="bottom"/>
          </w:tcPr>
          <w:p>
            <w:pPr>
              <w:jc w:val="right"/>
              <w:ind w:right="128"/>
              <w:spacing w:after="0"/>
              <w:rPr>
                <w:sz w:val="20"/>
                <w:szCs w:val="20"/>
                <w:color w:val="auto"/>
              </w:rPr>
            </w:pPr>
            <w:r>
              <w:rPr>
                <w:rFonts w:ascii="Arial" w:cs="Arial" w:eastAsia="Arial" w:hAnsi="Arial"/>
                <w:sz w:val="14"/>
                <w:szCs w:val="14"/>
                <w:color w:val="001641"/>
              </w:rPr>
              <w:t>2,000,000</w:t>
            </w:r>
          </w:p>
        </w:tc>
        <w:tc>
          <w:tcPr>
            <w:tcW w:w="1360" w:type="dxa"/>
            <w:vAlign w:val="bottom"/>
          </w:tcPr>
          <w:p>
            <w:pPr>
              <w:jc w:val="right"/>
              <w:ind w:right="168"/>
              <w:spacing w:after="0"/>
              <w:rPr>
                <w:sz w:val="20"/>
                <w:szCs w:val="20"/>
                <w:color w:val="auto"/>
              </w:rPr>
            </w:pPr>
            <w:r>
              <w:rPr>
                <w:rFonts w:ascii="Arial" w:cs="Arial" w:eastAsia="Arial" w:hAnsi="Arial"/>
                <w:sz w:val="14"/>
                <w:szCs w:val="14"/>
                <w:color w:val="001641"/>
              </w:rPr>
              <w:t>74,313</w:t>
            </w:r>
          </w:p>
        </w:tc>
        <w:tc>
          <w:tcPr>
            <w:tcW w:w="980" w:type="dxa"/>
            <w:vAlign w:val="bottom"/>
          </w:tcPr>
          <w:p>
            <w:pPr>
              <w:jc w:val="right"/>
              <w:ind w:right="28"/>
              <w:spacing w:after="0"/>
              <w:rPr>
                <w:sz w:val="20"/>
                <w:szCs w:val="20"/>
                <w:color w:val="auto"/>
              </w:rPr>
            </w:pPr>
            <w:r>
              <w:rPr>
                <w:rFonts w:ascii="Arial" w:cs="Arial" w:eastAsia="Arial" w:hAnsi="Arial"/>
                <w:sz w:val="14"/>
                <w:szCs w:val="14"/>
                <w:color w:val="001641"/>
              </w:rPr>
              <w:t>5,032,605</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2780" w:type="dxa"/>
            <w:vAlign w:val="bottom"/>
            <w:vMerge w:val="continue"/>
          </w:tcPr>
          <w:p>
            <w:pPr>
              <w:spacing w:after="0" w:line="20" w:lineRule="exact"/>
              <w:rPr>
                <w:sz w:val="1"/>
                <w:szCs w:val="1"/>
                <w:color w:val="auto"/>
              </w:rPr>
            </w:pPr>
          </w:p>
        </w:tc>
        <w:tc>
          <w:tcPr>
            <w:tcW w:w="70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100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2780" w:type="dxa"/>
            <w:vAlign w:val="bottom"/>
            <w:vMerge w:val="continue"/>
          </w:tcPr>
          <w:p>
            <w:pPr>
              <w:spacing w:after="0"/>
              <w:rPr>
                <w:sz w:val="8"/>
                <w:szCs w:val="8"/>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1641"/>
              </w:rPr>
              <w:t>2025</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001641"/>
              </w:rPr>
              <w:t>950,000</w:t>
            </w: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001641"/>
              </w:rPr>
              <w:t>1,450,659</w:t>
            </w:r>
          </w:p>
        </w:tc>
        <w:tc>
          <w:tcPr>
            <w:tcW w:w="1360" w:type="dxa"/>
            <w:vAlign w:val="bottom"/>
            <w:vMerge w:val="restart"/>
          </w:tcPr>
          <w:p>
            <w:pPr>
              <w:jc w:val="right"/>
              <w:ind w:right="128"/>
              <w:spacing w:after="0"/>
              <w:rPr>
                <w:sz w:val="20"/>
                <w:szCs w:val="20"/>
                <w:color w:val="auto"/>
              </w:rPr>
            </w:pPr>
            <w:r>
              <w:rPr>
                <w:rFonts w:ascii="Arial" w:cs="Arial" w:eastAsia="Arial" w:hAnsi="Arial"/>
                <w:sz w:val="14"/>
                <w:szCs w:val="14"/>
                <w:color w:val="001641"/>
              </w:rPr>
              <w:t>1,900,000</w:t>
            </w:r>
          </w:p>
        </w:tc>
        <w:tc>
          <w:tcPr>
            <w:tcW w:w="1360" w:type="dxa"/>
            <w:vAlign w:val="bottom"/>
            <w:vMerge w:val="restart"/>
          </w:tcPr>
          <w:p>
            <w:pPr>
              <w:jc w:val="right"/>
              <w:ind w:right="168"/>
              <w:spacing w:after="0"/>
              <w:rPr>
                <w:sz w:val="20"/>
                <w:szCs w:val="20"/>
                <w:color w:val="auto"/>
              </w:rPr>
            </w:pPr>
            <w:r>
              <w:rPr>
                <w:rFonts w:ascii="Arial" w:cs="Arial" w:eastAsia="Arial" w:hAnsi="Arial"/>
                <w:sz w:val="14"/>
                <w:szCs w:val="14"/>
                <w:color w:val="001641"/>
              </w:rPr>
              <w:t>68,350</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001641"/>
              </w:rPr>
              <w:t>4,369,009</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2780" w:type="dxa"/>
            <w:vAlign w:val="bottom"/>
            <w:vMerge w:val="restart"/>
          </w:tcPr>
          <w:p>
            <w:pPr>
              <w:ind w:left="40"/>
              <w:spacing w:after="0" w:line="125" w:lineRule="exact"/>
              <w:rPr>
                <w:sz w:val="20"/>
                <w:szCs w:val="20"/>
                <w:color w:val="auto"/>
              </w:rPr>
            </w:pPr>
            <w:r>
              <w:rPr>
                <w:rFonts w:ascii="Arial" w:cs="Arial" w:eastAsia="Arial" w:hAnsi="Arial"/>
                <w:sz w:val="14"/>
                <w:szCs w:val="14"/>
                <w:color w:val="001641"/>
              </w:rPr>
              <w:t>Chief Product &amp; Merchandising Officer</w:t>
            </w:r>
          </w:p>
        </w:tc>
        <w:tc>
          <w:tcPr>
            <w:tcW w:w="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2780" w:type="dxa"/>
            <w:vAlign w:val="bottom"/>
            <w:vMerge w:val="continue"/>
          </w:tcPr>
          <w:p>
            <w:pPr>
              <w:spacing w:after="0" w:line="20" w:lineRule="exact"/>
              <w:rPr>
                <w:sz w:val="1"/>
                <w:szCs w:val="1"/>
                <w:color w:val="auto"/>
              </w:rPr>
            </w:pPr>
          </w:p>
        </w:tc>
        <w:tc>
          <w:tcPr>
            <w:tcW w:w="70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100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00" w:type="dxa"/>
            <w:vAlign w:val="bottom"/>
          </w:tcPr>
          <w:p>
            <w:pPr>
              <w:ind w:left="140"/>
              <w:spacing w:after="0"/>
              <w:rPr>
                <w:sz w:val="20"/>
                <w:szCs w:val="20"/>
                <w:color w:val="auto"/>
              </w:rPr>
            </w:pPr>
            <w:r>
              <w:rPr>
                <w:rFonts w:ascii="Arial" w:cs="Arial" w:eastAsia="Arial" w:hAnsi="Arial"/>
                <w:sz w:val="14"/>
                <w:szCs w:val="14"/>
                <w:color w:val="001641"/>
              </w:rPr>
              <w:t>2024</w:t>
            </w:r>
          </w:p>
        </w:tc>
        <w:tc>
          <w:tcPr>
            <w:tcW w:w="920" w:type="dxa"/>
            <w:vAlign w:val="bottom"/>
          </w:tcPr>
          <w:p>
            <w:pPr>
              <w:jc w:val="right"/>
              <w:ind w:right="68"/>
              <w:spacing w:after="0"/>
              <w:rPr>
                <w:sz w:val="20"/>
                <w:szCs w:val="20"/>
                <w:color w:val="auto"/>
              </w:rPr>
            </w:pPr>
            <w:r>
              <w:rPr>
                <w:rFonts w:ascii="Arial" w:cs="Arial" w:eastAsia="Arial" w:hAnsi="Arial"/>
                <w:sz w:val="14"/>
                <w:szCs w:val="14"/>
                <w:color w:val="001641"/>
              </w:rPr>
              <w:t>950,000</w:t>
            </w:r>
          </w:p>
        </w:tc>
        <w:tc>
          <w:tcPr>
            <w:tcW w:w="1000" w:type="dxa"/>
            <w:vAlign w:val="bottom"/>
          </w:tcPr>
          <w:p>
            <w:pPr>
              <w:jc w:val="right"/>
              <w:ind w:right="68"/>
              <w:spacing w:after="0"/>
              <w:rPr>
                <w:sz w:val="20"/>
                <w:szCs w:val="20"/>
                <w:color w:val="auto"/>
              </w:rPr>
            </w:pPr>
            <w:r>
              <w:rPr>
                <w:rFonts w:ascii="Arial" w:cs="Arial" w:eastAsia="Arial" w:hAnsi="Arial"/>
                <w:sz w:val="14"/>
                <w:szCs w:val="14"/>
                <w:color w:val="001641"/>
              </w:rPr>
              <w:t>1,151,535</w:t>
            </w:r>
          </w:p>
        </w:tc>
        <w:tc>
          <w:tcPr>
            <w:tcW w:w="1360" w:type="dxa"/>
            <w:vAlign w:val="bottom"/>
          </w:tcPr>
          <w:p>
            <w:pPr>
              <w:jc w:val="right"/>
              <w:ind w:right="128"/>
              <w:spacing w:after="0"/>
              <w:rPr>
                <w:sz w:val="20"/>
                <w:szCs w:val="20"/>
                <w:color w:val="auto"/>
              </w:rPr>
            </w:pPr>
            <w:r>
              <w:rPr>
                <w:rFonts w:ascii="Arial" w:cs="Arial" w:eastAsia="Arial" w:hAnsi="Arial"/>
                <w:sz w:val="14"/>
                <w:szCs w:val="14"/>
                <w:color w:val="001641"/>
              </w:rPr>
              <w:t>1,064,000</w:t>
            </w:r>
          </w:p>
        </w:tc>
        <w:tc>
          <w:tcPr>
            <w:tcW w:w="1360" w:type="dxa"/>
            <w:vAlign w:val="bottom"/>
          </w:tcPr>
          <w:p>
            <w:pPr>
              <w:jc w:val="right"/>
              <w:ind w:right="168"/>
              <w:spacing w:after="0"/>
              <w:rPr>
                <w:sz w:val="20"/>
                <w:szCs w:val="20"/>
                <w:color w:val="auto"/>
              </w:rPr>
            </w:pPr>
            <w:r>
              <w:rPr>
                <w:rFonts w:ascii="Arial" w:cs="Arial" w:eastAsia="Arial" w:hAnsi="Arial"/>
                <w:sz w:val="14"/>
                <w:szCs w:val="14"/>
                <w:color w:val="001641"/>
              </w:rPr>
              <w:t>65,558</w:t>
            </w:r>
          </w:p>
        </w:tc>
        <w:tc>
          <w:tcPr>
            <w:tcW w:w="980" w:type="dxa"/>
            <w:vAlign w:val="bottom"/>
          </w:tcPr>
          <w:p>
            <w:pPr>
              <w:jc w:val="right"/>
              <w:ind w:right="28"/>
              <w:spacing w:after="0"/>
              <w:rPr>
                <w:sz w:val="20"/>
                <w:szCs w:val="20"/>
                <w:color w:val="auto"/>
              </w:rPr>
            </w:pPr>
            <w:r>
              <w:rPr>
                <w:rFonts w:ascii="Arial" w:cs="Arial" w:eastAsia="Arial" w:hAnsi="Arial"/>
                <w:sz w:val="14"/>
                <w:szCs w:val="14"/>
                <w:color w:val="001641"/>
              </w:rPr>
              <w:t>3,231,093</w:t>
            </w:r>
          </w:p>
        </w:tc>
        <w:tc>
          <w:tcPr>
            <w:tcW w:w="0" w:type="dxa"/>
            <w:vAlign w:val="bottom"/>
          </w:tcPr>
          <w:p>
            <w:pPr>
              <w:spacing w:after="0"/>
              <w:rPr>
                <w:sz w:val="1"/>
                <w:szCs w:val="1"/>
                <w:color w:val="auto"/>
              </w:rPr>
            </w:pPr>
          </w:p>
        </w:tc>
      </w:tr>
      <w:tr>
        <w:trPr>
          <w:trHeight w:val="22"/>
        </w:trPr>
        <w:tc>
          <w:tcPr>
            <w:tcW w:w="80" w:type="dxa"/>
            <w:vAlign w:val="bottom"/>
            <w:tcBorders>
              <w:bottom w:val="single" w:sz="8" w:color="BFA071"/>
            </w:tcBorders>
          </w:tcPr>
          <w:p>
            <w:pPr>
              <w:spacing w:after="0" w:line="20" w:lineRule="exact"/>
              <w:rPr>
                <w:sz w:val="1"/>
                <w:szCs w:val="1"/>
                <w:color w:val="auto"/>
              </w:rPr>
            </w:pPr>
          </w:p>
        </w:tc>
        <w:tc>
          <w:tcPr>
            <w:tcW w:w="2780" w:type="dxa"/>
            <w:vAlign w:val="bottom"/>
            <w:tcBorders>
              <w:bottom w:val="single" w:sz="8" w:color="BFA071"/>
            </w:tcBorders>
          </w:tcPr>
          <w:p>
            <w:pPr>
              <w:spacing w:after="0" w:line="20" w:lineRule="exact"/>
              <w:rPr>
                <w:sz w:val="1"/>
                <w:szCs w:val="1"/>
                <w:color w:val="auto"/>
              </w:rPr>
            </w:pPr>
          </w:p>
        </w:tc>
        <w:tc>
          <w:tcPr>
            <w:tcW w:w="70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100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780" w:type="dxa"/>
            <w:vAlign w:val="bottom"/>
            <w:vMerge w:val="restart"/>
          </w:tcPr>
          <w:p>
            <w:pPr>
              <w:ind w:left="40"/>
              <w:spacing w:after="0"/>
              <w:rPr>
                <w:sz w:val="20"/>
                <w:szCs w:val="20"/>
                <w:color w:val="auto"/>
              </w:rPr>
            </w:pPr>
            <w:r>
              <w:rPr>
                <w:rFonts w:ascii="Arial" w:cs="Arial" w:eastAsia="Arial" w:hAnsi="Arial"/>
                <w:sz w:val="14"/>
                <w:szCs w:val="14"/>
                <w:b w:val="1"/>
                <w:bCs w:val="1"/>
                <w:color w:val="001641"/>
              </w:rPr>
              <w:t>David Lauren</w:t>
            </w:r>
          </w:p>
        </w:tc>
        <w:tc>
          <w:tcPr>
            <w:tcW w:w="700" w:type="dxa"/>
            <w:vAlign w:val="bottom"/>
          </w:tcPr>
          <w:p>
            <w:pPr>
              <w:ind w:left="140"/>
              <w:spacing w:after="0"/>
              <w:rPr>
                <w:sz w:val="20"/>
                <w:szCs w:val="20"/>
                <w:color w:val="auto"/>
              </w:rPr>
            </w:pPr>
            <w:r>
              <w:rPr>
                <w:rFonts w:ascii="Arial" w:cs="Arial" w:eastAsia="Arial" w:hAnsi="Arial"/>
                <w:sz w:val="14"/>
                <w:szCs w:val="14"/>
                <w:color w:val="001641"/>
              </w:rPr>
              <w:t>2026</w:t>
            </w:r>
          </w:p>
        </w:tc>
        <w:tc>
          <w:tcPr>
            <w:tcW w:w="920" w:type="dxa"/>
            <w:vAlign w:val="bottom"/>
          </w:tcPr>
          <w:p>
            <w:pPr>
              <w:jc w:val="right"/>
              <w:ind w:right="68"/>
              <w:spacing w:after="0"/>
              <w:rPr>
                <w:sz w:val="20"/>
                <w:szCs w:val="20"/>
                <w:color w:val="auto"/>
              </w:rPr>
            </w:pPr>
            <w:r>
              <w:rPr>
                <w:rFonts w:ascii="Arial" w:cs="Arial" w:eastAsia="Arial" w:hAnsi="Arial"/>
                <w:sz w:val="14"/>
                <w:szCs w:val="14"/>
                <w:color w:val="001641"/>
              </w:rPr>
              <w:t>987,500</w:t>
            </w:r>
          </w:p>
        </w:tc>
        <w:tc>
          <w:tcPr>
            <w:tcW w:w="1000" w:type="dxa"/>
            <w:vAlign w:val="bottom"/>
          </w:tcPr>
          <w:p>
            <w:pPr>
              <w:jc w:val="right"/>
              <w:ind w:right="68"/>
              <w:spacing w:after="0"/>
              <w:rPr>
                <w:sz w:val="20"/>
                <w:szCs w:val="20"/>
                <w:color w:val="auto"/>
              </w:rPr>
            </w:pPr>
            <w:r>
              <w:rPr>
                <w:rFonts w:ascii="Arial" w:cs="Arial" w:eastAsia="Arial" w:hAnsi="Arial"/>
                <w:sz w:val="14"/>
                <w:szCs w:val="14"/>
                <w:color w:val="001641"/>
              </w:rPr>
              <w:t>1,174,979</w:t>
            </w:r>
          </w:p>
        </w:tc>
        <w:tc>
          <w:tcPr>
            <w:tcW w:w="1360" w:type="dxa"/>
            <w:vAlign w:val="bottom"/>
          </w:tcPr>
          <w:p>
            <w:pPr>
              <w:jc w:val="right"/>
              <w:ind w:right="128"/>
              <w:spacing w:after="0"/>
              <w:rPr>
                <w:sz w:val="20"/>
                <w:szCs w:val="20"/>
                <w:color w:val="auto"/>
              </w:rPr>
            </w:pPr>
            <w:r>
              <w:rPr>
                <w:rFonts w:ascii="Arial" w:cs="Arial" w:eastAsia="Arial" w:hAnsi="Arial"/>
                <w:sz w:val="14"/>
                <w:szCs w:val="14"/>
                <w:color w:val="001641"/>
              </w:rPr>
              <w:t>1,975,000</w:t>
            </w:r>
          </w:p>
        </w:tc>
        <w:tc>
          <w:tcPr>
            <w:tcW w:w="1360" w:type="dxa"/>
            <w:vAlign w:val="bottom"/>
          </w:tcPr>
          <w:p>
            <w:pPr>
              <w:jc w:val="right"/>
              <w:ind w:right="168"/>
              <w:spacing w:after="0"/>
              <w:rPr>
                <w:sz w:val="20"/>
                <w:szCs w:val="20"/>
                <w:color w:val="auto"/>
              </w:rPr>
            </w:pPr>
            <w:r>
              <w:rPr>
                <w:rFonts w:ascii="Arial" w:cs="Arial" w:eastAsia="Arial" w:hAnsi="Arial"/>
                <w:sz w:val="14"/>
                <w:szCs w:val="14"/>
                <w:color w:val="001641"/>
              </w:rPr>
              <w:t>28,846</w:t>
            </w:r>
          </w:p>
        </w:tc>
        <w:tc>
          <w:tcPr>
            <w:tcW w:w="980" w:type="dxa"/>
            <w:vAlign w:val="bottom"/>
          </w:tcPr>
          <w:p>
            <w:pPr>
              <w:jc w:val="right"/>
              <w:ind w:right="28"/>
              <w:spacing w:after="0"/>
              <w:rPr>
                <w:sz w:val="20"/>
                <w:szCs w:val="20"/>
                <w:color w:val="auto"/>
              </w:rPr>
            </w:pPr>
            <w:r>
              <w:rPr>
                <w:rFonts w:ascii="Arial" w:cs="Arial" w:eastAsia="Arial" w:hAnsi="Arial"/>
                <w:sz w:val="14"/>
                <w:szCs w:val="14"/>
                <w:color w:val="001641"/>
              </w:rPr>
              <w:t>4,166,325</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2780" w:type="dxa"/>
            <w:vAlign w:val="bottom"/>
            <w:vMerge w:val="continue"/>
          </w:tcPr>
          <w:p>
            <w:pPr>
              <w:spacing w:after="0" w:line="20" w:lineRule="exact"/>
              <w:rPr>
                <w:sz w:val="1"/>
                <w:szCs w:val="1"/>
                <w:color w:val="auto"/>
              </w:rPr>
            </w:pPr>
          </w:p>
        </w:tc>
        <w:tc>
          <w:tcPr>
            <w:tcW w:w="70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100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2780" w:type="dxa"/>
            <w:vAlign w:val="bottom"/>
            <w:vMerge w:val="continue"/>
          </w:tcPr>
          <w:p>
            <w:pPr>
              <w:spacing w:after="0"/>
              <w:rPr>
                <w:sz w:val="8"/>
                <w:szCs w:val="8"/>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1641"/>
              </w:rPr>
              <w:t>2025</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001641"/>
              </w:rPr>
              <w:t>950,000</w:t>
            </w: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001641"/>
              </w:rPr>
              <w:t>967,265</w:t>
            </w:r>
          </w:p>
        </w:tc>
        <w:tc>
          <w:tcPr>
            <w:tcW w:w="1360" w:type="dxa"/>
            <w:vAlign w:val="bottom"/>
            <w:vMerge w:val="restart"/>
          </w:tcPr>
          <w:p>
            <w:pPr>
              <w:jc w:val="right"/>
              <w:ind w:right="128"/>
              <w:spacing w:after="0"/>
              <w:rPr>
                <w:sz w:val="20"/>
                <w:szCs w:val="20"/>
                <w:color w:val="auto"/>
              </w:rPr>
            </w:pPr>
            <w:r>
              <w:rPr>
                <w:rFonts w:ascii="Arial" w:cs="Arial" w:eastAsia="Arial" w:hAnsi="Arial"/>
                <w:sz w:val="14"/>
                <w:szCs w:val="14"/>
                <w:color w:val="001641"/>
              </w:rPr>
              <w:t>1,900,000</w:t>
            </w:r>
          </w:p>
        </w:tc>
        <w:tc>
          <w:tcPr>
            <w:tcW w:w="1360" w:type="dxa"/>
            <w:vAlign w:val="bottom"/>
            <w:vMerge w:val="restart"/>
          </w:tcPr>
          <w:p>
            <w:pPr>
              <w:jc w:val="right"/>
              <w:ind w:right="168"/>
              <w:spacing w:after="0"/>
              <w:rPr>
                <w:sz w:val="20"/>
                <w:szCs w:val="20"/>
                <w:color w:val="auto"/>
              </w:rPr>
            </w:pPr>
            <w:r>
              <w:rPr>
                <w:rFonts w:ascii="Arial" w:cs="Arial" w:eastAsia="Arial" w:hAnsi="Arial"/>
                <w:sz w:val="14"/>
                <w:szCs w:val="14"/>
                <w:color w:val="001641"/>
              </w:rPr>
              <w:t>28,350</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001641"/>
              </w:rPr>
              <w:t>3,845,615</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2780" w:type="dxa"/>
            <w:vAlign w:val="bottom"/>
            <w:vMerge w:val="restart"/>
          </w:tcPr>
          <w:p>
            <w:pPr>
              <w:ind w:left="40"/>
              <w:spacing w:after="0" w:line="125" w:lineRule="exact"/>
              <w:rPr>
                <w:sz w:val="20"/>
                <w:szCs w:val="20"/>
                <w:color w:val="auto"/>
              </w:rPr>
            </w:pPr>
            <w:r>
              <w:rPr>
                <w:rFonts w:ascii="Arial" w:cs="Arial" w:eastAsia="Arial" w:hAnsi="Arial"/>
                <w:sz w:val="14"/>
                <w:szCs w:val="14"/>
                <w:color w:val="001641"/>
              </w:rPr>
              <w:t>Chief Branding and Innovation Officer</w:t>
            </w:r>
          </w:p>
        </w:tc>
        <w:tc>
          <w:tcPr>
            <w:tcW w:w="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2780" w:type="dxa"/>
            <w:vAlign w:val="bottom"/>
            <w:vMerge w:val="continue"/>
          </w:tcPr>
          <w:p>
            <w:pPr>
              <w:spacing w:after="0" w:line="20" w:lineRule="exact"/>
              <w:rPr>
                <w:sz w:val="1"/>
                <w:szCs w:val="1"/>
                <w:color w:val="auto"/>
              </w:rPr>
            </w:pPr>
          </w:p>
        </w:tc>
        <w:tc>
          <w:tcPr>
            <w:tcW w:w="70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100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13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80" w:type="dxa"/>
            <w:vAlign w:val="bottom"/>
            <w:tcBorders>
              <w:bottom w:val="single" w:sz="8" w:color="001641"/>
            </w:tcBorders>
          </w:tcPr>
          <w:p>
            <w:pPr>
              <w:spacing w:after="0"/>
              <w:rPr>
                <w:sz w:val="17"/>
                <w:szCs w:val="17"/>
                <w:color w:val="auto"/>
              </w:rPr>
            </w:pPr>
          </w:p>
        </w:tc>
        <w:tc>
          <w:tcPr>
            <w:tcW w:w="2780" w:type="dxa"/>
            <w:vAlign w:val="bottom"/>
            <w:tcBorders>
              <w:bottom w:val="single" w:sz="8" w:color="001641"/>
            </w:tcBorders>
          </w:tcPr>
          <w:p>
            <w:pPr>
              <w:spacing w:after="0"/>
              <w:rPr>
                <w:sz w:val="17"/>
                <w:szCs w:val="17"/>
                <w:color w:val="auto"/>
              </w:rPr>
            </w:pPr>
          </w:p>
        </w:tc>
        <w:tc>
          <w:tcPr>
            <w:tcW w:w="700" w:type="dxa"/>
            <w:vAlign w:val="bottom"/>
            <w:tcBorders>
              <w:bottom w:val="single" w:sz="8" w:color="001641"/>
            </w:tcBorders>
          </w:tcPr>
          <w:p>
            <w:pPr>
              <w:ind w:left="140"/>
              <w:spacing w:after="0"/>
              <w:rPr>
                <w:sz w:val="20"/>
                <w:szCs w:val="20"/>
                <w:color w:val="auto"/>
              </w:rPr>
            </w:pPr>
            <w:r>
              <w:rPr>
                <w:rFonts w:ascii="Arial" w:cs="Arial" w:eastAsia="Arial" w:hAnsi="Arial"/>
                <w:sz w:val="14"/>
                <w:szCs w:val="14"/>
                <w:color w:val="001641"/>
              </w:rPr>
              <w:t>2024</w:t>
            </w:r>
          </w:p>
        </w:tc>
        <w:tc>
          <w:tcPr>
            <w:tcW w:w="920" w:type="dxa"/>
            <w:vAlign w:val="bottom"/>
            <w:tcBorders>
              <w:bottom w:val="single" w:sz="8" w:color="001641"/>
            </w:tcBorders>
          </w:tcPr>
          <w:p>
            <w:pPr>
              <w:jc w:val="right"/>
              <w:ind w:right="68"/>
              <w:spacing w:after="0"/>
              <w:rPr>
                <w:sz w:val="20"/>
                <w:szCs w:val="20"/>
                <w:color w:val="auto"/>
              </w:rPr>
            </w:pPr>
            <w:r>
              <w:rPr>
                <w:rFonts w:ascii="Arial" w:cs="Arial" w:eastAsia="Arial" w:hAnsi="Arial"/>
                <w:sz w:val="14"/>
                <w:szCs w:val="14"/>
                <w:color w:val="001641"/>
              </w:rPr>
              <w:t>950,000</w:t>
            </w:r>
          </w:p>
        </w:tc>
        <w:tc>
          <w:tcPr>
            <w:tcW w:w="1000" w:type="dxa"/>
            <w:vAlign w:val="bottom"/>
            <w:tcBorders>
              <w:bottom w:val="single" w:sz="8" w:color="001641"/>
            </w:tcBorders>
          </w:tcPr>
          <w:p>
            <w:pPr>
              <w:jc w:val="right"/>
              <w:ind w:right="68"/>
              <w:spacing w:after="0"/>
              <w:rPr>
                <w:sz w:val="20"/>
                <w:szCs w:val="20"/>
                <w:color w:val="auto"/>
              </w:rPr>
            </w:pPr>
            <w:r>
              <w:rPr>
                <w:rFonts w:ascii="Arial" w:cs="Arial" w:eastAsia="Arial" w:hAnsi="Arial"/>
                <w:sz w:val="14"/>
                <w:szCs w:val="14"/>
                <w:color w:val="001641"/>
              </w:rPr>
              <w:t>959,595</w:t>
            </w:r>
          </w:p>
        </w:tc>
        <w:tc>
          <w:tcPr>
            <w:tcW w:w="1360" w:type="dxa"/>
            <w:vAlign w:val="bottom"/>
            <w:tcBorders>
              <w:bottom w:val="single" w:sz="8" w:color="001641"/>
            </w:tcBorders>
          </w:tcPr>
          <w:p>
            <w:pPr>
              <w:jc w:val="right"/>
              <w:ind w:right="128"/>
              <w:spacing w:after="0"/>
              <w:rPr>
                <w:sz w:val="20"/>
                <w:szCs w:val="20"/>
                <w:color w:val="auto"/>
              </w:rPr>
            </w:pPr>
            <w:r>
              <w:rPr>
                <w:rFonts w:ascii="Arial" w:cs="Arial" w:eastAsia="Arial" w:hAnsi="Arial"/>
                <w:sz w:val="14"/>
                <w:szCs w:val="14"/>
                <w:color w:val="001641"/>
              </w:rPr>
              <w:t>973,385</w:t>
            </w:r>
          </w:p>
        </w:tc>
        <w:tc>
          <w:tcPr>
            <w:tcW w:w="1360" w:type="dxa"/>
            <w:vAlign w:val="bottom"/>
            <w:tcBorders>
              <w:bottom w:val="single" w:sz="8" w:color="001641"/>
            </w:tcBorders>
          </w:tcPr>
          <w:p>
            <w:pPr>
              <w:jc w:val="right"/>
              <w:ind w:right="168"/>
              <w:spacing w:after="0"/>
              <w:rPr>
                <w:sz w:val="20"/>
                <w:szCs w:val="20"/>
                <w:color w:val="auto"/>
              </w:rPr>
            </w:pPr>
            <w:r>
              <w:rPr>
                <w:rFonts w:ascii="Arial" w:cs="Arial" w:eastAsia="Arial" w:hAnsi="Arial"/>
                <w:sz w:val="14"/>
                <w:szCs w:val="14"/>
                <w:color w:val="001641"/>
              </w:rPr>
              <w:t>27,900</w:t>
            </w:r>
          </w:p>
        </w:tc>
        <w:tc>
          <w:tcPr>
            <w:tcW w:w="980" w:type="dxa"/>
            <w:vAlign w:val="bottom"/>
            <w:tcBorders>
              <w:bottom w:val="single" w:sz="8" w:color="001641"/>
            </w:tcBorders>
          </w:tcPr>
          <w:p>
            <w:pPr>
              <w:jc w:val="right"/>
              <w:ind w:right="28"/>
              <w:spacing w:after="0"/>
              <w:rPr>
                <w:sz w:val="20"/>
                <w:szCs w:val="20"/>
                <w:color w:val="auto"/>
              </w:rPr>
            </w:pPr>
            <w:r>
              <w:rPr>
                <w:rFonts w:ascii="Arial" w:cs="Arial" w:eastAsia="Arial" w:hAnsi="Arial"/>
                <w:sz w:val="14"/>
                <w:szCs w:val="14"/>
                <w:color w:val="001641"/>
              </w:rPr>
              <w:t>2,910,879</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46" w:right="100" w:hanging="246"/>
        <w:spacing w:after="0" w:line="263" w:lineRule="auto"/>
        <w:tabs>
          <w:tab w:leader="none" w:pos="246" w:val="left"/>
        </w:tabs>
        <w:numPr>
          <w:ilvl w:val="0"/>
          <w:numId w:val="72"/>
        </w:numPr>
        <w:rPr>
          <w:rFonts w:ascii="Arial" w:cs="Arial" w:eastAsia="Arial" w:hAnsi="Arial"/>
          <w:sz w:val="14"/>
          <w:szCs w:val="14"/>
          <w:color w:val="4C4C4C"/>
        </w:rPr>
      </w:pPr>
      <w:r>
        <w:rPr>
          <w:rFonts w:ascii="Arial" w:cs="Arial" w:eastAsia="Arial" w:hAnsi="Arial"/>
          <w:sz w:val="14"/>
          <w:szCs w:val="14"/>
          <w:color w:val="4C4C4C"/>
        </w:rPr>
        <w:t>The amounts reported in this column represent base salaries paid to each of the NEOs for the applicable fiscal year as provided for in each of their respective employment agreements or compensation arrangements. See “Executive Employment Agreements and Compensatory Arrangements.” Each of Fiscal 2026, Fiscal 2025 and Fiscal 2024 was a 52-week period.</w:t>
      </w:r>
    </w:p>
    <w:p>
      <w:pPr>
        <w:spacing w:after="0" w:line="10" w:lineRule="exact"/>
        <w:rPr>
          <w:rFonts w:ascii="Arial" w:cs="Arial" w:eastAsia="Arial" w:hAnsi="Arial"/>
          <w:sz w:val="14"/>
          <w:szCs w:val="14"/>
          <w:color w:val="4C4C4C"/>
        </w:rPr>
      </w:pPr>
    </w:p>
    <w:p>
      <w:pPr>
        <w:ind w:left="246" w:right="40" w:hanging="246"/>
        <w:spacing w:after="0" w:line="246" w:lineRule="auto"/>
        <w:tabs>
          <w:tab w:leader="none" w:pos="246" w:val="left"/>
        </w:tabs>
        <w:numPr>
          <w:ilvl w:val="0"/>
          <w:numId w:val="72"/>
        </w:numPr>
        <w:rPr>
          <w:rFonts w:ascii="Arial" w:cs="Arial" w:eastAsia="Arial" w:hAnsi="Arial"/>
          <w:sz w:val="14"/>
          <w:szCs w:val="14"/>
          <w:color w:val="4C4C4C"/>
        </w:rPr>
      </w:pPr>
      <w:r>
        <w:rPr>
          <w:rFonts w:ascii="Arial" w:cs="Arial" w:eastAsia="Arial" w:hAnsi="Arial"/>
          <w:sz w:val="14"/>
          <w:szCs w:val="14"/>
          <w:color w:val="4C4C4C"/>
        </w:rPr>
        <w:t>The stock-based compensation amounts shown in this column reflect the aggregate grant date fair value, assuming no risk of forfeiture, of RSU and PSU awards granted during Fiscal 2026, Fiscal 2025 and Fiscal 2024, calculated in accordance with Accounting Standards Codification topic 718, “Stock Compensation” (“ASC 718”). The assumptions used in calculating these amounts are set forth in Note 18 to our Audited Consolidated Financial Statements included in our Annual Report on Form 10-K for Fiscal 2026. We determine the fair value of RSU and PSU-Adjusted ROIC awards using the average of the high and low stock prices on the date of grant, as adjusted to reflect the absence of dividends for those awards that are not entitled to dividend equivalents. We determine the fair value of PSU-Relative TSR award using a Monte Carlo simulation, which models multiple stock price paths of the Company’s Class A common stock and that of its comparator group to evaluate and determine its ultimate expected relative TSR performance ranking. For all PSUs, the amounts shown in the table reflect the aggregate grant date fair value at the Target achievement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582930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262890</wp:posOffset>
            </wp:positionV>
            <wp:extent cx="128905" cy="11112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98" w:lineRule="exact"/>
        <w:rPr>
          <w:sz w:val="20"/>
          <w:szCs w:val="20"/>
          <w:color w:val="auto"/>
        </w:rPr>
      </w:pPr>
    </w:p>
    <w:p>
      <w:pPr>
        <w:ind w:left="6546"/>
        <w:spacing w:after="0"/>
        <w:tabs>
          <w:tab w:leader="none" w:pos="9006"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96" w:name="page97"/>
    <w:bookmarkEnd w:id="9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left="366" w:right="20"/>
        <w:spacing w:after="0" w:line="286" w:lineRule="auto"/>
        <w:rPr>
          <w:sz w:val="20"/>
          <w:szCs w:val="20"/>
          <w:color w:val="auto"/>
        </w:rPr>
      </w:pPr>
      <w:r>
        <w:rPr>
          <w:rFonts w:ascii="Arial" w:cs="Arial" w:eastAsia="Arial" w:hAnsi="Arial"/>
          <w:sz w:val="16"/>
          <w:szCs w:val="16"/>
          <w:color w:val="auto"/>
        </w:rPr>
        <w:t>RSUs can only be paid out at Target. If Performance were assumed to be achieved at the Maximum level for PSUs granted in Fiscal 2026, Fiscal 2025, and Fiscal 2024 the aggregate grant date fair values would increase as follows:</w:t>
      </w:r>
    </w:p>
    <w:p>
      <w:pPr>
        <w:spacing w:after="0" w:line="21" w:lineRule="exact"/>
        <w:rPr>
          <w:sz w:val="20"/>
          <w:szCs w:val="20"/>
          <w:color w:val="auto"/>
        </w:rPr>
      </w:pPr>
    </w:p>
    <w:tbl>
      <w:tblPr>
        <w:tblLayout w:type="fixed"/>
        <w:tblInd w:w="326" w:type="dxa"/>
        <w:tblCellMar>
          <w:top w:w="0" w:type="dxa"/>
          <w:left w:w="0" w:type="dxa"/>
          <w:bottom w:w="0" w:type="dxa"/>
          <w:right w:w="0" w:type="dxa"/>
        </w:tblCellMar>
      </w:tblPr>
      <w:tr>
        <w:trPr>
          <w:trHeight w:val="295"/>
        </w:trPr>
        <w:tc>
          <w:tcPr>
            <w:tcW w:w="1800" w:type="dxa"/>
            <w:vAlign w:val="bottom"/>
            <w:shd w:val="clear" w:color="auto" w:fill="001641"/>
          </w:tcPr>
          <w:p>
            <w:pPr>
              <w:spacing w:after="0"/>
              <w:rPr>
                <w:sz w:val="24"/>
                <w:szCs w:val="24"/>
                <w:color w:val="auto"/>
              </w:rPr>
            </w:pPr>
          </w:p>
        </w:tc>
        <w:tc>
          <w:tcPr>
            <w:tcW w:w="2320" w:type="dxa"/>
            <w:vAlign w:val="bottom"/>
            <w:gridSpan w:val="2"/>
            <w:shd w:val="clear" w:color="auto" w:fill="001641"/>
          </w:tcPr>
          <w:p>
            <w:pPr>
              <w:jc w:val="right"/>
              <w:ind w:right="688"/>
              <w:spacing w:after="0"/>
              <w:rPr>
                <w:sz w:val="20"/>
                <w:szCs w:val="20"/>
                <w:color w:val="auto"/>
              </w:rPr>
            </w:pPr>
            <w:r>
              <w:rPr>
                <w:rFonts w:ascii="Arial" w:cs="Arial" w:eastAsia="Arial" w:hAnsi="Arial"/>
                <w:sz w:val="14"/>
                <w:szCs w:val="14"/>
                <w:b w:val="1"/>
                <w:bCs w:val="1"/>
                <w:color w:val="FFFFFF"/>
              </w:rPr>
              <w:t>Fiscal 2026</w:t>
            </w:r>
          </w:p>
        </w:tc>
        <w:tc>
          <w:tcPr>
            <w:tcW w:w="2380" w:type="dxa"/>
            <w:vAlign w:val="bottom"/>
            <w:gridSpan w:val="2"/>
            <w:shd w:val="clear" w:color="auto" w:fill="001641"/>
          </w:tcPr>
          <w:p>
            <w:pPr>
              <w:jc w:val="right"/>
              <w:ind w:right="708"/>
              <w:spacing w:after="0"/>
              <w:rPr>
                <w:sz w:val="20"/>
                <w:szCs w:val="20"/>
                <w:color w:val="auto"/>
              </w:rPr>
            </w:pPr>
            <w:r>
              <w:rPr>
                <w:rFonts w:ascii="Arial" w:cs="Arial" w:eastAsia="Arial" w:hAnsi="Arial"/>
                <w:sz w:val="14"/>
                <w:szCs w:val="14"/>
                <w:b w:val="1"/>
                <w:bCs w:val="1"/>
                <w:color w:val="FFFFFF"/>
              </w:rPr>
              <w:t>Fiscal 2025</w:t>
            </w:r>
          </w:p>
        </w:tc>
        <w:tc>
          <w:tcPr>
            <w:tcW w:w="2360" w:type="dxa"/>
            <w:vAlign w:val="bottom"/>
            <w:gridSpan w:val="2"/>
            <w:shd w:val="clear" w:color="auto" w:fill="001641"/>
          </w:tcPr>
          <w:p>
            <w:pPr>
              <w:ind w:left="800"/>
              <w:spacing w:after="0"/>
              <w:rPr>
                <w:sz w:val="20"/>
                <w:szCs w:val="20"/>
                <w:color w:val="auto"/>
              </w:rPr>
            </w:pPr>
            <w:r>
              <w:rPr>
                <w:rFonts w:ascii="Arial" w:cs="Arial" w:eastAsia="Arial" w:hAnsi="Arial"/>
                <w:sz w:val="14"/>
                <w:szCs w:val="14"/>
                <w:b w:val="1"/>
                <w:bCs w:val="1"/>
                <w:color w:val="FFFFFF"/>
              </w:rPr>
              <w:t>Fiscal 2024</w:t>
            </w:r>
          </w:p>
        </w:tc>
      </w:tr>
      <w:tr>
        <w:trPr>
          <w:trHeight w:val="263"/>
        </w:trPr>
        <w:tc>
          <w:tcPr>
            <w:tcW w:w="1800" w:type="dxa"/>
            <w:vAlign w:val="bottom"/>
            <w:shd w:val="clear" w:color="auto" w:fill="001641"/>
          </w:tcPr>
          <w:p>
            <w:pPr>
              <w:spacing w:after="0"/>
              <w:rPr>
                <w:sz w:val="22"/>
                <w:szCs w:val="22"/>
                <w:color w:val="auto"/>
              </w:rPr>
            </w:pPr>
          </w:p>
        </w:tc>
        <w:tc>
          <w:tcPr>
            <w:tcW w:w="2320" w:type="dxa"/>
            <w:vAlign w:val="bottom"/>
            <w:gridSpan w:val="2"/>
            <w:shd w:val="clear" w:color="auto" w:fill="001641"/>
          </w:tcPr>
          <w:p>
            <w:pPr>
              <w:jc w:val="right"/>
              <w:ind w:right="8"/>
              <w:spacing w:after="0"/>
              <w:rPr>
                <w:sz w:val="20"/>
                <w:szCs w:val="20"/>
                <w:color w:val="auto"/>
              </w:rPr>
            </w:pPr>
            <w:r>
              <w:rPr>
                <w:rFonts w:ascii="Arial" w:cs="Arial" w:eastAsia="Arial" w:hAnsi="Arial"/>
                <w:sz w:val="14"/>
                <w:szCs w:val="14"/>
                <w:b w:val="1"/>
                <w:bCs w:val="1"/>
                <w:color w:val="FFFFFF"/>
              </w:rPr>
              <w:t>PSUs-Adjusted  PSUs-Relative</w:t>
            </w:r>
          </w:p>
        </w:tc>
        <w:tc>
          <w:tcPr>
            <w:tcW w:w="2380" w:type="dxa"/>
            <w:vAlign w:val="bottom"/>
            <w:gridSpan w:val="2"/>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PSUs-Adjusted  PSUs-Relative</w:t>
            </w:r>
          </w:p>
        </w:tc>
        <w:tc>
          <w:tcPr>
            <w:tcW w:w="2360" w:type="dxa"/>
            <w:vAlign w:val="bottom"/>
            <w:gridSpan w:val="2"/>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PSUs-Adjusted  PSUs-Relative</w:t>
            </w:r>
          </w:p>
        </w:tc>
      </w:tr>
      <w:tr>
        <w:trPr>
          <w:trHeight w:val="162"/>
        </w:trPr>
        <w:tc>
          <w:tcPr>
            <w:tcW w:w="1800" w:type="dxa"/>
            <w:vAlign w:val="bottom"/>
            <w:shd w:val="clear" w:color="auto" w:fill="001641"/>
          </w:tcPr>
          <w:p>
            <w:pPr>
              <w:spacing w:after="0"/>
              <w:rPr>
                <w:sz w:val="14"/>
                <w:szCs w:val="14"/>
                <w:color w:val="auto"/>
              </w:rPr>
            </w:pPr>
          </w:p>
        </w:tc>
        <w:tc>
          <w:tcPr>
            <w:tcW w:w="1340" w:type="dxa"/>
            <w:vAlign w:val="bottom"/>
            <w:shd w:val="clear" w:color="auto" w:fill="001641"/>
          </w:tcPr>
          <w:p>
            <w:pPr>
              <w:jc w:val="right"/>
              <w:ind w:right="148"/>
              <w:spacing w:after="0"/>
              <w:rPr>
                <w:sz w:val="20"/>
                <w:szCs w:val="20"/>
                <w:color w:val="auto"/>
              </w:rPr>
            </w:pPr>
            <w:r>
              <w:rPr>
                <w:rFonts w:ascii="Arial" w:cs="Arial" w:eastAsia="Arial" w:hAnsi="Arial"/>
                <w:sz w:val="14"/>
                <w:szCs w:val="14"/>
                <w:b w:val="1"/>
                <w:bCs w:val="1"/>
                <w:color w:val="FFFFFF"/>
              </w:rPr>
              <w:t>ROIC</w:t>
            </w:r>
          </w:p>
        </w:tc>
        <w:tc>
          <w:tcPr>
            <w:tcW w:w="980" w:type="dxa"/>
            <w:vAlign w:val="bottom"/>
            <w:shd w:val="clear" w:color="auto" w:fill="001641"/>
          </w:tcPr>
          <w:p>
            <w:pPr>
              <w:jc w:val="right"/>
              <w:ind w:right="8"/>
              <w:spacing w:after="0"/>
              <w:rPr>
                <w:sz w:val="20"/>
                <w:szCs w:val="20"/>
                <w:color w:val="auto"/>
              </w:rPr>
            </w:pPr>
            <w:r>
              <w:rPr>
                <w:rFonts w:ascii="Arial" w:cs="Arial" w:eastAsia="Arial" w:hAnsi="Arial"/>
                <w:sz w:val="14"/>
                <w:szCs w:val="14"/>
                <w:b w:val="1"/>
                <w:bCs w:val="1"/>
                <w:color w:val="FFFFFF"/>
              </w:rPr>
              <w:t>TSR</w:t>
            </w:r>
          </w:p>
        </w:tc>
        <w:tc>
          <w:tcPr>
            <w:tcW w:w="1380" w:type="dxa"/>
            <w:vAlign w:val="bottom"/>
            <w:shd w:val="clear" w:color="auto" w:fill="001641"/>
          </w:tcPr>
          <w:p>
            <w:pPr>
              <w:jc w:val="right"/>
              <w:ind w:right="148"/>
              <w:spacing w:after="0"/>
              <w:rPr>
                <w:sz w:val="20"/>
                <w:szCs w:val="20"/>
                <w:color w:val="auto"/>
              </w:rPr>
            </w:pPr>
            <w:r>
              <w:rPr>
                <w:rFonts w:ascii="Arial" w:cs="Arial" w:eastAsia="Arial" w:hAnsi="Arial"/>
                <w:sz w:val="14"/>
                <w:szCs w:val="14"/>
                <w:b w:val="1"/>
                <w:bCs w:val="1"/>
                <w:color w:val="FFFFFF"/>
              </w:rPr>
              <w:t>ROIC</w:t>
            </w:r>
          </w:p>
        </w:tc>
        <w:tc>
          <w:tcPr>
            <w:tcW w:w="1000" w:type="dxa"/>
            <w:vAlign w:val="bottom"/>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TSR</w:t>
            </w:r>
          </w:p>
        </w:tc>
        <w:tc>
          <w:tcPr>
            <w:tcW w:w="1360" w:type="dxa"/>
            <w:vAlign w:val="bottom"/>
            <w:shd w:val="clear" w:color="auto" w:fill="001641"/>
          </w:tcPr>
          <w:p>
            <w:pPr>
              <w:jc w:val="right"/>
              <w:ind w:right="168"/>
              <w:spacing w:after="0"/>
              <w:rPr>
                <w:sz w:val="20"/>
                <w:szCs w:val="20"/>
                <w:color w:val="auto"/>
              </w:rPr>
            </w:pPr>
            <w:r>
              <w:rPr>
                <w:rFonts w:ascii="Arial" w:cs="Arial" w:eastAsia="Arial" w:hAnsi="Arial"/>
                <w:sz w:val="14"/>
                <w:szCs w:val="14"/>
                <w:b w:val="1"/>
                <w:bCs w:val="1"/>
                <w:color w:val="FFFFFF"/>
              </w:rPr>
              <w:t>ROIC</w:t>
            </w:r>
          </w:p>
        </w:tc>
        <w:tc>
          <w:tcPr>
            <w:tcW w:w="1000" w:type="dxa"/>
            <w:vAlign w:val="bottom"/>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TSR</w:t>
            </w:r>
          </w:p>
        </w:tc>
      </w:tr>
      <w:tr>
        <w:trPr>
          <w:trHeight w:val="212"/>
        </w:trPr>
        <w:tc>
          <w:tcPr>
            <w:tcW w:w="1800" w:type="dxa"/>
            <w:vAlign w:val="bottom"/>
            <w:shd w:val="clear" w:color="auto" w:fill="001641"/>
          </w:tcPr>
          <w:p>
            <w:pPr>
              <w:spacing w:after="0"/>
              <w:rPr>
                <w:sz w:val="18"/>
                <w:szCs w:val="18"/>
                <w:color w:val="auto"/>
              </w:rPr>
            </w:pPr>
          </w:p>
        </w:tc>
        <w:tc>
          <w:tcPr>
            <w:tcW w:w="1340" w:type="dxa"/>
            <w:vAlign w:val="bottom"/>
            <w:shd w:val="clear" w:color="auto" w:fill="001641"/>
          </w:tcPr>
          <w:p>
            <w:pPr>
              <w:jc w:val="right"/>
              <w:ind w:right="108"/>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001641"/>
          </w:tcPr>
          <w:p>
            <w:pPr>
              <w:jc w:val="right"/>
              <w:ind w:right="108"/>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001641"/>
          </w:tcPr>
          <w:p>
            <w:pPr>
              <w:jc w:val="right"/>
              <w:ind w:right="8"/>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00164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001641"/>
          </w:tcPr>
          <w:p>
            <w:pPr>
              <w:jc w:val="right"/>
              <w:ind w:right="8"/>
              <w:spacing w:after="0"/>
              <w:rPr>
                <w:sz w:val="20"/>
                <w:szCs w:val="20"/>
                <w:color w:val="auto"/>
              </w:rPr>
            </w:pPr>
            <w:r>
              <w:rPr>
                <w:rFonts w:ascii="Arial" w:cs="Arial" w:eastAsia="Arial" w:hAnsi="Arial"/>
                <w:sz w:val="14"/>
                <w:szCs w:val="14"/>
                <w:b w:val="1"/>
                <w:bCs w:val="1"/>
                <w:color w:val="FFFFFF"/>
              </w:rPr>
              <w:t>($)</w:t>
            </w:r>
          </w:p>
        </w:tc>
      </w:tr>
      <w:tr>
        <w:trPr>
          <w:trHeight w:val="236"/>
        </w:trPr>
        <w:tc>
          <w:tcPr>
            <w:tcW w:w="1800" w:type="dxa"/>
            <w:vAlign w:val="bottom"/>
            <w:tcBorders>
              <w:bottom w:val="single" w:sz="8" w:color="BFA071"/>
            </w:tcBorders>
          </w:tcPr>
          <w:p>
            <w:pPr>
              <w:ind w:left="120"/>
              <w:spacing w:after="0"/>
              <w:rPr>
                <w:sz w:val="20"/>
                <w:szCs w:val="20"/>
                <w:color w:val="auto"/>
              </w:rPr>
            </w:pPr>
            <w:r>
              <w:rPr>
                <w:rFonts w:ascii="Arial" w:cs="Arial" w:eastAsia="Arial" w:hAnsi="Arial"/>
                <w:sz w:val="14"/>
                <w:szCs w:val="14"/>
                <w:b w:val="1"/>
                <w:bCs w:val="1"/>
                <w:color w:val="001641"/>
              </w:rPr>
              <w:t>Ralph Lauren</w:t>
            </w:r>
          </w:p>
        </w:tc>
        <w:tc>
          <w:tcPr>
            <w:tcW w:w="1340" w:type="dxa"/>
            <w:vAlign w:val="bottom"/>
            <w:tcBorders>
              <w:bottom w:val="single" w:sz="8" w:color="BFA071"/>
            </w:tcBorders>
          </w:tcPr>
          <w:p>
            <w:pPr>
              <w:jc w:val="right"/>
              <w:ind w:right="228"/>
              <w:spacing w:after="0"/>
              <w:rPr>
                <w:sz w:val="20"/>
                <w:szCs w:val="20"/>
                <w:color w:val="auto"/>
              </w:rPr>
            </w:pPr>
            <w:r>
              <w:rPr>
                <w:rFonts w:ascii="Arial" w:cs="Arial" w:eastAsia="Arial" w:hAnsi="Arial"/>
                <w:sz w:val="14"/>
                <w:szCs w:val="14"/>
                <w:color w:val="001641"/>
              </w:rPr>
              <w:t>5,500,035</w:t>
            </w:r>
          </w:p>
        </w:tc>
        <w:tc>
          <w:tcPr>
            <w:tcW w:w="980" w:type="dxa"/>
            <w:vAlign w:val="bottom"/>
            <w:tcBorders>
              <w:bottom w:val="single" w:sz="8" w:color="BFA071"/>
            </w:tcBorders>
          </w:tcPr>
          <w:p>
            <w:pPr>
              <w:jc w:val="right"/>
              <w:ind w:right="108"/>
              <w:spacing w:after="0"/>
              <w:rPr>
                <w:sz w:val="20"/>
                <w:szCs w:val="20"/>
                <w:color w:val="auto"/>
              </w:rPr>
            </w:pPr>
            <w:r>
              <w:rPr>
                <w:rFonts w:ascii="Arial" w:cs="Arial" w:eastAsia="Arial" w:hAnsi="Arial"/>
                <w:sz w:val="14"/>
                <w:szCs w:val="14"/>
                <w:color w:val="001641"/>
              </w:rPr>
              <w:t>5,500,200</w:t>
            </w:r>
          </w:p>
        </w:tc>
        <w:tc>
          <w:tcPr>
            <w:tcW w:w="1380" w:type="dxa"/>
            <w:vAlign w:val="bottom"/>
            <w:tcBorders>
              <w:bottom w:val="single" w:sz="8" w:color="BFA071"/>
            </w:tcBorders>
          </w:tcPr>
          <w:p>
            <w:pPr>
              <w:jc w:val="right"/>
              <w:ind w:right="248"/>
              <w:spacing w:after="0"/>
              <w:rPr>
                <w:sz w:val="20"/>
                <w:szCs w:val="20"/>
                <w:color w:val="auto"/>
              </w:rPr>
            </w:pPr>
            <w:r>
              <w:rPr>
                <w:rFonts w:ascii="Arial" w:cs="Arial" w:eastAsia="Arial" w:hAnsi="Arial"/>
                <w:sz w:val="14"/>
                <w:szCs w:val="14"/>
                <w:color w:val="001641"/>
              </w:rPr>
              <w:t>5,500,232</w:t>
            </w:r>
          </w:p>
        </w:tc>
        <w:tc>
          <w:tcPr>
            <w:tcW w:w="1000" w:type="dxa"/>
            <w:vAlign w:val="bottom"/>
            <w:tcBorders>
              <w:bottom w:val="single" w:sz="8" w:color="BFA071"/>
            </w:tcBorders>
          </w:tcPr>
          <w:p>
            <w:pPr>
              <w:jc w:val="right"/>
              <w:ind w:right="88"/>
              <w:spacing w:after="0"/>
              <w:rPr>
                <w:sz w:val="20"/>
                <w:szCs w:val="20"/>
                <w:color w:val="auto"/>
              </w:rPr>
            </w:pPr>
            <w:r>
              <w:rPr>
                <w:rFonts w:ascii="Arial" w:cs="Arial" w:eastAsia="Arial" w:hAnsi="Arial"/>
                <w:sz w:val="14"/>
                <w:szCs w:val="14"/>
                <w:color w:val="001641"/>
              </w:rPr>
              <w:t>5,500,105</w:t>
            </w:r>
          </w:p>
        </w:tc>
        <w:tc>
          <w:tcPr>
            <w:tcW w:w="1360" w:type="dxa"/>
            <w:vAlign w:val="bottom"/>
            <w:tcBorders>
              <w:bottom w:val="single" w:sz="8" w:color="BFA071"/>
            </w:tcBorders>
          </w:tcPr>
          <w:p>
            <w:pPr>
              <w:jc w:val="right"/>
              <w:ind w:right="248"/>
              <w:spacing w:after="0"/>
              <w:rPr>
                <w:sz w:val="20"/>
                <w:szCs w:val="20"/>
                <w:color w:val="auto"/>
              </w:rPr>
            </w:pPr>
            <w:r>
              <w:rPr>
                <w:rFonts w:ascii="Arial" w:cs="Arial" w:eastAsia="Arial" w:hAnsi="Arial"/>
                <w:sz w:val="14"/>
                <w:szCs w:val="14"/>
                <w:color w:val="001641"/>
              </w:rPr>
              <w:t>5,500,209</w:t>
            </w:r>
          </w:p>
        </w:tc>
        <w:tc>
          <w:tcPr>
            <w:tcW w:w="1000" w:type="dxa"/>
            <w:vAlign w:val="bottom"/>
            <w:tcBorders>
              <w:bottom w:val="single" w:sz="8" w:color="BFA071"/>
            </w:tcBorders>
          </w:tcPr>
          <w:p>
            <w:pPr>
              <w:jc w:val="right"/>
              <w:ind w:right="88"/>
              <w:spacing w:after="0"/>
              <w:rPr>
                <w:sz w:val="20"/>
                <w:szCs w:val="20"/>
                <w:color w:val="auto"/>
              </w:rPr>
            </w:pPr>
            <w:r>
              <w:rPr>
                <w:rFonts w:ascii="Arial" w:cs="Arial" w:eastAsia="Arial" w:hAnsi="Arial"/>
                <w:sz w:val="14"/>
                <w:szCs w:val="14"/>
                <w:color w:val="001641"/>
              </w:rPr>
              <w:t>5,499,941</w:t>
            </w:r>
          </w:p>
        </w:tc>
      </w:tr>
      <w:tr>
        <w:trPr>
          <w:trHeight w:val="223"/>
        </w:trPr>
        <w:tc>
          <w:tcPr>
            <w:tcW w:w="1800" w:type="dxa"/>
            <w:vAlign w:val="bottom"/>
            <w:tcBorders>
              <w:bottom w:val="single" w:sz="8" w:color="BFA071"/>
            </w:tcBorders>
          </w:tcPr>
          <w:p>
            <w:pPr>
              <w:ind w:left="120"/>
              <w:spacing w:after="0"/>
              <w:rPr>
                <w:sz w:val="20"/>
                <w:szCs w:val="20"/>
                <w:color w:val="auto"/>
              </w:rPr>
            </w:pPr>
            <w:r>
              <w:rPr>
                <w:rFonts w:ascii="Arial" w:cs="Arial" w:eastAsia="Arial" w:hAnsi="Arial"/>
                <w:sz w:val="14"/>
                <w:szCs w:val="14"/>
                <w:b w:val="1"/>
                <w:bCs w:val="1"/>
                <w:color w:val="001641"/>
              </w:rPr>
              <w:t>Patrice Louvet</w:t>
            </w:r>
          </w:p>
        </w:tc>
        <w:tc>
          <w:tcPr>
            <w:tcW w:w="1340" w:type="dxa"/>
            <w:vAlign w:val="bottom"/>
            <w:tcBorders>
              <w:bottom w:val="single" w:sz="8" w:color="BFA071"/>
            </w:tcBorders>
          </w:tcPr>
          <w:p>
            <w:pPr>
              <w:jc w:val="right"/>
              <w:ind w:right="228"/>
              <w:spacing w:after="0"/>
              <w:rPr>
                <w:sz w:val="20"/>
                <w:szCs w:val="20"/>
                <w:color w:val="auto"/>
              </w:rPr>
            </w:pPr>
            <w:r>
              <w:rPr>
                <w:rFonts w:ascii="Arial" w:cs="Arial" w:eastAsia="Arial" w:hAnsi="Arial"/>
                <w:sz w:val="14"/>
                <w:szCs w:val="14"/>
                <w:color w:val="001641"/>
              </w:rPr>
              <w:t>3,376,805</w:t>
            </w:r>
          </w:p>
        </w:tc>
        <w:tc>
          <w:tcPr>
            <w:tcW w:w="980" w:type="dxa"/>
            <w:vAlign w:val="bottom"/>
            <w:tcBorders>
              <w:bottom w:val="single" w:sz="8" w:color="BFA071"/>
            </w:tcBorders>
          </w:tcPr>
          <w:p>
            <w:pPr>
              <w:jc w:val="right"/>
              <w:ind w:right="108"/>
              <w:spacing w:after="0"/>
              <w:rPr>
                <w:sz w:val="20"/>
                <w:szCs w:val="20"/>
                <w:color w:val="auto"/>
              </w:rPr>
            </w:pPr>
            <w:r>
              <w:rPr>
                <w:rFonts w:ascii="Arial" w:cs="Arial" w:eastAsia="Arial" w:hAnsi="Arial"/>
                <w:sz w:val="14"/>
                <w:szCs w:val="14"/>
                <w:color w:val="001641"/>
              </w:rPr>
              <w:t>3,500,242</w:t>
            </w:r>
          </w:p>
        </w:tc>
        <w:tc>
          <w:tcPr>
            <w:tcW w:w="1380" w:type="dxa"/>
            <w:vAlign w:val="bottom"/>
            <w:tcBorders>
              <w:bottom w:val="single" w:sz="8" w:color="BFA071"/>
            </w:tcBorders>
          </w:tcPr>
          <w:p>
            <w:pPr>
              <w:jc w:val="right"/>
              <w:ind w:right="248"/>
              <w:spacing w:after="0"/>
              <w:rPr>
                <w:sz w:val="20"/>
                <w:szCs w:val="20"/>
                <w:color w:val="auto"/>
              </w:rPr>
            </w:pPr>
            <w:r>
              <w:rPr>
                <w:rFonts w:ascii="Arial" w:cs="Arial" w:eastAsia="Arial" w:hAnsi="Arial"/>
                <w:sz w:val="14"/>
                <w:szCs w:val="14"/>
                <w:color w:val="001641"/>
              </w:rPr>
              <w:t>3,305,200</w:t>
            </w:r>
          </w:p>
        </w:tc>
        <w:tc>
          <w:tcPr>
            <w:tcW w:w="1000" w:type="dxa"/>
            <w:vAlign w:val="bottom"/>
            <w:tcBorders>
              <w:bottom w:val="single" w:sz="8" w:color="BFA071"/>
            </w:tcBorders>
          </w:tcPr>
          <w:p>
            <w:pPr>
              <w:jc w:val="right"/>
              <w:ind w:right="108"/>
              <w:spacing w:after="0"/>
              <w:rPr>
                <w:sz w:val="20"/>
                <w:szCs w:val="20"/>
                <w:color w:val="auto"/>
              </w:rPr>
            </w:pPr>
            <w:r>
              <w:rPr>
                <w:rFonts w:ascii="Arial" w:cs="Arial" w:eastAsia="Arial" w:hAnsi="Arial"/>
                <w:sz w:val="14"/>
                <w:szCs w:val="14"/>
                <w:color w:val="001641"/>
              </w:rPr>
              <w:t>3,500,112</w:t>
            </w:r>
          </w:p>
        </w:tc>
        <w:tc>
          <w:tcPr>
            <w:tcW w:w="1360" w:type="dxa"/>
            <w:vAlign w:val="bottom"/>
            <w:tcBorders>
              <w:bottom w:val="single" w:sz="8" w:color="BFA071"/>
            </w:tcBorders>
          </w:tcPr>
          <w:p>
            <w:pPr>
              <w:jc w:val="right"/>
              <w:ind w:right="248"/>
              <w:spacing w:after="0"/>
              <w:rPr>
                <w:sz w:val="20"/>
                <w:szCs w:val="20"/>
                <w:color w:val="auto"/>
              </w:rPr>
            </w:pPr>
            <w:r>
              <w:rPr>
                <w:rFonts w:ascii="Arial" w:cs="Arial" w:eastAsia="Arial" w:hAnsi="Arial"/>
                <w:sz w:val="14"/>
                <w:szCs w:val="14"/>
                <w:color w:val="001641"/>
              </w:rPr>
              <w:t>2,584,748</w:t>
            </w:r>
          </w:p>
        </w:tc>
        <w:tc>
          <w:tcPr>
            <w:tcW w:w="1000" w:type="dxa"/>
            <w:vAlign w:val="bottom"/>
            <w:tcBorders>
              <w:bottom w:val="single" w:sz="8" w:color="BFA071"/>
            </w:tcBorders>
          </w:tcPr>
          <w:p>
            <w:pPr>
              <w:jc w:val="right"/>
              <w:ind w:right="88"/>
              <w:spacing w:after="0"/>
              <w:rPr>
                <w:sz w:val="20"/>
                <w:szCs w:val="20"/>
                <w:color w:val="auto"/>
              </w:rPr>
            </w:pPr>
            <w:r>
              <w:rPr>
                <w:rFonts w:ascii="Arial" w:cs="Arial" w:eastAsia="Arial" w:hAnsi="Arial"/>
                <w:sz w:val="14"/>
                <w:szCs w:val="14"/>
                <w:color w:val="001641"/>
              </w:rPr>
              <w:t>2,755,031</w:t>
            </w:r>
          </w:p>
        </w:tc>
      </w:tr>
      <w:tr>
        <w:trPr>
          <w:trHeight w:val="223"/>
        </w:trPr>
        <w:tc>
          <w:tcPr>
            <w:tcW w:w="1800" w:type="dxa"/>
            <w:vAlign w:val="bottom"/>
            <w:tcBorders>
              <w:bottom w:val="single" w:sz="8" w:color="BFA071"/>
            </w:tcBorders>
          </w:tcPr>
          <w:p>
            <w:pPr>
              <w:ind w:left="120"/>
              <w:spacing w:after="0"/>
              <w:rPr>
                <w:sz w:val="20"/>
                <w:szCs w:val="20"/>
                <w:color w:val="auto"/>
              </w:rPr>
            </w:pPr>
            <w:r>
              <w:rPr>
                <w:rFonts w:ascii="Arial" w:cs="Arial" w:eastAsia="Arial" w:hAnsi="Arial"/>
                <w:sz w:val="14"/>
                <w:szCs w:val="14"/>
                <w:b w:val="1"/>
                <w:bCs w:val="1"/>
                <w:color w:val="001641"/>
              </w:rPr>
              <w:t>Robert Ranftl</w:t>
            </w:r>
          </w:p>
        </w:tc>
        <w:tc>
          <w:tcPr>
            <w:tcW w:w="1340" w:type="dxa"/>
            <w:vAlign w:val="bottom"/>
            <w:tcBorders>
              <w:bottom w:val="single" w:sz="8" w:color="BFA071"/>
            </w:tcBorders>
          </w:tcPr>
          <w:p>
            <w:pPr>
              <w:jc w:val="right"/>
              <w:ind w:right="228"/>
              <w:spacing w:after="0"/>
              <w:rPr>
                <w:sz w:val="20"/>
                <w:szCs w:val="20"/>
                <w:color w:val="auto"/>
              </w:rPr>
            </w:pPr>
            <w:r>
              <w:rPr>
                <w:rFonts w:ascii="Arial" w:cs="Arial" w:eastAsia="Arial" w:hAnsi="Arial"/>
                <w:sz w:val="14"/>
                <w:szCs w:val="14"/>
                <w:color w:val="001641"/>
              </w:rPr>
              <w:t>542,626</w:t>
            </w:r>
          </w:p>
        </w:tc>
        <w:tc>
          <w:tcPr>
            <w:tcW w:w="980" w:type="dxa"/>
            <w:vAlign w:val="bottom"/>
            <w:tcBorders>
              <w:bottom w:val="single" w:sz="8" w:color="BFA071"/>
            </w:tcBorders>
          </w:tcPr>
          <w:p>
            <w:pPr>
              <w:jc w:val="right"/>
              <w:ind w:right="108"/>
              <w:spacing w:after="0"/>
              <w:rPr>
                <w:sz w:val="20"/>
                <w:szCs w:val="20"/>
                <w:color w:val="auto"/>
              </w:rPr>
            </w:pPr>
            <w:r>
              <w:rPr>
                <w:rFonts w:ascii="Arial" w:cs="Arial" w:eastAsia="Arial" w:hAnsi="Arial"/>
                <w:sz w:val="14"/>
                <w:szCs w:val="14"/>
                <w:color w:val="001641"/>
              </w:rPr>
              <w:t>562,416</w:t>
            </w:r>
          </w:p>
        </w:tc>
        <w:tc>
          <w:tcPr>
            <w:tcW w:w="1380" w:type="dxa"/>
            <w:vAlign w:val="bottom"/>
            <w:tcBorders>
              <w:bottom w:val="single" w:sz="8" w:color="BFA071"/>
            </w:tcBorders>
          </w:tcPr>
          <w:p>
            <w:pPr>
              <w:jc w:val="right"/>
              <w:ind w:right="228"/>
              <w:spacing w:after="0"/>
              <w:rPr>
                <w:sz w:val="20"/>
                <w:szCs w:val="20"/>
                <w:color w:val="auto"/>
              </w:rPr>
            </w:pPr>
            <w:r>
              <w:rPr>
                <w:rFonts w:ascii="Arial" w:cs="Arial" w:eastAsia="Arial" w:hAnsi="Arial"/>
                <w:sz w:val="14"/>
                <w:szCs w:val="14"/>
                <w:color w:val="001641"/>
              </w:rPr>
              <w:t>N/A</w:t>
            </w:r>
          </w:p>
        </w:tc>
        <w:tc>
          <w:tcPr>
            <w:tcW w:w="1000" w:type="dxa"/>
            <w:vAlign w:val="bottom"/>
            <w:tcBorders>
              <w:bottom w:val="single" w:sz="8" w:color="BFA071"/>
            </w:tcBorders>
          </w:tcPr>
          <w:p>
            <w:pPr>
              <w:jc w:val="right"/>
              <w:ind w:right="88"/>
              <w:spacing w:after="0"/>
              <w:rPr>
                <w:sz w:val="20"/>
                <w:szCs w:val="20"/>
                <w:color w:val="auto"/>
              </w:rPr>
            </w:pPr>
            <w:r>
              <w:rPr>
                <w:rFonts w:ascii="Arial" w:cs="Arial" w:eastAsia="Arial" w:hAnsi="Arial"/>
                <w:sz w:val="14"/>
                <w:szCs w:val="14"/>
                <w:color w:val="001641"/>
              </w:rPr>
              <w:t>N/A</w:t>
            </w:r>
          </w:p>
        </w:tc>
        <w:tc>
          <w:tcPr>
            <w:tcW w:w="1360" w:type="dxa"/>
            <w:vAlign w:val="bottom"/>
            <w:tcBorders>
              <w:bottom w:val="single" w:sz="8" w:color="BFA071"/>
            </w:tcBorders>
          </w:tcPr>
          <w:p>
            <w:pPr>
              <w:ind w:left="800"/>
              <w:spacing w:after="0"/>
              <w:rPr>
                <w:sz w:val="20"/>
                <w:szCs w:val="20"/>
                <w:color w:val="auto"/>
              </w:rPr>
            </w:pPr>
            <w:r>
              <w:rPr>
                <w:rFonts w:ascii="Arial" w:cs="Arial" w:eastAsia="Arial" w:hAnsi="Arial"/>
                <w:sz w:val="14"/>
                <w:szCs w:val="14"/>
                <w:color w:val="001641"/>
              </w:rPr>
              <w:t>N/A</w:t>
            </w:r>
          </w:p>
        </w:tc>
        <w:tc>
          <w:tcPr>
            <w:tcW w:w="1000" w:type="dxa"/>
            <w:vAlign w:val="bottom"/>
            <w:tcBorders>
              <w:bottom w:val="single" w:sz="8" w:color="BFA071"/>
            </w:tcBorders>
          </w:tcPr>
          <w:p>
            <w:pPr>
              <w:jc w:val="right"/>
              <w:ind w:right="88"/>
              <w:spacing w:after="0"/>
              <w:rPr>
                <w:sz w:val="20"/>
                <w:szCs w:val="20"/>
                <w:color w:val="auto"/>
              </w:rPr>
            </w:pPr>
            <w:r>
              <w:rPr>
                <w:rFonts w:ascii="Arial" w:cs="Arial" w:eastAsia="Arial" w:hAnsi="Arial"/>
                <w:sz w:val="14"/>
                <w:szCs w:val="14"/>
                <w:color w:val="001641"/>
              </w:rPr>
              <w:t>N/A</w:t>
            </w:r>
          </w:p>
        </w:tc>
      </w:tr>
      <w:tr>
        <w:trPr>
          <w:trHeight w:val="223"/>
        </w:trPr>
        <w:tc>
          <w:tcPr>
            <w:tcW w:w="1800" w:type="dxa"/>
            <w:vAlign w:val="bottom"/>
            <w:tcBorders>
              <w:bottom w:val="single" w:sz="8" w:color="BFA071"/>
            </w:tcBorders>
          </w:tcPr>
          <w:p>
            <w:pPr>
              <w:ind w:left="120"/>
              <w:spacing w:after="0"/>
              <w:rPr>
                <w:sz w:val="20"/>
                <w:szCs w:val="20"/>
                <w:color w:val="auto"/>
              </w:rPr>
            </w:pPr>
            <w:r>
              <w:rPr>
                <w:rFonts w:ascii="Arial" w:cs="Arial" w:eastAsia="Arial" w:hAnsi="Arial"/>
                <w:sz w:val="14"/>
                <w:szCs w:val="14"/>
                <w:b w:val="1"/>
                <w:bCs w:val="1"/>
                <w:color w:val="001641"/>
              </w:rPr>
              <w:t>Justin Picicci</w:t>
            </w:r>
          </w:p>
        </w:tc>
        <w:tc>
          <w:tcPr>
            <w:tcW w:w="1340" w:type="dxa"/>
            <w:vAlign w:val="bottom"/>
            <w:tcBorders>
              <w:bottom w:val="single" w:sz="8" w:color="BFA071"/>
            </w:tcBorders>
          </w:tcPr>
          <w:p>
            <w:pPr>
              <w:jc w:val="right"/>
              <w:ind w:right="228"/>
              <w:spacing w:after="0"/>
              <w:rPr>
                <w:sz w:val="20"/>
                <w:szCs w:val="20"/>
                <w:color w:val="auto"/>
              </w:rPr>
            </w:pPr>
            <w:r>
              <w:rPr>
                <w:rFonts w:ascii="Arial" w:cs="Arial" w:eastAsia="Arial" w:hAnsi="Arial"/>
                <w:sz w:val="14"/>
                <w:szCs w:val="14"/>
                <w:color w:val="001641"/>
              </w:rPr>
              <w:t>289,345</w:t>
            </w:r>
          </w:p>
        </w:tc>
        <w:tc>
          <w:tcPr>
            <w:tcW w:w="980" w:type="dxa"/>
            <w:vAlign w:val="bottom"/>
            <w:tcBorders>
              <w:bottom w:val="single" w:sz="8" w:color="BFA071"/>
            </w:tcBorders>
          </w:tcPr>
          <w:p>
            <w:pPr>
              <w:jc w:val="right"/>
              <w:ind w:right="108"/>
              <w:spacing w:after="0"/>
              <w:rPr>
                <w:sz w:val="20"/>
                <w:szCs w:val="20"/>
                <w:color w:val="auto"/>
              </w:rPr>
            </w:pPr>
            <w:r>
              <w:rPr>
                <w:rFonts w:ascii="Arial" w:cs="Arial" w:eastAsia="Arial" w:hAnsi="Arial"/>
                <w:sz w:val="14"/>
                <w:szCs w:val="14"/>
                <w:color w:val="001641"/>
              </w:rPr>
              <w:t>300,156</w:t>
            </w:r>
          </w:p>
        </w:tc>
        <w:tc>
          <w:tcPr>
            <w:tcW w:w="1380" w:type="dxa"/>
            <w:vAlign w:val="bottom"/>
            <w:tcBorders>
              <w:bottom w:val="single" w:sz="8" w:color="BFA071"/>
            </w:tcBorders>
          </w:tcPr>
          <w:p>
            <w:pPr>
              <w:jc w:val="right"/>
              <w:ind w:right="228"/>
              <w:spacing w:after="0"/>
              <w:rPr>
                <w:sz w:val="20"/>
                <w:szCs w:val="20"/>
                <w:color w:val="auto"/>
              </w:rPr>
            </w:pPr>
            <w:r>
              <w:rPr>
                <w:rFonts w:ascii="Arial" w:cs="Arial" w:eastAsia="Arial" w:hAnsi="Arial"/>
                <w:sz w:val="14"/>
                <w:szCs w:val="14"/>
                <w:color w:val="001641"/>
              </w:rPr>
              <w:t>283,374</w:t>
            </w:r>
          </w:p>
        </w:tc>
        <w:tc>
          <w:tcPr>
            <w:tcW w:w="1000" w:type="dxa"/>
            <w:vAlign w:val="bottom"/>
            <w:tcBorders>
              <w:bottom w:val="single" w:sz="8" w:color="BFA071"/>
            </w:tcBorders>
          </w:tcPr>
          <w:p>
            <w:pPr>
              <w:jc w:val="right"/>
              <w:ind w:right="88"/>
              <w:spacing w:after="0"/>
              <w:rPr>
                <w:sz w:val="20"/>
                <w:szCs w:val="20"/>
                <w:color w:val="auto"/>
              </w:rPr>
            </w:pPr>
            <w:r>
              <w:rPr>
                <w:rFonts w:ascii="Arial" w:cs="Arial" w:eastAsia="Arial" w:hAnsi="Arial"/>
                <w:sz w:val="14"/>
                <w:szCs w:val="14"/>
                <w:color w:val="001641"/>
              </w:rPr>
              <w:t>300,010</w:t>
            </w:r>
          </w:p>
        </w:tc>
        <w:tc>
          <w:tcPr>
            <w:tcW w:w="1360" w:type="dxa"/>
            <w:vAlign w:val="bottom"/>
            <w:tcBorders>
              <w:bottom w:val="single" w:sz="8" w:color="BFA071"/>
            </w:tcBorders>
          </w:tcPr>
          <w:p>
            <w:pPr>
              <w:ind w:left="800"/>
              <w:spacing w:after="0"/>
              <w:rPr>
                <w:sz w:val="20"/>
                <w:szCs w:val="20"/>
                <w:color w:val="auto"/>
              </w:rPr>
            </w:pPr>
            <w:r>
              <w:rPr>
                <w:rFonts w:ascii="Arial" w:cs="Arial" w:eastAsia="Arial" w:hAnsi="Arial"/>
                <w:sz w:val="14"/>
                <w:szCs w:val="14"/>
                <w:color w:val="001641"/>
              </w:rPr>
              <w:t>N/A</w:t>
            </w:r>
          </w:p>
        </w:tc>
        <w:tc>
          <w:tcPr>
            <w:tcW w:w="1000" w:type="dxa"/>
            <w:vAlign w:val="bottom"/>
            <w:tcBorders>
              <w:bottom w:val="single" w:sz="8" w:color="BFA071"/>
            </w:tcBorders>
          </w:tcPr>
          <w:p>
            <w:pPr>
              <w:jc w:val="right"/>
              <w:ind w:right="88"/>
              <w:spacing w:after="0"/>
              <w:rPr>
                <w:sz w:val="20"/>
                <w:szCs w:val="20"/>
                <w:color w:val="auto"/>
              </w:rPr>
            </w:pPr>
            <w:r>
              <w:rPr>
                <w:rFonts w:ascii="Arial" w:cs="Arial" w:eastAsia="Arial" w:hAnsi="Arial"/>
                <w:sz w:val="14"/>
                <w:szCs w:val="14"/>
                <w:color w:val="001641"/>
              </w:rPr>
              <w:t>N/A</w:t>
            </w:r>
          </w:p>
        </w:tc>
      </w:tr>
      <w:tr>
        <w:trPr>
          <w:trHeight w:val="223"/>
        </w:trPr>
        <w:tc>
          <w:tcPr>
            <w:tcW w:w="1800" w:type="dxa"/>
            <w:vAlign w:val="bottom"/>
            <w:tcBorders>
              <w:bottom w:val="single" w:sz="8" w:color="BFA071"/>
            </w:tcBorders>
          </w:tcPr>
          <w:p>
            <w:pPr>
              <w:ind w:left="120"/>
              <w:spacing w:after="0"/>
              <w:rPr>
                <w:sz w:val="20"/>
                <w:szCs w:val="20"/>
                <w:color w:val="auto"/>
              </w:rPr>
            </w:pPr>
            <w:r>
              <w:rPr>
                <w:rFonts w:ascii="Arial" w:cs="Arial" w:eastAsia="Arial" w:hAnsi="Arial"/>
                <w:sz w:val="14"/>
                <w:szCs w:val="14"/>
                <w:b w:val="1"/>
                <w:bCs w:val="1"/>
                <w:color w:val="001641"/>
              </w:rPr>
              <w:t>Halide Alagoz</w:t>
            </w:r>
          </w:p>
        </w:tc>
        <w:tc>
          <w:tcPr>
            <w:tcW w:w="1340" w:type="dxa"/>
            <w:vAlign w:val="bottom"/>
            <w:tcBorders>
              <w:bottom w:val="single" w:sz="8" w:color="BFA071"/>
            </w:tcBorders>
          </w:tcPr>
          <w:p>
            <w:pPr>
              <w:jc w:val="right"/>
              <w:ind w:right="228"/>
              <w:spacing w:after="0"/>
              <w:rPr>
                <w:sz w:val="20"/>
                <w:szCs w:val="20"/>
                <w:color w:val="auto"/>
              </w:rPr>
            </w:pPr>
            <w:r>
              <w:rPr>
                <w:rFonts w:ascii="Arial" w:cs="Arial" w:eastAsia="Arial" w:hAnsi="Arial"/>
                <w:sz w:val="14"/>
                <w:szCs w:val="14"/>
                <w:color w:val="001641"/>
              </w:rPr>
              <w:t>482,521</w:t>
            </w:r>
          </w:p>
        </w:tc>
        <w:tc>
          <w:tcPr>
            <w:tcW w:w="980" w:type="dxa"/>
            <w:vAlign w:val="bottom"/>
            <w:tcBorders>
              <w:bottom w:val="single" w:sz="8" w:color="BFA071"/>
            </w:tcBorders>
          </w:tcPr>
          <w:p>
            <w:pPr>
              <w:jc w:val="right"/>
              <w:ind w:right="108"/>
              <w:spacing w:after="0"/>
              <w:rPr>
                <w:sz w:val="20"/>
                <w:szCs w:val="20"/>
                <w:color w:val="auto"/>
              </w:rPr>
            </w:pPr>
            <w:r>
              <w:rPr>
                <w:rFonts w:ascii="Arial" w:cs="Arial" w:eastAsia="Arial" w:hAnsi="Arial"/>
                <w:sz w:val="14"/>
                <w:szCs w:val="14"/>
                <w:color w:val="001641"/>
              </w:rPr>
              <w:t>499,973</w:t>
            </w:r>
          </w:p>
        </w:tc>
        <w:tc>
          <w:tcPr>
            <w:tcW w:w="1380" w:type="dxa"/>
            <w:vAlign w:val="bottom"/>
            <w:tcBorders>
              <w:bottom w:val="single" w:sz="8" w:color="BFA071"/>
            </w:tcBorders>
          </w:tcPr>
          <w:p>
            <w:pPr>
              <w:jc w:val="right"/>
              <w:ind w:right="228"/>
              <w:spacing w:after="0"/>
              <w:rPr>
                <w:sz w:val="20"/>
                <w:szCs w:val="20"/>
                <w:color w:val="auto"/>
              </w:rPr>
            </w:pPr>
            <w:r>
              <w:rPr>
                <w:rFonts w:ascii="Arial" w:cs="Arial" w:eastAsia="Arial" w:hAnsi="Arial"/>
                <w:sz w:val="14"/>
                <w:szCs w:val="14"/>
                <w:color w:val="001641"/>
              </w:rPr>
              <w:t>354,062</w:t>
            </w:r>
          </w:p>
        </w:tc>
        <w:tc>
          <w:tcPr>
            <w:tcW w:w="1000" w:type="dxa"/>
            <w:vAlign w:val="bottom"/>
            <w:tcBorders>
              <w:bottom w:val="single" w:sz="8" w:color="BFA071"/>
            </w:tcBorders>
          </w:tcPr>
          <w:p>
            <w:pPr>
              <w:jc w:val="right"/>
              <w:ind w:right="88"/>
              <w:spacing w:after="0"/>
              <w:rPr>
                <w:sz w:val="20"/>
                <w:szCs w:val="20"/>
                <w:color w:val="auto"/>
              </w:rPr>
            </w:pPr>
            <w:r>
              <w:rPr>
                <w:rFonts w:ascii="Arial" w:cs="Arial" w:eastAsia="Arial" w:hAnsi="Arial"/>
                <w:sz w:val="14"/>
                <w:szCs w:val="14"/>
                <w:color w:val="001641"/>
              </w:rPr>
              <w:t>375,012</w:t>
            </w:r>
          </w:p>
        </w:tc>
        <w:tc>
          <w:tcPr>
            <w:tcW w:w="1360" w:type="dxa"/>
            <w:vAlign w:val="bottom"/>
            <w:tcBorders>
              <w:bottom w:val="single" w:sz="8" w:color="BFA071"/>
            </w:tcBorders>
          </w:tcPr>
          <w:p>
            <w:pPr>
              <w:jc w:val="right"/>
              <w:ind w:right="248"/>
              <w:spacing w:after="0"/>
              <w:rPr>
                <w:sz w:val="20"/>
                <w:szCs w:val="20"/>
                <w:color w:val="auto"/>
              </w:rPr>
            </w:pPr>
            <w:r>
              <w:rPr>
                <w:rFonts w:ascii="Arial" w:cs="Arial" w:eastAsia="Arial" w:hAnsi="Arial"/>
                <w:sz w:val="14"/>
                <w:szCs w:val="14"/>
                <w:color w:val="001641"/>
              </w:rPr>
              <w:t>279,387</w:t>
            </w:r>
          </w:p>
        </w:tc>
        <w:tc>
          <w:tcPr>
            <w:tcW w:w="1000" w:type="dxa"/>
            <w:vAlign w:val="bottom"/>
            <w:tcBorders>
              <w:bottom w:val="single" w:sz="8" w:color="BFA071"/>
            </w:tcBorders>
          </w:tcPr>
          <w:p>
            <w:pPr>
              <w:jc w:val="right"/>
              <w:ind w:right="88"/>
              <w:spacing w:after="0"/>
              <w:rPr>
                <w:sz w:val="20"/>
                <w:szCs w:val="20"/>
                <w:color w:val="auto"/>
              </w:rPr>
            </w:pPr>
            <w:r>
              <w:rPr>
                <w:rFonts w:ascii="Arial" w:cs="Arial" w:eastAsia="Arial" w:hAnsi="Arial"/>
                <w:sz w:val="14"/>
                <w:szCs w:val="14"/>
                <w:color w:val="001641"/>
              </w:rPr>
              <w:t>299,941</w:t>
            </w:r>
          </w:p>
        </w:tc>
      </w:tr>
      <w:tr>
        <w:trPr>
          <w:trHeight w:val="215"/>
        </w:trPr>
        <w:tc>
          <w:tcPr>
            <w:tcW w:w="1800" w:type="dxa"/>
            <w:vAlign w:val="bottom"/>
            <w:tcBorders>
              <w:bottom w:val="single" w:sz="8" w:color="001641"/>
            </w:tcBorders>
          </w:tcPr>
          <w:p>
            <w:pPr>
              <w:ind w:left="120"/>
              <w:spacing w:after="0"/>
              <w:rPr>
                <w:sz w:val="20"/>
                <w:szCs w:val="20"/>
                <w:color w:val="auto"/>
              </w:rPr>
            </w:pPr>
            <w:r>
              <w:rPr>
                <w:rFonts w:ascii="Arial" w:cs="Arial" w:eastAsia="Arial" w:hAnsi="Arial"/>
                <w:sz w:val="14"/>
                <w:szCs w:val="14"/>
                <w:b w:val="1"/>
                <w:bCs w:val="1"/>
                <w:color w:val="001641"/>
              </w:rPr>
              <w:t>David Lauren</w:t>
            </w:r>
          </w:p>
        </w:tc>
        <w:tc>
          <w:tcPr>
            <w:tcW w:w="1340" w:type="dxa"/>
            <w:vAlign w:val="bottom"/>
            <w:tcBorders>
              <w:bottom w:val="single" w:sz="8" w:color="001641"/>
            </w:tcBorders>
          </w:tcPr>
          <w:p>
            <w:pPr>
              <w:jc w:val="right"/>
              <w:ind w:right="228"/>
              <w:spacing w:after="0"/>
              <w:rPr>
                <w:sz w:val="20"/>
                <w:szCs w:val="20"/>
                <w:color w:val="auto"/>
              </w:rPr>
            </w:pPr>
            <w:r>
              <w:rPr>
                <w:rFonts w:ascii="Arial" w:cs="Arial" w:eastAsia="Arial" w:hAnsi="Arial"/>
                <w:sz w:val="14"/>
                <w:szCs w:val="14"/>
                <w:color w:val="001641"/>
              </w:rPr>
              <w:t>289,345</w:t>
            </w:r>
          </w:p>
        </w:tc>
        <w:tc>
          <w:tcPr>
            <w:tcW w:w="980" w:type="dxa"/>
            <w:vAlign w:val="bottom"/>
            <w:tcBorders>
              <w:bottom w:val="single" w:sz="8" w:color="001641"/>
            </w:tcBorders>
          </w:tcPr>
          <w:p>
            <w:pPr>
              <w:jc w:val="right"/>
              <w:ind w:right="108"/>
              <w:spacing w:after="0"/>
              <w:rPr>
                <w:sz w:val="20"/>
                <w:szCs w:val="20"/>
                <w:color w:val="auto"/>
              </w:rPr>
            </w:pPr>
            <w:r>
              <w:rPr>
                <w:rFonts w:ascii="Arial" w:cs="Arial" w:eastAsia="Arial" w:hAnsi="Arial"/>
                <w:sz w:val="14"/>
                <w:szCs w:val="14"/>
                <w:color w:val="001641"/>
              </w:rPr>
              <w:t>300,156</w:t>
            </w:r>
          </w:p>
        </w:tc>
        <w:tc>
          <w:tcPr>
            <w:tcW w:w="1380" w:type="dxa"/>
            <w:vAlign w:val="bottom"/>
            <w:tcBorders>
              <w:bottom w:val="single" w:sz="8" w:color="001641"/>
            </w:tcBorders>
          </w:tcPr>
          <w:p>
            <w:pPr>
              <w:jc w:val="right"/>
              <w:ind w:right="228"/>
              <w:spacing w:after="0"/>
              <w:rPr>
                <w:sz w:val="20"/>
                <w:szCs w:val="20"/>
                <w:color w:val="auto"/>
              </w:rPr>
            </w:pPr>
            <w:r>
              <w:rPr>
                <w:rFonts w:ascii="Arial" w:cs="Arial" w:eastAsia="Arial" w:hAnsi="Arial"/>
                <w:sz w:val="14"/>
                <w:szCs w:val="14"/>
                <w:color w:val="001641"/>
              </w:rPr>
              <w:t>236,041</w:t>
            </w:r>
          </w:p>
        </w:tc>
        <w:tc>
          <w:tcPr>
            <w:tcW w:w="1000" w:type="dxa"/>
            <w:vAlign w:val="bottom"/>
            <w:tcBorders>
              <w:bottom w:val="single" w:sz="8" w:color="001641"/>
            </w:tcBorders>
          </w:tcPr>
          <w:p>
            <w:pPr>
              <w:jc w:val="right"/>
              <w:ind w:right="88"/>
              <w:spacing w:after="0"/>
              <w:rPr>
                <w:sz w:val="20"/>
                <w:szCs w:val="20"/>
                <w:color w:val="auto"/>
              </w:rPr>
            </w:pPr>
            <w:r>
              <w:rPr>
                <w:rFonts w:ascii="Arial" w:cs="Arial" w:eastAsia="Arial" w:hAnsi="Arial"/>
                <w:sz w:val="14"/>
                <w:szCs w:val="14"/>
                <w:color w:val="001641"/>
              </w:rPr>
              <w:t>250,008</w:t>
            </w:r>
          </w:p>
        </w:tc>
        <w:tc>
          <w:tcPr>
            <w:tcW w:w="1360" w:type="dxa"/>
            <w:vAlign w:val="bottom"/>
            <w:tcBorders>
              <w:bottom w:val="single" w:sz="8" w:color="001641"/>
            </w:tcBorders>
          </w:tcPr>
          <w:p>
            <w:pPr>
              <w:jc w:val="right"/>
              <w:ind w:right="248"/>
              <w:spacing w:after="0"/>
              <w:rPr>
                <w:sz w:val="20"/>
                <w:szCs w:val="20"/>
                <w:color w:val="auto"/>
              </w:rPr>
            </w:pPr>
            <w:r>
              <w:rPr>
                <w:rFonts w:ascii="Arial" w:cs="Arial" w:eastAsia="Arial" w:hAnsi="Arial"/>
                <w:sz w:val="14"/>
                <w:szCs w:val="14"/>
                <w:color w:val="001641"/>
              </w:rPr>
              <w:t>232,804</w:t>
            </w:r>
          </w:p>
        </w:tc>
        <w:tc>
          <w:tcPr>
            <w:tcW w:w="1000" w:type="dxa"/>
            <w:vAlign w:val="bottom"/>
            <w:tcBorders>
              <w:bottom w:val="single" w:sz="8" w:color="001641"/>
            </w:tcBorders>
          </w:tcPr>
          <w:p>
            <w:pPr>
              <w:jc w:val="right"/>
              <w:ind w:right="88"/>
              <w:spacing w:after="0"/>
              <w:rPr>
                <w:sz w:val="20"/>
                <w:szCs w:val="20"/>
                <w:color w:val="auto"/>
              </w:rPr>
            </w:pPr>
            <w:r>
              <w:rPr>
                <w:rFonts w:ascii="Arial" w:cs="Arial" w:eastAsia="Arial" w:hAnsi="Arial"/>
                <w:sz w:val="14"/>
                <w:szCs w:val="14"/>
                <w:color w:val="001641"/>
              </w:rPr>
              <w:t>249,951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-1302385</wp:posOffset>
            </wp:positionV>
            <wp:extent cx="437197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133" w:lineRule="exact"/>
        <w:rPr>
          <w:sz w:val="20"/>
          <w:szCs w:val="20"/>
          <w:color w:val="auto"/>
        </w:rPr>
      </w:pPr>
    </w:p>
    <w:p>
      <w:pPr>
        <w:ind w:left="246" w:right="100" w:hanging="246"/>
        <w:spacing w:after="0" w:line="281" w:lineRule="auto"/>
        <w:tabs>
          <w:tab w:leader="none" w:pos="246" w:val="left"/>
        </w:tabs>
        <w:numPr>
          <w:ilvl w:val="0"/>
          <w:numId w:val="73"/>
        </w:numPr>
        <w:rPr>
          <w:rFonts w:ascii="Arial" w:cs="Arial" w:eastAsia="Arial" w:hAnsi="Arial"/>
          <w:sz w:val="14"/>
          <w:szCs w:val="14"/>
          <w:color w:val="4C4C4C"/>
        </w:rPr>
      </w:pPr>
      <w:r>
        <w:rPr>
          <w:rFonts w:ascii="Arial" w:cs="Arial" w:eastAsia="Arial" w:hAnsi="Arial"/>
          <w:sz w:val="14"/>
          <w:szCs w:val="14"/>
          <w:color w:val="4C4C4C"/>
        </w:rPr>
        <w:t>The amounts reported in this column represent payments made under the EOAIP in June following the expiration of the fiscal year to which the payments relate.</w:t>
      </w:r>
    </w:p>
    <w:p>
      <w:pPr>
        <w:spacing w:after="0" w:line="1" w:lineRule="exact"/>
        <w:rPr>
          <w:rFonts w:ascii="Arial" w:cs="Arial" w:eastAsia="Arial" w:hAnsi="Arial"/>
          <w:sz w:val="14"/>
          <w:szCs w:val="14"/>
          <w:color w:val="4C4C4C"/>
        </w:rPr>
      </w:pPr>
    </w:p>
    <w:p>
      <w:pPr>
        <w:ind w:left="246" w:right="40" w:hanging="246"/>
        <w:spacing w:after="0" w:line="256" w:lineRule="auto"/>
        <w:tabs>
          <w:tab w:leader="none" w:pos="246" w:val="left"/>
        </w:tabs>
        <w:numPr>
          <w:ilvl w:val="0"/>
          <w:numId w:val="73"/>
        </w:numPr>
        <w:rPr>
          <w:rFonts w:ascii="Arial" w:cs="Arial" w:eastAsia="Arial" w:hAnsi="Arial"/>
          <w:sz w:val="14"/>
          <w:szCs w:val="14"/>
          <w:color w:val="4C4C4C"/>
        </w:rPr>
      </w:pPr>
      <w:r>
        <w:rPr>
          <w:rFonts w:ascii="Arial" w:cs="Arial" w:eastAsia="Arial" w:hAnsi="Arial"/>
          <w:sz w:val="14"/>
          <w:szCs w:val="14"/>
          <w:color w:val="4C4C4C"/>
        </w:rPr>
        <w:t>The amounts reported in this column represent the aggregate dollar amount for each NEO of all other compensation for the year, including perquisites and other personal benefits. Under SEC rules, we are required to identify by type all perquisites and other personal benefits for a NEO if the total value for that individual equals or exceeds $10,000, and to report and quantify each perquisite or personal benefit that exceeds the greater of $25,000 or 10% of the total amount for that individual.</w:t>
      </w:r>
    </w:p>
    <w:p>
      <w:pPr>
        <w:spacing w:after="0" w:line="15" w:lineRule="exact"/>
        <w:rPr>
          <w:rFonts w:ascii="Arial" w:cs="Arial" w:eastAsia="Arial" w:hAnsi="Arial"/>
          <w:sz w:val="14"/>
          <w:szCs w:val="14"/>
          <w:color w:val="4C4C4C"/>
        </w:rPr>
      </w:pPr>
    </w:p>
    <w:p>
      <w:pPr>
        <w:ind w:left="246" w:right="360"/>
        <w:spacing w:after="0" w:line="281" w:lineRule="auto"/>
        <w:rPr>
          <w:rFonts w:ascii="Arial" w:cs="Arial" w:eastAsia="Arial" w:hAnsi="Arial"/>
          <w:sz w:val="14"/>
          <w:szCs w:val="14"/>
          <w:color w:val="4C4C4C"/>
        </w:rPr>
      </w:pPr>
      <w:r>
        <w:rPr>
          <w:rFonts w:ascii="Arial" w:cs="Arial" w:eastAsia="Arial" w:hAnsi="Arial"/>
          <w:sz w:val="14"/>
          <w:szCs w:val="14"/>
          <w:color w:val="4C4C4C"/>
        </w:rPr>
        <w:t>In Fiscal 2026, Mr. R. Lauren received perquisites and other personal benefits, including reimbursement for personal travel ($200,000), personal use of an automobile and driver ($26,218) and enhanced amount of business travel accident coverage.</w:t>
      </w:r>
    </w:p>
    <w:p>
      <w:pPr>
        <w:spacing w:after="0" w:line="1" w:lineRule="exact"/>
        <w:rPr>
          <w:rFonts w:ascii="Arial" w:cs="Arial" w:eastAsia="Arial" w:hAnsi="Arial"/>
          <w:sz w:val="14"/>
          <w:szCs w:val="14"/>
          <w:color w:val="4C4C4C"/>
        </w:rPr>
      </w:pPr>
    </w:p>
    <w:p>
      <w:pPr>
        <w:ind w:left="246" w:right="20"/>
        <w:spacing w:after="0" w:line="263" w:lineRule="auto"/>
        <w:rPr>
          <w:rFonts w:ascii="Arial" w:cs="Arial" w:eastAsia="Arial" w:hAnsi="Arial"/>
          <w:sz w:val="14"/>
          <w:szCs w:val="14"/>
          <w:color w:val="4C4C4C"/>
        </w:rPr>
      </w:pPr>
      <w:r>
        <w:rPr>
          <w:rFonts w:ascii="Arial" w:cs="Arial" w:eastAsia="Arial" w:hAnsi="Arial"/>
          <w:sz w:val="14"/>
          <w:szCs w:val="14"/>
          <w:color w:val="4C4C4C"/>
        </w:rPr>
        <w:t>In Fiscal 2026, Mr. Louvet received perquisites and other personal benefits, including car service for travel to and from his home to the office ($43,123), financial planning services ($30,000), concierge medical benefit, executive medical exam and matching contributions under the Company’s 401(k) plan.</w:t>
      </w:r>
    </w:p>
    <w:p>
      <w:pPr>
        <w:spacing w:after="0" w:line="10" w:lineRule="exact"/>
        <w:rPr>
          <w:rFonts w:ascii="Arial" w:cs="Arial" w:eastAsia="Arial" w:hAnsi="Arial"/>
          <w:sz w:val="14"/>
          <w:szCs w:val="14"/>
          <w:color w:val="4C4C4C"/>
        </w:rPr>
      </w:pPr>
    </w:p>
    <w:p>
      <w:pPr>
        <w:ind w:left="246" w:right="280"/>
        <w:spacing w:after="0" w:line="281" w:lineRule="auto"/>
        <w:rPr>
          <w:rFonts w:ascii="Arial" w:cs="Arial" w:eastAsia="Arial" w:hAnsi="Arial"/>
          <w:sz w:val="14"/>
          <w:szCs w:val="14"/>
          <w:color w:val="4C4C4C"/>
        </w:rPr>
      </w:pPr>
      <w:r>
        <w:rPr>
          <w:rFonts w:ascii="Arial" w:cs="Arial" w:eastAsia="Arial" w:hAnsi="Arial"/>
          <w:sz w:val="14"/>
          <w:szCs w:val="14"/>
          <w:color w:val="4C4C4C"/>
        </w:rPr>
        <w:t>In Fiscal 2026, Mr. Ranftl received perquisites and other personal benefits, including an automobile allowance, tax payments related to a prior international assignment and matching contributions under the Company’s 401(k) plan.</w:t>
      </w:r>
    </w:p>
    <w:p>
      <w:pPr>
        <w:spacing w:after="0" w:line="1" w:lineRule="exact"/>
        <w:rPr>
          <w:rFonts w:ascii="Arial" w:cs="Arial" w:eastAsia="Arial" w:hAnsi="Arial"/>
          <w:sz w:val="14"/>
          <w:szCs w:val="14"/>
          <w:color w:val="4C4C4C"/>
        </w:rPr>
      </w:pPr>
    </w:p>
    <w:p>
      <w:pPr>
        <w:ind w:left="246" w:right="460"/>
        <w:spacing w:after="0" w:line="281" w:lineRule="auto"/>
        <w:rPr>
          <w:rFonts w:ascii="Arial" w:cs="Arial" w:eastAsia="Arial" w:hAnsi="Arial"/>
          <w:sz w:val="14"/>
          <w:szCs w:val="14"/>
          <w:color w:val="4C4C4C"/>
        </w:rPr>
      </w:pPr>
      <w:r>
        <w:rPr>
          <w:rFonts w:ascii="Arial" w:cs="Arial" w:eastAsia="Arial" w:hAnsi="Arial"/>
          <w:sz w:val="14"/>
          <w:szCs w:val="14"/>
          <w:color w:val="4C4C4C"/>
        </w:rPr>
        <w:t>In Fiscal 2026, Mr. Picicci and Mr. D. Lauren received perquisites and other personal benefits, including an automobile allowance and matching contributions under the Company’s 401(k) plan.</w:t>
      </w:r>
    </w:p>
    <w:p>
      <w:pPr>
        <w:spacing w:after="0" w:line="1" w:lineRule="exact"/>
        <w:rPr>
          <w:rFonts w:ascii="Arial" w:cs="Arial" w:eastAsia="Arial" w:hAnsi="Arial"/>
          <w:sz w:val="14"/>
          <w:szCs w:val="14"/>
          <w:color w:val="4C4C4C"/>
        </w:rPr>
      </w:pPr>
    </w:p>
    <w:p>
      <w:pPr>
        <w:ind w:left="246" w:right="140"/>
        <w:spacing w:after="0" w:line="285" w:lineRule="auto"/>
        <w:rPr>
          <w:rFonts w:ascii="Arial" w:cs="Arial" w:eastAsia="Arial" w:hAnsi="Arial"/>
          <w:sz w:val="14"/>
          <w:szCs w:val="14"/>
          <w:color w:val="4C4C4C"/>
        </w:rPr>
      </w:pPr>
      <w:r>
        <w:rPr>
          <w:rFonts w:ascii="Arial" w:cs="Arial" w:eastAsia="Arial" w:hAnsi="Arial"/>
          <w:sz w:val="14"/>
          <w:szCs w:val="14"/>
          <w:color w:val="4C4C4C"/>
        </w:rPr>
        <w:t>In Fiscal 2026, Ms. Alagoz received perquisites and other personal benefits, including financial planning services ($40,000), an automobile allowance, an executive medical exam and matching contributions under the Company’s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82930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63"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86</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53340</wp:posOffset>
            </wp:positionV>
            <wp:extent cx="582930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BFA071"/>
        </w:rPr>
        <w:t>GRANTS OF PLAN-BASED AWARDS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represents all plan-based awards granted to the NEOs in Fiscal 2026.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 w:type="dxa"/>
            <w:vAlign w:val="bottom"/>
            <w:shd w:val="clear" w:color="auto" w:fill="001641"/>
          </w:tcPr>
          <w:p>
            <w:pPr>
              <w:spacing w:after="0"/>
              <w:rPr>
                <w:sz w:val="19"/>
                <w:szCs w:val="19"/>
                <w:color w:val="auto"/>
              </w:rPr>
            </w:pPr>
          </w:p>
        </w:tc>
        <w:tc>
          <w:tcPr>
            <w:tcW w:w="1040" w:type="dxa"/>
            <w:vAlign w:val="bottom"/>
            <w:shd w:val="clear" w:color="auto" w:fill="001641"/>
          </w:tcPr>
          <w:p>
            <w:pPr>
              <w:spacing w:after="0"/>
              <w:rPr>
                <w:sz w:val="19"/>
                <w:szCs w:val="19"/>
                <w:color w:val="auto"/>
              </w:rPr>
            </w:pPr>
          </w:p>
        </w:tc>
        <w:tc>
          <w:tcPr>
            <w:tcW w:w="800" w:type="dxa"/>
            <w:vAlign w:val="bottom"/>
            <w:shd w:val="clear" w:color="auto" w:fill="001641"/>
          </w:tcPr>
          <w:p>
            <w:pPr>
              <w:spacing w:after="0"/>
              <w:rPr>
                <w:sz w:val="19"/>
                <w:szCs w:val="19"/>
                <w:color w:val="auto"/>
              </w:rPr>
            </w:pPr>
          </w:p>
        </w:tc>
        <w:tc>
          <w:tcPr>
            <w:tcW w:w="120" w:type="dxa"/>
            <w:vAlign w:val="bottom"/>
            <w:shd w:val="clear" w:color="auto" w:fill="BFA071"/>
          </w:tcPr>
          <w:p>
            <w:pPr>
              <w:spacing w:after="0"/>
              <w:rPr>
                <w:sz w:val="19"/>
                <w:szCs w:val="19"/>
                <w:color w:val="auto"/>
              </w:rPr>
            </w:pPr>
          </w:p>
        </w:tc>
        <w:tc>
          <w:tcPr>
            <w:tcW w:w="780" w:type="dxa"/>
            <w:vAlign w:val="bottom"/>
            <w:shd w:val="clear" w:color="auto" w:fill="BFA071"/>
          </w:tcPr>
          <w:p>
            <w:pPr>
              <w:spacing w:after="0"/>
              <w:rPr>
                <w:sz w:val="19"/>
                <w:szCs w:val="19"/>
                <w:color w:val="auto"/>
              </w:rPr>
            </w:pPr>
          </w:p>
        </w:tc>
        <w:tc>
          <w:tcPr>
            <w:tcW w:w="780" w:type="dxa"/>
            <w:vAlign w:val="bottom"/>
            <w:shd w:val="clear" w:color="auto" w:fill="BFA071"/>
          </w:tcPr>
          <w:p>
            <w:pPr>
              <w:spacing w:after="0"/>
              <w:rPr>
                <w:sz w:val="19"/>
                <w:szCs w:val="19"/>
                <w:color w:val="auto"/>
              </w:rPr>
            </w:pPr>
          </w:p>
        </w:tc>
        <w:tc>
          <w:tcPr>
            <w:tcW w:w="760" w:type="dxa"/>
            <w:vAlign w:val="bottom"/>
            <w:shd w:val="clear" w:color="auto" w:fill="BFA071"/>
          </w:tcPr>
          <w:p>
            <w:pPr>
              <w:spacing w:after="0"/>
              <w:rPr>
                <w:sz w:val="19"/>
                <w:szCs w:val="19"/>
                <w:color w:val="auto"/>
              </w:rPr>
            </w:pPr>
          </w:p>
        </w:tc>
        <w:tc>
          <w:tcPr>
            <w:tcW w:w="100" w:type="dxa"/>
            <w:vAlign w:val="bottom"/>
            <w:shd w:val="clear" w:color="auto" w:fill="BFA071"/>
          </w:tcPr>
          <w:p>
            <w:pPr>
              <w:spacing w:after="0"/>
              <w:rPr>
                <w:sz w:val="19"/>
                <w:szCs w:val="19"/>
                <w:color w:val="auto"/>
              </w:rPr>
            </w:pPr>
          </w:p>
        </w:tc>
        <w:tc>
          <w:tcPr>
            <w:tcW w:w="120" w:type="dxa"/>
            <w:vAlign w:val="bottom"/>
            <w:shd w:val="clear" w:color="auto" w:fill="001641"/>
          </w:tcPr>
          <w:p>
            <w:pPr>
              <w:spacing w:after="0"/>
              <w:rPr>
                <w:sz w:val="19"/>
                <w:szCs w:val="19"/>
                <w:color w:val="auto"/>
              </w:rPr>
            </w:pPr>
          </w:p>
        </w:tc>
        <w:tc>
          <w:tcPr>
            <w:tcW w:w="800" w:type="dxa"/>
            <w:vAlign w:val="bottom"/>
            <w:shd w:val="clear" w:color="auto" w:fill="001641"/>
          </w:tcPr>
          <w:p>
            <w:pPr>
              <w:spacing w:after="0"/>
              <w:rPr>
                <w:sz w:val="19"/>
                <w:szCs w:val="19"/>
                <w:color w:val="auto"/>
              </w:rPr>
            </w:pPr>
          </w:p>
        </w:tc>
        <w:tc>
          <w:tcPr>
            <w:tcW w:w="660" w:type="dxa"/>
            <w:vAlign w:val="bottom"/>
            <w:shd w:val="clear" w:color="auto" w:fill="001641"/>
          </w:tcPr>
          <w:p>
            <w:pPr>
              <w:spacing w:after="0"/>
              <w:rPr>
                <w:sz w:val="19"/>
                <w:szCs w:val="19"/>
                <w:color w:val="auto"/>
              </w:rPr>
            </w:pPr>
          </w:p>
        </w:tc>
        <w:tc>
          <w:tcPr>
            <w:tcW w:w="740" w:type="dxa"/>
            <w:vAlign w:val="bottom"/>
            <w:shd w:val="clear" w:color="auto" w:fill="001641"/>
          </w:tcPr>
          <w:p>
            <w:pPr>
              <w:spacing w:after="0"/>
              <w:rPr>
                <w:sz w:val="19"/>
                <w:szCs w:val="19"/>
                <w:color w:val="auto"/>
              </w:rPr>
            </w:pPr>
          </w:p>
        </w:tc>
        <w:tc>
          <w:tcPr>
            <w:tcW w:w="120" w:type="dxa"/>
            <w:vAlign w:val="bottom"/>
            <w:shd w:val="clear" w:color="auto" w:fill="001641"/>
          </w:tcPr>
          <w:p>
            <w:pPr>
              <w:spacing w:after="0"/>
              <w:rPr>
                <w:sz w:val="19"/>
                <w:szCs w:val="19"/>
                <w:color w:val="auto"/>
              </w:rPr>
            </w:pPr>
          </w:p>
        </w:tc>
        <w:tc>
          <w:tcPr>
            <w:tcW w:w="880" w:type="dxa"/>
            <w:vAlign w:val="bottom"/>
            <w:shd w:val="clear" w:color="auto" w:fill="BFA071"/>
          </w:tcPr>
          <w:p>
            <w:pPr>
              <w:jc w:val="right"/>
              <w:ind w:right="77"/>
              <w:spacing w:after="0"/>
              <w:rPr>
                <w:sz w:val="20"/>
                <w:szCs w:val="20"/>
                <w:color w:val="auto"/>
              </w:rPr>
            </w:pPr>
            <w:r>
              <w:rPr>
                <w:rFonts w:ascii="Arial" w:cs="Arial" w:eastAsia="Arial" w:hAnsi="Arial"/>
                <w:sz w:val="13"/>
                <w:szCs w:val="13"/>
                <w:b w:val="1"/>
                <w:bCs w:val="1"/>
                <w:color w:val="FFFFFF"/>
              </w:rPr>
              <w:t>All Other</w:t>
            </w:r>
          </w:p>
        </w:tc>
        <w:tc>
          <w:tcPr>
            <w:tcW w:w="120" w:type="dxa"/>
            <w:vAlign w:val="bottom"/>
            <w:shd w:val="clear" w:color="auto" w:fill="001641"/>
          </w:tcPr>
          <w:p>
            <w:pPr>
              <w:spacing w:after="0"/>
              <w:rPr>
                <w:sz w:val="19"/>
                <w:szCs w:val="19"/>
                <w:color w:val="auto"/>
              </w:rPr>
            </w:pPr>
          </w:p>
        </w:tc>
        <w:tc>
          <w:tcPr>
            <w:tcW w:w="820" w:type="dxa"/>
            <w:vAlign w:val="bottom"/>
            <w:shd w:val="clear" w:color="auto" w:fill="001641"/>
          </w:tcPr>
          <w:p>
            <w:pPr>
              <w:spacing w:after="0"/>
              <w:rPr>
                <w:sz w:val="19"/>
                <w:szCs w:val="19"/>
                <w:color w:val="auto"/>
              </w:rPr>
            </w:pPr>
          </w:p>
        </w:tc>
        <w:tc>
          <w:tcPr>
            <w:tcW w:w="800" w:type="dxa"/>
            <w:vAlign w:val="bottom"/>
            <w:shd w:val="clear" w:color="auto" w:fill="001641"/>
          </w:tcPr>
          <w:p>
            <w:pPr>
              <w:jc w:val="right"/>
              <w:ind w:right="17"/>
              <w:spacing w:after="0"/>
              <w:rPr>
                <w:sz w:val="20"/>
                <w:szCs w:val="20"/>
                <w:color w:val="auto"/>
              </w:rPr>
            </w:pPr>
            <w:r>
              <w:rPr>
                <w:rFonts w:ascii="Arial" w:cs="Arial" w:eastAsia="Arial" w:hAnsi="Arial"/>
                <w:sz w:val="13"/>
                <w:szCs w:val="13"/>
                <w:b w:val="1"/>
                <w:bCs w:val="1"/>
                <w:color w:val="FFFFFF"/>
              </w:rPr>
              <w:t>Grant</w:t>
            </w:r>
          </w:p>
        </w:tc>
        <w:tc>
          <w:tcPr>
            <w:tcW w:w="0" w:type="dxa"/>
            <w:vAlign w:val="bottom"/>
          </w:tcPr>
          <w:p>
            <w:pPr>
              <w:spacing w:after="0"/>
              <w:rPr>
                <w:sz w:val="1"/>
                <w:szCs w:val="1"/>
                <w:color w:val="auto"/>
              </w:rPr>
            </w:pPr>
          </w:p>
        </w:tc>
      </w:tr>
      <w:tr>
        <w:trPr>
          <w:trHeight w:val="139"/>
        </w:trPr>
        <w:tc>
          <w:tcPr>
            <w:tcW w:w="60" w:type="dxa"/>
            <w:vAlign w:val="bottom"/>
            <w:shd w:val="clear" w:color="auto" w:fill="001641"/>
          </w:tcPr>
          <w:p>
            <w:pPr>
              <w:spacing w:after="0"/>
              <w:rPr>
                <w:sz w:val="12"/>
                <w:szCs w:val="12"/>
                <w:color w:val="auto"/>
              </w:rPr>
            </w:pPr>
          </w:p>
        </w:tc>
        <w:tc>
          <w:tcPr>
            <w:tcW w:w="1040" w:type="dxa"/>
            <w:vAlign w:val="bottom"/>
            <w:shd w:val="clear" w:color="auto" w:fill="001641"/>
          </w:tcPr>
          <w:p>
            <w:pPr>
              <w:spacing w:after="0"/>
              <w:rPr>
                <w:sz w:val="12"/>
                <w:szCs w:val="12"/>
                <w:color w:val="auto"/>
              </w:rPr>
            </w:pPr>
          </w:p>
        </w:tc>
        <w:tc>
          <w:tcPr>
            <w:tcW w:w="800" w:type="dxa"/>
            <w:vAlign w:val="bottom"/>
            <w:shd w:val="clear" w:color="auto" w:fill="001641"/>
          </w:tcPr>
          <w:p>
            <w:pPr>
              <w:spacing w:after="0"/>
              <w:rPr>
                <w:sz w:val="12"/>
                <w:szCs w:val="12"/>
                <w:color w:val="auto"/>
              </w:rPr>
            </w:pPr>
          </w:p>
        </w:tc>
        <w:tc>
          <w:tcPr>
            <w:tcW w:w="120" w:type="dxa"/>
            <w:vAlign w:val="bottom"/>
            <w:shd w:val="clear" w:color="auto" w:fill="BFA071"/>
          </w:tcPr>
          <w:p>
            <w:pPr>
              <w:spacing w:after="0"/>
              <w:rPr>
                <w:sz w:val="12"/>
                <w:szCs w:val="12"/>
                <w:color w:val="auto"/>
              </w:rPr>
            </w:pPr>
          </w:p>
        </w:tc>
        <w:tc>
          <w:tcPr>
            <w:tcW w:w="2320" w:type="dxa"/>
            <w:vAlign w:val="bottom"/>
            <w:gridSpan w:val="3"/>
            <w:shd w:val="clear" w:color="auto" w:fill="BFA071"/>
          </w:tcPr>
          <w:p>
            <w:pPr>
              <w:jc w:val="right"/>
              <w:ind w:right="77"/>
              <w:spacing w:after="0" w:line="139" w:lineRule="exact"/>
              <w:rPr>
                <w:sz w:val="20"/>
                <w:szCs w:val="20"/>
                <w:color w:val="auto"/>
              </w:rPr>
            </w:pPr>
            <w:r>
              <w:rPr>
                <w:rFonts w:ascii="Arial" w:cs="Arial" w:eastAsia="Arial" w:hAnsi="Arial"/>
                <w:sz w:val="13"/>
                <w:szCs w:val="13"/>
                <w:b w:val="1"/>
                <w:bCs w:val="1"/>
                <w:color w:val="FFFFFF"/>
              </w:rPr>
              <w:t>Estimated Possible Payouts Under</w:t>
            </w:r>
          </w:p>
        </w:tc>
        <w:tc>
          <w:tcPr>
            <w:tcW w:w="100" w:type="dxa"/>
            <w:vAlign w:val="bottom"/>
            <w:shd w:val="clear" w:color="auto" w:fill="BFA071"/>
          </w:tcPr>
          <w:p>
            <w:pPr>
              <w:spacing w:after="0"/>
              <w:rPr>
                <w:sz w:val="12"/>
                <w:szCs w:val="12"/>
                <w:color w:val="auto"/>
              </w:rPr>
            </w:pPr>
          </w:p>
        </w:tc>
        <w:tc>
          <w:tcPr>
            <w:tcW w:w="120" w:type="dxa"/>
            <w:vAlign w:val="bottom"/>
            <w:shd w:val="clear" w:color="auto" w:fill="001641"/>
          </w:tcPr>
          <w:p>
            <w:pPr>
              <w:spacing w:after="0"/>
              <w:rPr>
                <w:sz w:val="12"/>
                <w:szCs w:val="12"/>
                <w:color w:val="auto"/>
              </w:rPr>
            </w:pPr>
          </w:p>
        </w:tc>
        <w:tc>
          <w:tcPr>
            <w:tcW w:w="2200" w:type="dxa"/>
            <w:vAlign w:val="bottom"/>
            <w:gridSpan w:val="3"/>
            <w:shd w:val="clear" w:color="auto" w:fill="001641"/>
          </w:tcPr>
          <w:p>
            <w:pPr>
              <w:jc w:val="right"/>
              <w:ind w:right="77"/>
              <w:spacing w:after="0" w:line="139" w:lineRule="exact"/>
              <w:rPr>
                <w:sz w:val="20"/>
                <w:szCs w:val="20"/>
                <w:color w:val="auto"/>
              </w:rPr>
            </w:pPr>
            <w:r>
              <w:rPr>
                <w:rFonts w:ascii="Arial" w:cs="Arial" w:eastAsia="Arial" w:hAnsi="Arial"/>
                <w:sz w:val="13"/>
                <w:szCs w:val="13"/>
                <w:b w:val="1"/>
                <w:bCs w:val="1"/>
                <w:color w:val="FFFFFF"/>
              </w:rPr>
              <w:t>Estimated Future Payouts Under</w:t>
            </w:r>
          </w:p>
        </w:tc>
        <w:tc>
          <w:tcPr>
            <w:tcW w:w="120" w:type="dxa"/>
            <w:vAlign w:val="bottom"/>
            <w:shd w:val="clear" w:color="auto" w:fill="001641"/>
          </w:tcPr>
          <w:p>
            <w:pPr>
              <w:spacing w:after="0"/>
              <w:rPr>
                <w:sz w:val="12"/>
                <w:szCs w:val="12"/>
                <w:color w:val="auto"/>
              </w:rPr>
            </w:pPr>
          </w:p>
        </w:tc>
        <w:tc>
          <w:tcPr>
            <w:tcW w:w="880" w:type="dxa"/>
            <w:vAlign w:val="bottom"/>
            <w:shd w:val="clear" w:color="auto" w:fill="BFA071"/>
          </w:tcPr>
          <w:p>
            <w:pPr>
              <w:jc w:val="right"/>
              <w:ind w:right="77"/>
              <w:spacing w:after="0" w:line="139" w:lineRule="exact"/>
              <w:rPr>
                <w:sz w:val="20"/>
                <w:szCs w:val="20"/>
                <w:color w:val="auto"/>
              </w:rPr>
            </w:pPr>
            <w:r>
              <w:rPr>
                <w:rFonts w:ascii="Arial" w:cs="Arial" w:eastAsia="Arial" w:hAnsi="Arial"/>
                <w:sz w:val="13"/>
                <w:szCs w:val="13"/>
                <w:b w:val="1"/>
                <w:bCs w:val="1"/>
                <w:color w:val="FFFFFF"/>
              </w:rPr>
              <w:t>Stock</w:t>
            </w:r>
          </w:p>
        </w:tc>
        <w:tc>
          <w:tcPr>
            <w:tcW w:w="120" w:type="dxa"/>
            <w:vAlign w:val="bottom"/>
            <w:shd w:val="clear" w:color="auto" w:fill="001641"/>
          </w:tcPr>
          <w:p>
            <w:pPr>
              <w:spacing w:after="0"/>
              <w:rPr>
                <w:sz w:val="12"/>
                <w:szCs w:val="12"/>
                <w:color w:val="auto"/>
              </w:rPr>
            </w:pPr>
          </w:p>
        </w:tc>
        <w:tc>
          <w:tcPr>
            <w:tcW w:w="820" w:type="dxa"/>
            <w:vAlign w:val="bottom"/>
            <w:shd w:val="clear" w:color="auto" w:fill="001641"/>
          </w:tcPr>
          <w:p>
            <w:pPr>
              <w:spacing w:after="0"/>
              <w:rPr>
                <w:sz w:val="12"/>
                <w:szCs w:val="12"/>
                <w:color w:val="auto"/>
              </w:rPr>
            </w:pPr>
          </w:p>
        </w:tc>
        <w:tc>
          <w:tcPr>
            <w:tcW w:w="800" w:type="dxa"/>
            <w:vAlign w:val="bottom"/>
            <w:shd w:val="clear" w:color="auto" w:fill="001641"/>
          </w:tcPr>
          <w:p>
            <w:pPr>
              <w:jc w:val="right"/>
              <w:ind w:right="57"/>
              <w:spacing w:after="0" w:line="139" w:lineRule="exact"/>
              <w:rPr>
                <w:sz w:val="20"/>
                <w:szCs w:val="20"/>
                <w:color w:val="auto"/>
              </w:rPr>
            </w:pPr>
            <w:r>
              <w:rPr>
                <w:rFonts w:ascii="Arial" w:cs="Arial" w:eastAsia="Arial" w:hAnsi="Arial"/>
                <w:sz w:val="13"/>
                <w:szCs w:val="13"/>
                <w:b w:val="1"/>
                <w:bCs w:val="1"/>
                <w:color w:val="FFFFFF"/>
              </w:rPr>
              <w:t>Date</w:t>
            </w:r>
          </w:p>
        </w:tc>
        <w:tc>
          <w:tcPr>
            <w:tcW w:w="0" w:type="dxa"/>
            <w:vAlign w:val="bottom"/>
          </w:tcPr>
          <w:p>
            <w:pPr>
              <w:spacing w:after="0"/>
              <w:rPr>
                <w:sz w:val="1"/>
                <w:szCs w:val="1"/>
                <w:color w:val="auto"/>
              </w:rPr>
            </w:pPr>
          </w:p>
        </w:tc>
      </w:tr>
      <w:tr>
        <w:trPr>
          <w:trHeight w:val="135"/>
        </w:trPr>
        <w:tc>
          <w:tcPr>
            <w:tcW w:w="60" w:type="dxa"/>
            <w:vAlign w:val="bottom"/>
            <w:shd w:val="clear" w:color="auto" w:fill="001641"/>
          </w:tcPr>
          <w:p>
            <w:pPr>
              <w:spacing w:after="0"/>
              <w:rPr>
                <w:sz w:val="11"/>
                <w:szCs w:val="11"/>
                <w:color w:val="auto"/>
              </w:rPr>
            </w:pPr>
          </w:p>
        </w:tc>
        <w:tc>
          <w:tcPr>
            <w:tcW w:w="1040" w:type="dxa"/>
            <w:vAlign w:val="bottom"/>
            <w:shd w:val="clear" w:color="auto" w:fill="001641"/>
          </w:tcPr>
          <w:p>
            <w:pPr>
              <w:spacing w:after="0"/>
              <w:rPr>
                <w:sz w:val="11"/>
                <w:szCs w:val="11"/>
                <w:color w:val="auto"/>
              </w:rPr>
            </w:pPr>
          </w:p>
        </w:tc>
        <w:tc>
          <w:tcPr>
            <w:tcW w:w="800" w:type="dxa"/>
            <w:vAlign w:val="bottom"/>
            <w:shd w:val="clear" w:color="auto" w:fill="001641"/>
          </w:tcPr>
          <w:p>
            <w:pPr>
              <w:spacing w:after="0"/>
              <w:rPr>
                <w:sz w:val="11"/>
                <w:szCs w:val="11"/>
                <w:color w:val="auto"/>
              </w:rPr>
            </w:pPr>
          </w:p>
        </w:tc>
        <w:tc>
          <w:tcPr>
            <w:tcW w:w="120" w:type="dxa"/>
            <w:vAlign w:val="bottom"/>
            <w:shd w:val="clear" w:color="auto" w:fill="BFA071"/>
          </w:tcPr>
          <w:p>
            <w:pPr>
              <w:spacing w:after="0"/>
              <w:rPr>
                <w:sz w:val="11"/>
                <w:szCs w:val="11"/>
                <w:color w:val="auto"/>
              </w:rPr>
            </w:pPr>
          </w:p>
        </w:tc>
        <w:tc>
          <w:tcPr>
            <w:tcW w:w="2320" w:type="dxa"/>
            <w:vAlign w:val="bottom"/>
            <w:gridSpan w:val="3"/>
            <w:shd w:val="clear" w:color="auto" w:fill="BFA071"/>
          </w:tcPr>
          <w:p>
            <w:pPr>
              <w:jc w:val="right"/>
              <w:ind w:right="77"/>
              <w:spacing w:after="0" w:line="135" w:lineRule="exact"/>
              <w:rPr>
                <w:sz w:val="20"/>
                <w:szCs w:val="20"/>
                <w:color w:val="auto"/>
              </w:rPr>
            </w:pPr>
            <w:r>
              <w:rPr>
                <w:rFonts w:ascii="Arial" w:cs="Arial" w:eastAsia="Arial" w:hAnsi="Arial"/>
                <w:sz w:val="13"/>
                <w:szCs w:val="13"/>
                <w:b w:val="1"/>
                <w:bCs w:val="1"/>
                <w:color w:val="FFFFFF"/>
              </w:rPr>
              <w:t>Non-Equity Incentive Plan Awards</w:t>
            </w:r>
          </w:p>
        </w:tc>
        <w:tc>
          <w:tcPr>
            <w:tcW w:w="100" w:type="dxa"/>
            <w:vAlign w:val="bottom"/>
            <w:shd w:val="clear" w:color="auto" w:fill="BFA071"/>
          </w:tcPr>
          <w:p>
            <w:pPr>
              <w:spacing w:after="0"/>
              <w:rPr>
                <w:sz w:val="11"/>
                <w:szCs w:val="11"/>
                <w:color w:val="auto"/>
              </w:rPr>
            </w:pPr>
          </w:p>
        </w:tc>
        <w:tc>
          <w:tcPr>
            <w:tcW w:w="120" w:type="dxa"/>
            <w:vAlign w:val="bottom"/>
            <w:shd w:val="clear" w:color="auto" w:fill="001641"/>
          </w:tcPr>
          <w:p>
            <w:pPr>
              <w:spacing w:after="0"/>
              <w:rPr>
                <w:sz w:val="11"/>
                <w:szCs w:val="11"/>
                <w:color w:val="auto"/>
              </w:rPr>
            </w:pPr>
          </w:p>
        </w:tc>
        <w:tc>
          <w:tcPr>
            <w:tcW w:w="2200" w:type="dxa"/>
            <w:vAlign w:val="bottom"/>
            <w:gridSpan w:val="3"/>
            <w:shd w:val="clear" w:color="auto" w:fill="001641"/>
          </w:tcPr>
          <w:p>
            <w:pPr>
              <w:jc w:val="right"/>
              <w:ind w:right="157"/>
              <w:spacing w:after="0" w:line="135" w:lineRule="exact"/>
              <w:rPr>
                <w:sz w:val="20"/>
                <w:szCs w:val="20"/>
                <w:color w:val="auto"/>
              </w:rPr>
            </w:pPr>
            <w:r>
              <w:rPr>
                <w:rFonts w:ascii="Arial" w:cs="Arial" w:eastAsia="Arial" w:hAnsi="Arial"/>
                <w:sz w:val="13"/>
                <w:szCs w:val="13"/>
                <w:b w:val="1"/>
                <w:bCs w:val="1"/>
                <w:color w:val="FFFFFF"/>
              </w:rPr>
              <w:t>Equity Incentive Plan Awards</w:t>
            </w:r>
          </w:p>
        </w:tc>
        <w:tc>
          <w:tcPr>
            <w:tcW w:w="120" w:type="dxa"/>
            <w:vAlign w:val="bottom"/>
            <w:shd w:val="clear" w:color="auto" w:fill="001641"/>
          </w:tcPr>
          <w:p>
            <w:pPr>
              <w:spacing w:after="0"/>
              <w:rPr>
                <w:sz w:val="11"/>
                <w:szCs w:val="11"/>
                <w:color w:val="auto"/>
              </w:rPr>
            </w:pPr>
          </w:p>
        </w:tc>
        <w:tc>
          <w:tcPr>
            <w:tcW w:w="880" w:type="dxa"/>
            <w:vAlign w:val="bottom"/>
            <w:shd w:val="clear" w:color="auto" w:fill="BFA071"/>
          </w:tcPr>
          <w:p>
            <w:pPr>
              <w:jc w:val="right"/>
              <w:ind w:right="77"/>
              <w:spacing w:after="0" w:line="135" w:lineRule="exact"/>
              <w:rPr>
                <w:sz w:val="20"/>
                <w:szCs w:val="20"/>
                <w:color w:val="auto"/>
              </w:rPr>
            </w:pPr>
            <w:r>
              <w:rPr>
                <w:rFonts w:ascii="Arial" w:cs="Arial" w:eastAsia="Arial" w:hAnsi="Arial"/>
                <w:sz w:val="13"/>
                <w:szCs w:val="13"/>
                <w:b w:val="1"/>
                <w:bCs w:val="1"/>
                <w:color w:val="FFFFFF"/>
              </w:rPr>
              <w:t>Awards:</w:t>
            </w:r>
          </w:p>
        </w:tc>
        <w:tc>
          <w:tcPr>
            <w:tcW w:w="120" w:type="dxa"/>
            <w:vAlign w:val="bottom"/>
            <w:shd w:val="clear" w:color="auto" w:fill="001641"/>
          </w:tcPr>
          <w:p>
            <w:pPr>
              <w:spacing w:after="0"/>
              <w:rPr>
                <w:sz w:val="11"/>
                <w:szCs w:val="11"/>
                <w:color w:val="auto"/>
              </w:rPr>
            </w:pPr>
          </w:p>
        </w:tc>
        <w:tc>
          <w:tcPr>
            <w:tcW w:w="820" w:type="dxa"/>
            <w:vAlign w:val="bottom"/>
            <w:shd w:val="clear" w:color="auto" w:fill="001641"/>
          </w:tcPr>
          <w:p>
            <w:pPr>
              <w:spacing w:after="0"/>
              <w:rPr>
                <w:sz w:val="11"/>
                <w:szCs w:val="11"/>
                <w:color w:val="auto"/>
              </w:rPr>
            </w:pPr>
          </w:p>
        </w:tc>
        <w:tc>
          <w:tcPr>
            <w:tcW w:w="800" w:type="dxa"/>
            <w:vAlign w:val="bottom"/>
            <w:shd w:val="clear" w:color="auto" w:fill="001641"/>
          </w:tcPr>
          <w:p>
            <w:pPr>
              <w:jc w:val="right"/>
              <w:ind w:right="17"/>
              <w:spacing w:after="0" w:line="135" w:lineRule="exact"/>
              <w:rPr>
                <w:sz w:val="20"/>
                <w:szCs w:val="20"/>
                <w:color w:val="auto"/>
              </w:rPr>
            </w:pPr>
            <w:r>
              <w:rPr>
                <w:rFonts w:ascii="Arial" w:cs="Arial" w:eastAsia="Arial" w:hAnsi="Arial"/>
                <w:sz w:val="13"/>
                <w:szCs w:val="13"/>
                <w:b w:val="1"/>
                <w:bCs w:val="1"/>
                <w:color w:val="FFFFFF"/>
              </w:rPr>
              <w:t>Fair Value</w:t>
            </w:r>
          </w:p>
        </w:tc>
        <w:tc>
          <w:tcPr>
            <w:tcW w:w="0" w:type="dxa"/>
            <w:vAlign w:val="bottom"/>
          </w:tcPr>
          <w:p>
            <w:pPr>
              <w:spacing w:after="0"/>
              <w:rPr>
                <w:sz w:val="1"/>
                <w:szCs w:val="1"/>
                <w:color w:val="auto"/>
              </w:rPr>
            </w:pPr>
          </w:p>
        </w:tc>
      </w:tr>
      <w:tr>
        <w:trPr>
          <w:trHeight w:val="131"/>
        </w:trPr>
        <w:tc>
          <w:tcPr>
            <w:tcW w:w="60" w:type="dxa"/>
            <w:vAlign w:val="bottom"/>
            <w:shd w:val="clear" w:color="auto" w:fill="001641"/>
          </w:tcPr>
          <w:p>
            <w:pPr>
              <w:spacing w:after="0"/>
              <w:rPr>
                <w:sz w:val="11"/>
                <w:szCs w:val="11"/>
                <w:color w:val="auto"/>
              </w:rPr>
            </w:pPr>
          </w:p>
        </w:tc>
        <w:tc>
          <w:tcPr>
            <w:tcW w:w="1040" w:type="dxa"/>
            <w:vAlign w:val="bottom"/>
            <w:shd w:val="clear" w:color="auto" w:fill="001641"/>
          </w:tcPr>
          <w:p>
            <w:pPr>
              <w:spacing w:after="0"/>
              <w:rPr>
                <w:sz w:val="11"/>
                <w:szCs w:val="11"/>
                <w:color w:val="auto"/>
              </w:rPr>
            </w:pPr>
          </w:p>
        </w:tc>
        <w:tc>
          <w:tcPr>
            <w:tcW w:w="800" w:type="dxa"/>
            <w:vAlign w:val="bottom"/>
            <w:shd w:val="clear" w:color="auto" w:fill="001641"/>
          </w:tcPr>
          <w:p>
            <w:pPr>
              <w:spacing w:after="0"/>
              <w:rPr>
                <w:sz w:val="11"/>
                <w:szCs w:val="11"/>
                <w:color w:val="auto"/>
              </w:rPr>
            </w:pPr>
          </w:p>
        </w:tc>
        <w:tc>
          <w:tcPr>
            <w:tcW w:w="120" w:type="dxa"/>
            <w:vAlign w:val="bottom"/>
            <w:shd w:val="clear" w:color="auto" w:fill="BFA071"/>
          </w:tcPr>
          <w:p>
            <w:pPr>
              <w:spacing w:after="0"/>
              <w:rPr>
                <w:sz w:val="11"/>
                <w:szCs w:val="11"/>
                <w:color w:val="auto"/>
              </w:rPr>
            </w:pPr>
          </w:p>
        </w:tc>
        <w:tc>
          <w:tcPr>
            <w:tcW w:w="780" w:type="dxa"/>
            <w:vAlign w:val="bottom"/>
            <w:shd w:val="clear" w:color="auto" w:fill="BFA071"/>
          </w:tcPr>
          <w:p>
            <w:pPr>
              <w:spacing w:after="0"/>
              <w:rPr>
                <w:sz w:val="11"/>
                <w:szCs w:val="11"/>
                <w:color w:val="auto"/>
              </w:rPr>
            </w:pPr>
          </w:p>
        </w:tc>
        <w:tc>
          <w:tcPr>
            <w:tcW w:w="780" w:type="dxa"/>
            <w:vAlign w:val="bottom"/>
            <w:shd w:val="clear" w:color="auto" w:fill="BFA071"/>
          </w:tcPr>
          <w:p>
            <w:pPr>
              <w:spacing w:after="0"/>
              <w:rPr>
                <w:sz w:val="11"/>
                <w:szCs w:val="11"/>
                <w:color w:val="auto"/>
              </w:rPr>
            </w:pPr>
          </w:p>
        </w:tc>
        <w:tc>
          <w:tcPr>
            <w:tcW w:w="760" w:type="dxa"/>
            <w:vAlign w:val="bottom"/>
            <w:shd w:val="clear" w:color="auto" w:fill="BFA071"/>
          </w:tcPr>
          <w:p>
            <w:pPr>
              <w:spacing w:after="0"/>
              <w:rPr>
                <w:sz w:val="11"/>
                <w:szCs w:val="11"/>
                <w:color w:val="auto"/>
              </w:rPr>
            </w:pPr>
          </w:p>
        </w:tc>
        <w:tc>
          <w:tcPr>
            <w:tcW w:w="100" w:type="dxa"/>
            <w:vAlign w:val="bottom"/>
            <w:shd w:val="clear" w:color="auto" w:fill="BFA071"/>
          </w:tcPr>
          <w:p>
            <w:pPr>
              <w:spacing w:after="0"/>
              <w:rPr>
                <w:sz w:val="11"/>
                <w:szCs w:val="11"/>
                <w:color w:val="auto"/>
              </w:rPr>
            </w:pPr>
          </w:p>
        </w:tc>
        <w:tc>
          <w:tcPr>
            <w:tcW w:w="120" w:type="dxa"/>
            <w:vAlign w:val="bottom"/>
            <w:shd w:val="clear" w:color="auto" w:fill="001641"/>
          </w:tcPr>
          <w:p>
            <w:pPr>
              <w:spacing w:after="0"/>
              <w:rPr>
                <w:sz w:val="11"/>
                <w:szCs w:val="11"/>
                <w:color w:val="auto"/>
              </w:rPr>
            </w:pPr>
          </w:p>
        </w:tc>
        <w:tc>
          <w:tcPr>
            <w:tcW w:w="800" w:type="dxa"/>
            <w:vAlign w:val="bottom"/>
            <w:shd w:val="clear" w:color="auto" w:fill="001641"/>
          </w:tcPr>
          <w:p>
            <w:pPr>
              <w:spacing w:after="0"/>
              <w:rPr>
                <w:sz w:val="11"/>
                <w:szCs w:val="11"/>
                <w:color w:val="auto"/>
              </w:rPr>
            </w:pPr>
          </w:p>
        </w:tc>
        <w:tc>
          <w:tcPr>
            <w:tcW w:w="660" w:type="dxa"/>
            <w:vAlign w:val="bottom"/>
            <w:shd w:val="clear" w:color="auto" w:fill="001641"/>
          </w:tcPr>
          <w:p>
            <w:pPr>
              <w:spacing w:after="0"/>
              <w:rPr>
                <w:sz w:val="11"/>
                <w:szCs w:val="11"/>
                <w:color w:val="auto"/>
              </w:rPr>
            </w:pPr>
          </w:p>
        </w:tc>
        <w:tc>
          <w:tcPr>
            <w:tcW w:w="740" w:type="dxa"/>
            <w:vAlign w:val="bottom"/>
            <w:shd w:val="clear" w:color="auto" w:fill="001641"/>
          </w:tcPr>
          <w:p>
            <w:pPr>
              <w:spacing w:after="0"/>
              <w:rPr>
                <w:sz w:val="11"/>
                <w:szCs w:val="11"/>
                <w:color w:val="auto"/>
              </w:rPr>
            </w:pPr>
          </w:p>
        </w:tc>
        <w:tc>
          <w:tcPr>
            <w:tcW w:w="120" w:type="dxa"/>
            <w:vAlign w:val="bottom"/>
            <w:shd w:val="clear" w:color="auto" w:fill="001641"/>
          </w:tcPr>
          <w:p>
            <w:pPr>
              <w:spacing w:after="0"/>
              <w:rPr>
                <w:sz w:val="11"/>
                <w:szCs w:val="11"/>
                <w:color w:val="auto"/>
              </w:rPr>
            </w:pPr>
          </w:p>
        </w:tc>
        <w:tc>
          <w:tcPr>
            <w:tcW w:w="880" w:type="dxa"/>
            <w:vAlign w:val="bottom"/>
            <w:shd w:val="clear" w:color="auto" w:fill="BFA071"/>
          </w:tcPr>
          <w:p>
            <w:pPr>
              <w:jc w:val="right"/>
              <w:ind w:right="77"/>
              <w:spacing w:after="0" w:line="131" w:lineRule="exact"/>
              <w:rPr>
                <w:sz w:val="20"/>
                <w:szCs w:val="20"/>
                <w:color w:val="auto"/>
              </w:rPr>
            </w:pPr>
            <w:r>
              <w:rPr>
                <w:rFonts w:ascii="Arial" w:cs="Arial" w:eastAsia="Arial" w:hAnsi="Arial"/>
                <w:sz w:val="13"/>
                <w:szCs w:val="13"/>
                <w:b w:val="1"/>
                <w:bCs w:val="1"/>
                <w:color w:val="FFFFFF"/>
              </w:rPr>
              <w:t>Number of</w:t>
            </w:r>
          </w:p>
        </w:tc>
        <w:tc>
          <w:tcPr>
            <w:tcW w:w="120" w:type="dxa"/>
            <w:vAlign w:val="bottom"/>
            <w:shd w:val="clear" w:color="auto" w:fill="001641"/>
          </w:tcPr>
          <w:p>
            <w:pPr>
              <w:spacing w:after="0"/>
              <w:rPr>
                <w:sz w:val="11"/>
                <w:szCs w:val="11"/>
                <w:color w:val="auto"/>
              </w:rPr>
            </w:pPr>
          </w:p>
        </w:tc>
        <w:tc>
          <w:tcPr>
            <w:tcW w:w="820" w:type="dxa"/>
            <w:vAlign w:val="bottom"/>
            <w:shd w:val="clear" w:color="auto" w:fill="001641"/>
          </w:tcPr>
          <w:p>
            <w:pPr>
              <w:spacing w:after="0"/>
              <w:rPr>
                <w:sz w:val="11"/>
                <w:szCs w:val="11"/>
                <w:color w:val="auto"/>
              </w:rPr>
            </w:pPr>
          </w:p>
        </w:tc>
        <w:tc>
          <w:tcPr>
            <w:tcW w:w="800" w:type="dxa"/>
            <w:vAlign w:val="bottom"/>
            <w:shd w:val="clear" w:color="auto" w:fill="001641"/>
          </w:tcPr>
          <w:p>
            <w:pPr>
              <w:jc w:val="right"/>
              <w:ind w:right="57"/>
              <w:spacing w:after="0" w:line="131" w:lineRule="exact"/>
              <w:rPr>
                <w:sz w:val="20"/>
                <w:szCs w:val="20"/>
                <w:color w:val="auto"/>
              </w:rPr>
            </w:pPr>
            <w:r>
              <w:rPr>
                <w:rFonts w:ascii="Arial" w:cs="Arial" w:eastAsia="Arial" w:hAnsi="Arial"/>
                <w:sz w:val="13"/>
                <w:szCs w:val="13"/>
                <w:b w:val="1"/>
                <w:bCs w:val="1"/>
                <w:color w:val="FFFFFF"/>
              </w:rPr>
              <w:t>of Stock</w:t>
            </w:r>
          </w:p>
        </w:tc>
        <w:tc>
          <w:tcPr>
            <w:tcW w:w="0" w:type="dxa"/>
            <w:vAlign w:val="bottom"/>
          </w:tcPr>
          <w:p>
            <w:pPr>
              <w:spacing w:after="0"/>
              <w:rPr>
                <w:sz w:val="1"/>
                <w:szCs w:val="1"/>
                <w:color w:val="auto"/>
              </w:rPr>
            </w:pPr>
          </w:p>
        </w:tc>
      </w:tr>
      <w:tr>
        <w:trPr>
          <w:trHeight w:val="135"/>
        </w:trPr>
        <w:tc>
          <w:tcPr>
            <w:tcW w:w="60" w:type="dxa"/>
            <w:vAlign w:val="bottom"/>
            <w:shd w:val="clear" w:color="auto" w:fill="001641"/>
          </w:tcPr>
          <w:p>
            <w:pPr>
              <w:spacing w:after="0"/>
              <w:rPr>
                <w:sz w:val="11"/>
                <w:szCs w:val="11"/>
                <w:color w:val="auto"/>
              </w:rPr>
            </w:pPr>
          </w:p>
        </w:tc>
        <w:tc>
          <w:tcPr>
            <w:tcW w:w="1040" w:type="dxa"/>
            <w:vAlign w:val="bottom"/>
            <w:shd w:val="clear" w:color="auto" w:fill="001641"/>
          </w:tcPr>
          <w:p>
            <w:pPr>
              <w:spacing w:after="0"/>
              <w:rPr>
                <w:sz w:val="11"/>
                <w:szCs w:val="11"/>
                <w:color w:val="auto"/>
              </w:rPr>
            </w:pPr>
          </w:p>
        </w:tc>
        <w:tc>
          <w:tcPr>
            <w:tcW w:w="800" w:type="dxa"/>
            <w:vAlign w:val="bottom"/>
            <w:shd w:val="clear" w:color="auto" w:fill="001641"/>
          </w:tcPr>
          <w:p>
            <w:pPr>
              <w:spacing w:after="0"/>
              <w:rPr>
                <w:sz w:val="11"/>
                <w:szCs w:val="11"/>
                <w:color w:val="auto"/>
              </w:rPr>
            </w:pPr>
          </w:p>
        </w:tc>
        <w:tc>
          <w:tcPr>
            <w:tcW w:w="120" w:type="dxa"/>
            <w:vAlign w:val="bottom"/>
            <w:shd w:val="clear" w:color="auto" w:fill="BFA071"/>
          </w:tcPr>
          <w:p>
            <w:pPr>
              <w:spacing w:after="0"/>
              <w:rPr>
                <w:sz w:val="11"/>
                <w:szCs w:val="11"/>
                <w:color w:val="auto"/>
              </w:rPr>
            </w:pPr>
          </w:p>
        </w:tc>
        <w:tc>
          <w:tcPr>
            <w:tcW w:w="780" w:type="dxa"/>
            <w:vAlign w:val="bottom"/>
            <w:shd w:val="clear" w:color="auto" w:fill="BFA071"/>
          </w:tcPr>
          <w:p>
            <w:pPr>
              <w:spacing w:after="0"/>
              <w:rPr>
                <w:sz w:val="11"/>
                <w:szCs w:val="11"/>
                <w:color w:val="auto"/>
              </w:rPr>
            </w:pPr>
          </w:p>
        </w:tc>
        <w:tc>
          <w:tcPr>
            <w:tcW w:w="780" w:type="dxa"/>
            <w:vAlign w:val="bottom"/>
            <w:shd w:val="clear" w:color="auto" w:fill="BFA071"/>
          </w:tcPr>
          <w:p>
            <w:pPr>
              <w:spacing w:after="0"/>
              <w:rPr>
                <w:sz w:val="11"/>
                <w:szCs w:val="11"/>
                <w:color w:val="auto"/>
              </w:rPr>
            </w:pPr>
          </w:p>
        </w:tc>
        <w:tc>
          <w:tcPr>
            <w:tcW w:w="760" w:type="dxa"/>
            <w:vAlign w:val="bottom"/>
            <w:shd w:val="clear" w:color="auto" w:fill="BFA071"/>
          </w:tcPr>
          <w:p>
            <w:pPr>
              <w:spacing w:after="0"/>
              <w:rPr>
                <w:sz w:val="11"/>
                <w:szCs w:val="11"/>
                <w:color w:val="auto"/>
              </w:rPr>
            </w:pPr>
          </w:p>
        </w:tc>
        <w:tc>
          <w:tcPr>
            <w:tcW w:w="100" w:type="dxa"/>
            <w:vAlign w:val="bottom"/>
            <w:shd w:val="clear" w:color="auto" w:fill="BFA071"/>
          </w:tcPr>
          <w:p>
            <w:pPr>
              <w:spacing w:after="0"/>
              <w:rPr>
                <w:sz w:val="11"/>
                <w:szCs w:val="11"/>
                <w:color w:val="auto"/>
              </w:rPr>
            </w:pPr>
          </w:p>
        </w:tc>
        <w:tc>
          <w:tcPr>
            <w:tcW w:w="120" w:type="dxa"/>
            <w:vAlign w:val="bottom"/>
            <w:shd w:val="clear" w:color="auto" w:fill="001641"/>
          </w:tcPr>
          <w:p>
            <w:pPr>
              <w:spacing w:after="0"/>
              <w:rPr>
                <w:sz w:val="11"/>
                <w:szCs w:val="11"/>
                <w:color w:val="auto"/>
              </w:rPr>
            </w:pPr>
          </w:p>
        </w:tc>
        <w:tc>
          <w:tcPr>
            <w:tcW w:w="800" w:type="dxa"/>
            <w:vAlign w:val="bottom"/>
            <w:shd w:val="clear" w:color="auto" w:fill="001641"/>
          </w:tcPr>
          <w:p>
            <w:pPr>
              <w:spacing w:after="0"/>
              <w:rPr>
                <w:sz w:val="11"/>
                <w:szCs w:val="11"/>
                <w:color w:val="auto"/>
              </w:rPr>
            </w:pPr>
          </w:p>
        </w:tc>
        <w:tc>
          <w:tcPr>
            <w:tcW w:w="660" w:type="dxa"/>
            <w:vAlign w:val="bottom"/>
            <w:shd w:val="clear" w:color="auto" w:fill="001641"/>
          </w:tcPr>
          <w:p>
            <w:pPr>
              <w:spacing w:after="0"/>
              <w:rPr>
                <w:sz w:val="11"/>
                <w:szCs w:val="11"/>
                <w:color w:val="auto"/>
              </w:rPr>
            </w:pPr>
          </w:p>
        </w:tc>
        <w:tc>
          <w:tcPr>
            <w:tcW w:w="740" w:type="dxa"/>
            <w:vAlign w:val="bottom"/>
            <w:shd w:val="clear" w:color="auto" w:fill="001641"/>
          </w:tcPr>
          <w:p>
            <w:pPr>
              <w:spacing w:after="0"/>
              <w:rPr>
                <w:sz w:val="11"/>
                <w:szCs w:val="11"/>
                <w:color w:val="auto"/>
              </w:rPr>
            </w:pPr>
          </w:p>
        </w:tc>
        <w:tc>
          <w:tcPr>
            <w:tcW w:w="120" w:type="dxa"/>
            <w:vAlign w:val="bottom"/>
            <w:shd w:val="clear" w:color="auto" w:fill="001641"/>
          </w:tcPr>
          <w:p>
            <w:pPr>
              <w:spacing w:after="0"/>
              <w:rPr>
                <w:sz w:val="11"/>
                <w:szCs w:val="11"/>
                <w:color w:val="auto"/>
              </w:rPr>
            </w:pPr>
          </w:p>
        </w:tc>
        <w:tc>
          <w:tcPr>
            <w:tcW w:w="880" w:type="dxa"/>
            <w:vAlign w:val="bottom"/>
            <w:shd w:val="clear" w:color="auto" w:fill="BFA071"/>
          </w:tcPr>
          <w:p>
            <w:pPr>
              <w:jc w:val="right"/>
              <w:ind w:right="77"/>
              <w:spacing w:after="0" w:line="135" w:lineRule="exact"/>
              <w:rPr>
                <w:sz w:val="20"/>
                <w:szCs w:val="20"/>
                <w:color w:val="auto"/>
              </w:rPr>
            </w:pPr>
            <w:r>
              <w:rPr>
                <w:rFonts w:ascii="Arial" w:cs="Arial" w:eastAsia="Arial" w:hAnsi="Arial"/>
                <w:sz w:val="13"/>
                <w:szCs w:val="13"/>
                <w:b w:val="1"/>
                <w:bCs w:val="1"/>
                <w:color w:val="FFFFFF"/>
              </w:rPr>
              <w:t>Shares of</w:t>
            </w:r>
          </w:p>
        </w:tc>
        <w:tc>
          <w:tcPr>
            <w:tcW w:w="120" w:type="dxa"/>
            <w:vAlign w:val="bottom"/>
            <w:shd w:val="clear" w:color="auto" w:fill="001641"/>
          </w:tcPr>
          <w:p>
            <w:pPr>
              <w:spacing w:after="0"/>
              <w:rPr>
                <w:sz w:val="11"/>
                <w:szCs w:val="11"/>
                <w:color w:val="auto"/>
              </w:rPr>
            </w:pPr>
          </w:p>
        </w:tc>
        <w:tc>
          <w:tcPr>
            <w:tcW w:w="820" w:type="dxa"/>
            <w:vAlign w:val="bottom"/>
            <w:vMerge w:val="restart"/>
            <w:shd w:val="clear" w:color="auto" w:fill="001641"/>
          </w:tcPr>
          <w:p>
            <w:pPr>
              <w:jc w:val="right"/>
              <w:ind w:right="97"/>
              <w:spacing w:after="0"/>
              <w:rPr>
                <w:sz w:val="20"/>
                <w:szCs w:val="20"/>
                <w:color w:val="auto"/>
              </w:rPr>
            </w:pPr>
            <w:r>
              <w:rPr>
                <w:rFonts w:ascii="Arial" w:cs="Arial" w:eastAsia="Arial" w:hAnsi="Arial"/>
                <w:sz w:val="13"/>
                <w:szCs w:val="13"/>
                <w:b w:val="1"/>
                <w:bCs w:val="1"/>
                <w:color w:val="FFFFFF"/>
                <w:w w:val="96"/>
              </w:rPr>
              <w:t>Grant Date</w:t>
            </w:r>
          </w:p>
        </w:tc>
        <w:tc>
          <w:tcPr>
            <w:tcW w:w="800" w:type="dxa"/>
            <w:vAlign w:val="bottom"/>
            <w:shd w:val="clear" w:color="auto" w:fill="001641"/>
          </w:tcPr>
          <w:p>
            <w:pPr>
              <w:jc w:val="right"/>
              <w:ind w:right="17"/>
              <w:spacing w:after="0" w:line="135" w:lineRule="exact"/>
              <w:rPr>
                <w:sz w:val="20"/>
                <w:szCs w:val="20"/>
                <w:color w:val="auto"/>
              </w:rPr>
            </w:pPr>
            <w:r>
              <w:rPr>
                <w:rFonts w:ascii="Arial" w:cs="Arial" w:eastAsia="Arial" w:hAnsi="Arial"/>
                <w:sz w:val="13"/>
                <w:szCs w:val="13"/>
                <w:b w:val="1"/>
                <w:bCs w:val="1"/>
                <w:color w:val="FFFFFF"/>
              </w:rPr>
              <w:t>and</w:t>
            </w:r>
          </w:p>
        </w:tc>
        <w:tc>
          <w:tcPr>
            <w:tcW w:w="0" w:type="dxa"/>
            <w:vAlign w:val="bottom"/>
          </w:tcPr>
          <w:p>
            <w:pPr>
              <w:spacing w:after="0"/>
              <w:rPr>
                <w:sz w:val="1"/>
                <w:szCs w:val="1"/>
                <w:color w:val="auto"/>
              </w:rPr>
            </w:pPr>
          </w:p>
        </w:tc>
      </w:tr>
      <w:tr>
        <w:trPr>
          <w:trHeight w:val="135"/>
        </w:trPr>
        <w:tc>
          <w:tcPr>
            <w:tcW w:w="60" w:type="dxa"/>
            <w:vAlign w:val="bottom"/>
            <w:shd w:val="clear" w:color="auto" w:fill="001641"/>
          </w:tcPr>
          <w:p>
            <w:pPr>
              <w:spacing w:after="0"/>
              <w:rPr>
                <w:sz w:val="11"/>
                <w:szCs w:val="11"/>
                <w:color w:val="auto"/>
              </w:rPr>
            </w:pPr>
          </w:p>
        </w:tc>
        <w:tc>
          <w:tcPr>
            <w:tcW w:w="1040" w:type="dxa"/>
            <w:vAlign w:val="bottom"/>
            <w:shd w:val="clear" w:color="auto" w:fill="001641"/>
          </w:tcPr>
          <w:p>
            <w:pPr>
              <w:spacing w:after="0"/>
              <w:rPr>
                <w:sz w:val="11"/>
                <w:szCs w:val="11"/>
                <w:color w:val="auto"/>
              </w:rPr>
            </w:pPr>
          </w:p>
        </w:tc>
        <w:tc>
          <w:tcPr>
            <w:tcW w:w="800" w:type="dxa"/>
            <w:vAlign w:val="bottom"/>
            <w:shd w:val="clear" w:color="auto" w:fill="001641"/>
          </w:tcPr>
          <w:p>
            <w:pPr>
              <w:spacing w:after="0"/>
              <w:rPr>
                <w:sz w:val="11"/>
                <w:szCs w:val="11"/>
                <w:color w:val="auto"/>
              </w:rPr>
            </w:pPr>
          </w:p>
        </w:tc>
        <w:tc>
          <w:tcPr>
            <w:tcW w:w="120" w:type="dxa"/>
            <w:vAlign w:val="bottom"/>
            <w:shd w:val="clear" w:color="auto" w:fill="BFA071"/>
          </w:tcPr>
          <w:p>
            <w:pPr>
              <w:spacing w:after="0"/>
              <w:rPr>
                <w:sz w:val="11"/>
                <w:szCs w:val="11"/>
                <w:color w:val="auto"/>
              </w:rPr>
            </w:pPr>
          </w:p>
        </w:tc>
        <w:tc>
          <w:tcPr>
            <w:tcW w:w="780" w:type="dxa"/>
            <w:vAlign w:val="bottom"/>
            <w:vMerge w:val="restart"/>
            <w:shd w:val="clear" w:color="auto" w:fill="BFA071"/>
          </w:tcPr>
          <w:p>
            <w:pPr>
              <w:jc w:val="right"/>
              <w:ind w:right="37"/>
              <w:spacing w:after="0"/>
              <w:rPr>
                <w:sz w:val="20"/>
                <w:szCs w:val="20"/>
                <w:color w:val="auto"/>
              </w:rPr>
            </w:pPr>
            <w:r>
              <w:rPr>
                <w:rFonts w:ascii="Arial" w:cs="Arial" w:eastAsia="Arial" w:hAnsi="Arial"/>
                <w:sz w:val="13"/>
                <w:szCs w:val="13"/>
                <w:b w:val="1"/>
                <w:bCs w:val="1"/>
                <w:color w:val="FFFFFF"/>
                <w:w w:val="93"/>
              </w:rPr>
              <w:t>Threshold</w:t>
            </w:r>
            <w:r>
              <w:rPr>
                <w:rFonts w:ascii="Arial" w:cs="Arial" w:eastAsia="Arial" w:hAnsi="Arial"/>
                <w:sz w:val="20"/>
                <w:szCs w:val="20"/>
                <w:b w:val="1"/>
                <w:bCs w:val="1"/>
                <w:color w:val="FFFFFF"/>
                <w:w w:val="93"/>
                <w:vertAlign w:val="superscript"/>
              </w:rPr>
              <w:t>1</w:t>
            </w:r>
          </w:p>
        </w:tc>
        <w:tc>
          <w:tcPr>
            <w:tcW w:w="780" w:type="dxa"/>
            <w:vAlign w:val="bottom"/>
            <w:vMerge w:val="restart"/>
            <w:shd w:val="clear" w:color="auto" w:fill="BFA071"/>
          </w:tcPr>
          <w:p>
            <w:pPr>
              <w:jc w:val="right"/>
              <w:ind w:right="37"/>
              <w:spacing w:after="0"/>
              <w:rPr>
                <w:sz w:val="20"/>
                <w:szCs w:val="20"/>
                <w:color w:val="auto"/>
              </w:rPr>
            </w:pPr>
            <w:r>
              <w:rPr>
                <w:rFonts w:ascii="Arial" w:cs="Arial" w:eastAsia="Arial" w:hAnsi="Arial"/>
                <w:sz w:val="13"/>
                <w:szCs w:val="13"/>
                <w:b w:val="1"/>
                <w:bCs w:val="1"/>
                <w:color w:val="FFFFFF"/>
              </w:rPr>
              <w:t>Target</w:t>
            </w:r>
            <w:r>
              <w:rPr>
                <w:rFonts w:ascii="Arial" w:cs="Arial" w:eastAsia="Arial" w:hAnsi="Arial"/>
                <w:sz w:val="20"/>
                <w:szCs w:val="20"/>
                <w:b w:val="1"/>
                <w:bCs w:val="1"/>
                <w:color w:val="FFFFFF"/>
                <w:vertAlign w:val="superscript"/>
              </w:rPr>
              <w:t>1</w:t>
            </w:r>
          </w:p>
        </w:tc>
        <w:tc>
          <w:tcPr>
            <w:tcW w:w="760" w:type="dxa"/>
            <w:vAlign w:val="bottom"/>
            <w:vMerge w:val="restart"/>
            <w:shd w:val="clear" w:color="auto" w:fill="BFA071"/>
          </w:tcPr>
          <w:p>
            <w:pPr>
              <w:jc w:val="right"/>
              <w:spacing w:after="0"/>
              <w:rPr>
                <w:sz w:val="20"/>
                <w:szCs w:val="20"/>
                <w:color w:val="auto"/>
              </w:rPr>
            </w:pPr>
            <w:r>
              <w:rPr>
                <w:rFonts w:ascii="Arial" w:cs="Arial" w:eastAsia="Arial" w:hAnsi="Arial"/>
                <w:sz w:val="13"/>
                <w:szCs w:val="13"/>
                <w:b w:val="1"/>
                <w:bCs w:val="1"/>
                <w:color w:val="FFFFFF"/>
              </w:rPr>
              <w:t>Maximum</w:t>
            </w:r>
            <w:r>
              <w:rPr>
                <w:rFonts w:ascii="Arial" w:cs="Arial" w:eastAsia="Arial" w:hAnsi="Arial"/>
                <w:sz w:val="20"/>
                <w:szCs w:val="20"/>
                <w:b w:val="1"/>
                <w:bCs w:val="1"/>
                <w:color w:val="FFFFFF"/>
                <w:vertAlign w:val="superscript"/>
              </w:rPr>
              <w:t>1</w:t>
            </w:r>
          </w:p>
        </w:tc>
        <w:tc>
          <w:tcPr>
            <w:tcW w:w="100" w:type="dxa"/>
            <w:vAlign w:val="bottom"/>
            <w:shd w:val="clear" w:color="auto" w:fill="BFA071"/>
          </w:tcPr>
          <w:p>
            <w:pPr>
              <w:spacing w:after="0"/>
              <w:rPr>
                <w:sz w:val="11"/>
                <w:szCs w:val="11"/>
                <w:color w:val="auto"/>
              </w:rPr>
            </w:pPr>
          </w:p>
        </w:tc>
        <w:tc>
          <w:tcPr>
            <w:tcW w:w="120" w:type="dxa"/>
            <w:vAlign w:val="bottom"/>
            <w:shd w:val="clear" w:color="auto" w:fill="001641"/>
          </w:tcPr>
          <w:p>
            <w:pPr>
              <w:spacing w:after="0"/>
              <w:rPr>
                <w:sz w:val="11"/>
                <w:szCs w:val="11"/>
                <w:color w:val="auto"/>
              </w:rPr>
            </w:pPr>
          </w:p>
        </w:tc>
        <w:tc>
          <w:tcPr>
            <w:tcW w:w="800" w:type="dxa"/>
            <w:vAlign w:val="bottom"/>
            <w:vMerge w:val="restart"/>
            <w:shd w:val="clear" w:color="auto" w:fill="001641"/>
          </w:tcPr>
          <w:p>
            <w:pPr>
              <w:jc w:val="right"/>
              <w:ind w:right="57"/>
              <w:spacing w:after="0"/>
              <w:rPr>
                <w:sz w:val="20"/>
                <w:szCs w:val="20"/>
                <w:color w:val="auto"/>
              </w:rPr>
            </w:pPr>
            <w:r>
              <w:rPr>
                <w:rFonts w:ascii="Arial" w:cs="Arial" w:eastAsia="Arial" w:hAnsi="Arial"/>
                <w:sz w:val="13"/>
                <w:szCs w:val="13"/>
                <w:b w:val="1"/>
                <w:bCs w:val="1"/>
                <w:color w:val="FFFFFF"/>
                <w:w w:val="93"/>
              </w:rPr>
              <w:t>Threshold</w:t>
            </w:r>
            <w:r>
              <w:rPr>
                <w:rFonts w:ascii="Arial" w:cs="Arial" w:eastAsia="Arial" w:hAnsi="Arial"/>
                <w:sz w:val="20"/>
                <w:szCs w:val="20"/>
                <w:b w:val="1"/>
                <w:bCs w:val="1"/>
                <w:color w:val="FFFFFF"/>
                <w:w w:val="93"/>
                <w:vertAlign w:val="superscript"/>
              </w:rPr>
              <w:t>2</w:t>
            </w:r>
          </w:p>
        </w:tc>
        <w:tc>
          <w:tcPr>
            <w:tcW w:w="660" w:type="dxa"/>
            <w:vAlign w:val="bottom"/>
            <w:vMerge w:val="restart"/>
            <w:shd w:val="clear" w:color="auto" w:fill="001641"/>
          </w:tcPr>
          <w:p>
            <w:pPr>
              <w:jc w:val="right"/>
              <w:ind w:right="57"/>
              <w:spacing w:after="0"/>
              <w:rPr>
                <w:sz w:val="20"/>
                <w:szCs w:val="20"/>
                <w:color w:val="auto"/>
              </w:rPr>
            </w:pPr>
            <w:r>
              <w:rPr>
                <w:rFonts w:ascii="Arial" w:cs="Arial" w:eastAsia="Arial" w:hAnsi="Arial"/>
                <w:sz w:val="13"/>
                <w:szCs w:val="13"/>
                <w:b w:val="1"/>
                <w:bCs w:val="1"/>
                <w:color w:val="FFFFFF"/>
              </w:rPr>
              <w:t>Target</w:t>
            </w:r>
            <w:r>
              <w:rPr>
                <w:rFonts w:ascii="Arial" w:cs="Arial" w:eastAsia="Arial" w:hAnsi="Arial"/>
                <w:sz w:val="20"/>
                <w:szCs w:val="20"/>
                <w:b w:val="1"/>
                <w:bCs w:val="1"/>
                <w:color w:val="FFFFFF"/>
                <w:vertAlign w:val="superscript"/>
              </w:rPr>
              <w:t>2</w:t>
            </w:r>
          </w:p>
        </w:tc>
        <w:tc>
          <w:tcPr>
            <w:tcW w:w="740" w:type="dxa"/>
            <w:vAlign w:val="bottom"/>
            <w:vMerge w:val="restart"/>
            <w:shd w:val="clear" w:color="auto" w:fill="001641"/>
          </w:tcPr>
          <w:p>
            <w:pPr>
              <w:jc w:val="right"/>
              <w:spacing w:after="0"/>
              <w:rPr>
                <w:sz w:val="20"/>
                <w:szCs w:val="20"/>
                <w:color w:val="auto"/>
              </w:rPr>
            </w:pPr>
            <w:r>
              <w:rPr>
                <w:rFonts w:ascii="Arial" w:cs="Arial" w:eastAsia="Arial" w:hAnsi="Arial"/>
                <w:sz w:val="13"/>
                <w:szCs w:val="13"/>
                <w:b w:val="1"/>
                <w:bCs w:val="1"/>
                <w:color w:val="FFFFFF"/>
              </w:rPr>
              <w:t>Maximum</w:t>
            </w:r>
            <w:r>
              <w:rPr>
                <w:rFonts w:ascii="Arial" w:cs="Arial" w:eastAsia="Arial" w:hAnsi="Arial"/>
                <w:sz w:val="20"/>
                <w:szCs w:val="20"/>
                <w:b w:val="1"/>
                <w:bCs w:val="1"/>
                <w:color w:val="FFFFFF"/>
                <w:vertAlign w:val="superscript"/>
              </w:rPr>
              <w:t>2</w:t>
            </w:r>
          </w:p>
        </w:tc>
        <w:tc>
          <w:tcPr>
            <w:tcW w:w="120" w:type="dxa"/>
            <w:vAlign w:val="bottom"/>
            <w:shd w:val="clear" w:color="auto" w:fill="001641"/>
          </w:tcPr>
          <w:p>
            <w:pPr>
              <w:spacing w:after="0"/>
              <w:rPr>
                <w:sz w:val="11"/>
                <w:szCs w:val="11"/>
                <w:color w:val="auto"/>
              </w:rPr>
            </w:pPr>
          </w:p>
        </w:tc>
        <w:tc>
          <w:tcPr>
            <w:tcW w:w="880" w:type="dxa"/>
            <w:vAlign w:val="bottom"/>
            <w:shd w:val="clear" w:color="auto" w:fill="BFA071"/>
          </w:tcPr>
          <w:p>
            <w:pPr>
              <w:jc w:val="right"/>
              <w:ind w:right="77"/>
              <w:spacing w:after="0" w:line="135" w:lineRule="exact"/>
              <w:rPr>
                <w:sz w:val="20"/>
                <w:szCs w:val="20"/>
                <w:color w:val="auto"/>
              </w:rPr>
            </w:pPr>
            <w:r>
              <w:rPr>
                <w:rFonts w:ascii="Arial" w:cs="Arial" w:eastAsia="Arial" w:hAnsi="Arial"/>
                <w:sz w:val="13"/>
                <w:szCs w:val="13"/>
                <w:b w:val="1"/>
                <w:bCs w:val="1"/>
                <w:color w:val="FFFFFF"/>
              </w:rPr>
              <w:t>Stock or</w:t>
            </w:r>
          </w:p>
        </w:tc>
        <w:tc>
          <w:tcPr>
            <w:tcW w:w="120" w:type="dxa"/>
            <w:vAlign w:val="bottom"/>
            <w:shd w:val="clear" w:color="auto" w:fill="001641"/>
          </w:tcPr>
          <w:p>
            <w:pPr>
              <w:spacing w:after="0"/>
              <w:rPr>
                <w:sz w:val="11"/>
                <w:szCs w:val="11"/>
                <w:color w:val="auto"/>
              </w:rPr>
            </w:pPr>
          </w:p>
        </w:tc>
        <w:tc>
          <w:tcPr>
            <w:tcW w:w="820" w:type="dxa"/>
            <w:vAlign w:val="bottom"/>
            <w:vMerge w:val="continue"/>
            <w:shd w:val="clear" w:color="auto" w:fill="001641"/>
          </w:tcPr>
          <w:p>
            <w:pPr>
              <w:spacing w:after="0"/>
              <w:rPr>
                <w:sz w:val="11"/>
                <w:szCs w:val="11"/>
                <w:color w:val="auto"/>
              </w:rPr>
            </w:pPr>
          </w:p>
        </w:tc>
        <w:tc>
          <w:tcPr>
            <w:tcW w:w="800" w:type="dxa"/>
            <w:vAlign w:val="bottom"/>
            <w:shd w:val="clear" w:color="auto" w:fill="001641"/>
          </w:tcPr>
          <w:p>
            <w:pPr>
              <w:jc w:val="right"/>
              <w:ind w:right="57"/>
              <w:spacing w:after="0" w:line="135" w:lineRule="exact"/>
              <w:rPr>
                <w:sz w:val="20"/>
                <w:szCs w:val="20"/>
                <w:color w:val="auto"/>
              </w:rPr>
            </w:pPr>
            <w:r>
              <w:rPr>
                <w:rFonts w:ascii="Arial" w:cs="Arial" w:eastAsia="Arial" w:hAnsi="Arial"/>
                <w:sz w:val="13"/>
                <w:szCs w:val="13"/>
                <w:b w:val="1"/>
                <w:bCs w:val="1"/>
                <w:color w:val="FFFFFF"/>
              </w:rPr>
              <w:t>Option</w:t>
            </w:r>
          </w:p>
        </w:tc>
        <w:tc>
          <w:tcPr>
            <w:tcW w:w="0" w:type="dxa"/>
            <w:vAlign w:val="bottom"/>
          </w:tcPr>
          <w:p>
            <w:pPr>
              <w:spacing w:after="0"/>
              <w:rPr>
                <w:sz w:val="1"/>
                <w:szCs w:val="1"/>
                <w:color w:val="auto"/>
              </w:rPr>
            </w:pPr>
          </w:p>
        </w:tc>
      </w:tr>
      <w:tr>
        <w:trPr>
          <w:trHeight w:val="135"/>
        </w:trPr>
        <w:tc>
          <w:tcPr>
            <w:tcW w:w="60" w:type="dxa"/>
            <w:vAlign w:val="bottom"/>
            <w:shd w:val="clear" w:color="auto" w:fill="001641"/>
          </w:tcPr>
          <w:p>
            <w:pPr>
              <w:spacing w:after="0"/>
              <w:rPr>
                <w:sz w:val="11"/>
                <w:szCs w:val="11"/>
                <w:color w:val="auto"/>
              </w:rPr>
            </w:pPr>
          </w:p>
        </w:tc>
        <w:tc>
          <w:tcPr>
            <w:tcW w:w="1040" w:type="dxa"/>
            <w:vAlign w:val="bottom"/>
            <w:vMerge w:val="restart"/>
            <w:shd w:val="clear" w:color="auto" w:fill="001641"/>
          </w:tcPr>
          <w:p>
            <w:pPr>
              <w:ind w:left="60"/>
              <w:spacing w:after="0"/>
              <w:rPr>
                <w:sz w:val="20"/>
                <w:szCs w:val="20"/>
                <w:color w:val="auto"/>
              </w:rPr>
            </w:pPr>
            <w:r>
              <w:rPr>
                <w:rFonts w:ascii="Arial" w:cs="Arial" w:eastAsia="Arial" w:hAnsi="Arial"/>
                <w:sz w:val="13"/>
                <w:szCs w:val="13"/>
                <w:b w:val="1"/>
                <w:bCs w:val="1"/>
                <w:color w:val="FFFFFF"/>
              </w:rPr>
              <w:t>Name</w:t>
            </w:r>
          </w:p>
        </w:tc>
        <w:tc>
          <w:tcPr>
            <w:tcW w:w="800" w:type="dxa"/>
            <w:vAlign w:val="bottom"/>
            <w:vMerge w:val="restart"/>
            <w:shd w:val="clear" w:color="auto" w:fill="001641"/>
          </w:tcPr>
          <w:p>
            <w:pPr>
              <w:jc w:val="right"/>
              <w:ind w:right="37"/>
              <w:spacing w:after="0"/>
              <w:rPr>
                <w:sz w:val="20"/>
                <w:szCs w:val="20"/>
                <w:color w:val="auto"/>
              </w:rPr>
            </w:pPr>
            <w:r>
              <w:rPr>
                <w:rFonts w:ascii="Arial" w:cs="Arial" w:eastAsia="Arial" w:hAnsi="Arial"/>
                <w:sz w:val="13"/>
                <w:szCs w:val="13"/>
                <w:b w:val="1"/>
                <w:bCs w:val="1"/>
                <w:color w:val="FFFFFF"/>
              </w:rPr>
              <w:t>Grant Date</w:t>
            </w:r>
          </w:p>
        </w:tc>
        <w:tc>
          <w:tcPr>
            <w:tcW w:w="120" w:type="dxa"/>
            <w:vAlign w:val="bottom"/>
            <w:shd w:val="clear" w:color="auto" w:fill="BFA071"/>
          </w:tcPr>
          <w:p>
            <w:pPr>
              <w:spacing w:after="0"/>
              <w:rPr>
                <w:sz w:val="11"/>
                <w:szCs w:val="11"/>
                <w:color w:val="auto"/>
              </w:rPr>
            </w:pPr>
          </w:p>
        </w:tc>
        <w:tc>
          <w:tcPr>
            <w:tcW w:w="780" w:type="dxa"/>
            <w:vAlign w:val="bottom"/>
            <w:vMerge w:val="continue"/>
            <w:shd w:val="clear" w:color="auto" w:fill="BFA071"/>
          </w:tcPr>
          <w:p>
            <w:pPr>
              <w:spacing w:after="0"/>
              <w:rPr>
                <w:sz w:val="11"/>
                <w:szCs w:val="11"/>
                <w:color w:val="auto"/>
              </w:rPr>
            </w:pPr>
          </w:p>
        </w:tc>
        <w:tc>
          <w:tcPr>
            <w:tcW w:w="780" w:type="dxa"/>
            <w:vAlign w:val="bottom"/>
            <w:vMerge w:val="continue"/>
            <w:shd w:val="clear" w:color="auto" w:fill="BFA071"/>
          </w:tcPr>
          <w:p>
            <w:pPr>
              <w:spacing w:after="0"/>
              <w:rPr>
                <w:sz w:val="11"/>
                <w:szCs w:val="11"/>
                <w:color w:val="auto"/>
              </w:rPr>
            </w:pPr>
          </w:p>
        </w:tc>
        <w:tc>
          <w:tcPr>
            <w:tcW w:w="760" w:type="dxa"/>
            <w:vAlign w:val="bottom"/>
            <w:vMerge w:val="continue"/>
            <w:shd w:val="clear" w:color="auto" w:fill="BFA071"/>
          </w:tcPr>
          <w:p>
            <w:pPr>
              <w:spacing w:after="0"/>
              <w:rPr>
                <w:sz w:val="11"/>
                <w:szCs w:val="11"/>
                <w:color w:val="auto"/>
              </w:rPr>
            </w:pPr>
          </w:p>
        </w:tc>
        <w:tc>
          <w:tcPr>
            <w:tcW w:w="100" w:type="dxa"/>
            <w:vAlign w:val="bottom"/>
            <w:shd w:val="clear" w:color="auto" w:fill="BFA071"/>
          </w:tcPr>
          <w:p>
            <w:pPr>
              <w:spacing w:after="0"/>
              <w:rPr>
                <w:sz w:val="11"/>
                <w:szCs w:val="11"/>
                <w:color w:val="auto"/>
              </w:rPr>
            </w:pPr>
          </w:p>
        </w:tc>
        <w:tc>
          <w:tcPr>
            <w:tcW w:w="120" w:type="dxa"/>
            <w:vAlign w:val="bottom"/>
            <w:shd w:val="clear" w:color="auto" w:fill="001641"/>
          </w:tcPr>
          <w:p>
            <w:pPr>
              <w:spacing w:after="0"/>
              <w:rPr>
                <w:sz w:val="11"/>
                <w:szCs w:val="11"/>
                <w:color w:val="auto"/>
              </w:rPr>
            </w:pPr>
          </w:p>
        </w:tc>
        <w:tc>
          <w:tcPr>
            <w:tcW w:w="800" w:type="dxa"/>
            <w:vAlign w:val="bottom"/>
            <w:vMerge w:val="continue"/>
            <w:shd w:val="clear" w:color="auto" w:fill="001641"/>
          </w:tcPr>
          <w:p>
            <w:pPr>
              <w:spacing w:after="0"/>
              <w:rPr>
                <w:sz w:val="11"/>
                <w:szCs w:val="11"/>
                <w:color w:val="auto"/>
              </w:rPr>
            </w:pPr>
          </w:p>
        </w:tc>
        <w:tc>
          <w:tcPr>
            <w:tcW w:w="660" w:type="dxa"/>
            <w:vAlign w:val="bottom"/>
            <w:vMerge w:val="continue"/>
            <w:shd w:val="clear" w:color="auto" w:fill="001641"/>
          </w:tcPr>
          <w:p>
            <w:pPr>
              <w:spacing w:after="0"/>
              <w:rPr>
                <w:sz w:val="11"/>
                <w:szCs w:val="11"/>
                <w:color w:val="auto"/>
              </w:rPr>
            </w:pPr>
          </w:p>
        </w:tc>
        <w:tc>
          <w:tcPr>
            <w:tcW w:w="740" w:type="dxa"/>
            <w:vAlign w:val="bottom"/>
            <w:vMerge w:val="continue"/>
            <w:shd w:val="clear" w:color="auto" w:fill="001641"/>
          </w:tcPr>
          <w:p>
            <w:pPr>
              <w:spacing w:after="0"/>
              <w:rPr>
                <w:sz w:val="11"/>
                <w:szCs w:val="11"/>
                <w:color w:val="auto"/>
              </w:rPr>
            </w:pPr>
          </w:p>
        </w:tc>
        <w:tc>
          <w:tcPr>
            <w:tcW w:w="120" w:type="dxa"/>
            <w:vAlign w:val="bottom"/>
            <w:shd w:val="clear" w:color="auto" w:fill="001641"/>
          </w:tcPr>
          <w:p>
            <w:pPr>
              <w:spacing w:after="0"/>
              <w:rPr>
                <w:sz w:val="11"/>
                <w:szCs w:val="11"/>
                <w:color w:val="auto"/>
              </w:rPr>
            </w:pPr>
          </w:p>
        </w:tc>
        <w:tc>
          <w:tcPr>
            <w:tcW w:w="880" w:type="dxa"/>
            <w:vAlign w:val="bottom"/>
            <w:shd w:val="clear" w:color="auto" w:fill="BFA071"/>
          </w:tcPr>
          <w:p>
            <w:pPr>
              <w:jc w:val="right"/>
              <w:ind w:right="77"/>
              <w:spacing w:after="0" w:line="135" w:lineRule="exact"/>
              <w:rPr>
                <w:sz w:val="20"/>
                <w:szCs w:val="20"/>
                <w:color w:val="auto"/>
              </w:rPr>
            </w:pPr>
            <w:r>
              <w:rPr>
                <w:rFonts w:ascii="Arial" w:cs="Arial" w:eastAsia="Arial" w:hAnsi="Arial"/>
                <w:sz w:val="13"/>
                <w:szCs w:val="13"/>
                <w:b w:val="1"/>
                <w:bCs w:val="1"/>
                <w:color w:val="FFFFFF"/>
              </w:rPr>
              <w:t>Units</w:t>
            </w:r>
          </w:p>
        </w:tc>
        <w:tc>
          <w:tcPr>
            <w:tcW w:w="120" w:type="dxa"/>
            <w:vAlign w:val="bottom"/>
            <w:shd w:val="clear" w:color="auto" w:fill="001641"/>
          </w:tcPr>
          <w:p>
            <w:pPr>
              <w:spacing w:after="0"/>
              <w:rPr>
                <w:sz w:val="11"/>
                <w:szCs w:val="11"/>
                <w:color w:val="auto"/>
              </w:rPr>
            </w:pPr>
          </w:p>
        </w:tc>
        <w:tc>
          <w:tcPr>
            <w:tcW w:w="820" w:type="dxa"/>
            <w:vAlign w:val="bottom"/>
            <w:shd w:val="clear" w:color="auto" w:fill="001641"/>
          </w:tcPr>
          <w:p>
            <w:pPr>
              <w:jc w:val="right"/>
              <w:ind w:right="97"/>
              <w:spacing w:after="0" w:line="135" w:lineRule="exact"/>
              <w:rPr>
                <w:sz w:val="20"/>
                <w:szCs w:val="20"/>
                <w:color w:val="auto"/>
              </w:rPr>
            </w:pPr>
            <w:r>
              <w:rPr>
                <w:rFonts w:ascii="Arial" w:cs="Arial" w:eastAsia="Arial" w:hAnsi="Arial"/>
                <w:sz w:val="13"/>
                <w:szCs w:val="13"/>
                <w:b w:val="1"/>
                <w:bCs w:val="1"/>
                <w:color w:val="FFFFFF"/>
              </w:rPr>
              <w:t>Fair</w:t>
            </w:r>
          </w:p>
        </w:tc>
        <w:tc>
          <w:tcPr>
            <w:tcW w:w="800" w:type="dxa"/>
            <w:vAlign w:val="bottom"/>
            <w:shd w:val="clear" w:color="auto" w:fill="001641"/>
          </w:tcPr>
          <w:p>
            <w:pPr>
              <w:jc w:val="right"/>
              <w:ind w:right="57"/>
              <w:spacing w:after="0" w:line="135" w:lineRule="exact"/>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200"/>
        </w:trPr>
        <w:tc>
          <w:tcPr>
            <w:tcW w:w="60" w:type="dxa"/>
            <w:vAlign w:val="bottom"/>
            <w:tcBorders>
              <w:bottom w:val="single" w:sz="8" w:color="001641"/>
            </w:tcBorders>
            <w:shd w:val="clear" w:color="auto" w:fill="001641"/>
          </w:tcPr>
          <w:p>
            <w:pPr>
              <w:spacing w:after="0"/>
              <w:rPr>
                <w:sz w:val="17"/>
                <w:szCs w:val="17"/>
                <w:color w:val="auto"/>
              </w:rPr>
            </w:pPr>
          </w:p>
        </w:tc>
        <w:tc>
          <w:tcPr>
            <w:tcW w:w="1040" w:type="dxa"/>
            <w:vAlign w:val="bottom"/>
            <w:tcBorders>
              <w:bottom w:val="single" w:sz="8" w:color="001641"/>
            </w:tcBorders>
            <w:vMerge w:val="continue"/>
            <w:shd w:val="clear" w:color="auto" w:fill="001641"/>
          </w:tcPr>
          <w:p>
            <w:pPr>
              <w:spacing w:after="0"/>
              <w:rPr>
                <w:sz w:val="17"/>
                <w:szCs w:val="17"/>
                <w:color w:val="auto"/>
              </w:rPr>
            </w:pPr>
          </w:p>
        </w:tc>
        <w:tc>
          <w:tcPr>
            <w:tcW w:w="800" w:type="dxa"/>
            <w:vAlign w:val="bottom"/>
            <w:tcBorders>
              <w:bottom w:val="single" w:sz="8" w:color="001641"/>
            </w:tcBorders>
            <w:vMerge w:val="continue"/>
            <w:shd w:val="clear" w:color="auto" w:fill="001641"/>
          </w:tcPr>
          <w:p>
            <w:pPr>
              <w:spacing w:after="0"/>
              <w:rPr>
                <w:sz w:val="17"/>
                <w:szCs w:val="17"/>
                <w:color w:val="auto"/>
              </w:rPr>
            </w:pPr>
          </w:p>
        </w:tc>
        <w:tc>
          <w:tcPr>
            <w:tcW w:w="120" w:type="dxa"/>
            <w:vAlign w:val="bottom"/>
            <w:tcBorders>
              <w:bottom w:val="single" w:sz="8" w:color="BFA071"/>
            </w:tcBorders>
            <w:shd w:val="clear" w:color="auto" w:fill="BFA071"/>
          </w:tcPr>
          <w:p>
            <w:pPr>
              <w:spacing w:after="0"/>
              <w:rPr>
                <w:sz w:val="17"/>
                <w:szCs w:val="17"/>
                <w:color w:val="auto"/>
              </w:rPr>
            </w:pPr>
          </w:p>
        </w:tc>
        <w:tc>
          <w:tcPr>
            <w:tcW w:w="780" w:type="dxa"/>
            <w:vAlign w:val="bottom"/>
            <w:tcBorders>
              <w:bottom w:val="single" w:sz="8" w:color="BFA071"/>
            </w:tcBorders>
            <w:shd w:val="clear" w:color="auto" w:fill="BFA071"/>
          </w:tcPr>
          <w:p>
            <w:pPr>
              <w:jc w:val="right"/>
              <w:ind w:right="37"/>
              <w:spacing w:after="0"/>
              <w:rPr>
                <w:sz w:val="20"/>
                <w:szCs w:val="20"/>
                <w:color w:val="auto"/>
              </w:rPr>
            </w:pPr>
            <w:r>
              <w:rPr>
                <w:rFonts w:ascii="Arial" w:cs="Arial" w:eastAsia="Arial" w:hAnsi="Arial"/>
                <w:sz w:val="13"/>
                <w:szCs w:val="13"/>
                <w:b w:val="1"/>
                <w:bCs w:val="1"/>
                <w:color w:val="FFFFFF"/>
              </w:rPr>
              <w:t>($)</w:t>
            </w:r>
          </w:p>
        </w:tc>
        <w:tc>
          <w:tcPr>
            <w:tcW w:w="780" w:type="dxa"/>
            <w:vAlign w:val="bottom"/>
            <w:tcBorders>
              <w:bottom w:val="single" w:sz="8" w:color="BFA071"/>
            </w:tcBorders>
            <w:shd w:val="clear" w:color="auto" w:fill="BFA071"/>
          </w:tcPr>
          <w:p>
            <w:pPr>
              <w:jc w:val="right"/>
              <w:ind w:right="37"/>
              <w:spacing w:after="0"/>
              <w:rPr>
                <w:sz w:val="20"/>
                <w:szCs w:val="20"/>
                <w:color w:val="auto"/>
              </w:rPr>
            </w:pPr>
            <w:r>
              <w:rPr>
                <w:rFonts w:ascii="Arial" w:cs="Arial" w:eastAsia="Arial" w:hAnsi="Arial"/>
                <w:sz w:val="13"/>
                <w:szCs w:val="13"/>
                <w:b w:val="1"/>
                <w:bCs w:val="1"/>
                <w:color w:val="FFFFFF"/>
              </w:rPr>
              <w:t>($)</w:t>
            </w:r>
          </w:p>
        </w:tc>
        <w:tc>
          <w:tcPr>
            <w:tcW w:w="760" w:type="dxa"/>
            <w:vAlign w:val="bottom"/>
            <w:tcBorders>
              <w:bottom w:val="single" w:sz="8" w:color="BFA071"/>
            </w:tcBorders>
            <w:shd w:val="clear" w:color="auto" w:fill="BFA071"/>
          </w:tcPr>
          <w:p>
            <w:pPr>
              <w:jc w:val="right"/>
              <w:spacing w:after="0"/>
              <w:rPr>
                <w:sz w:val="20"/>
                <w:szCs w:val="20"/>
                <w:color w:val="auto"/>
              </w:rPr>
            </w:pPr>
            <w:r>
              <w:rPr>
                <w:rFonts w:ascii="Arial" w:cs="Arial" w:eastAsia="Arial" w:hAnsi="Arial"/>
                <w:sz w:val="13"/>
                <w:szCs w:val="13"/>
                <w:b w:val="1"/>
                <w:bCs w:val="1"/>
                <w:color w:val="FFFFFF"/>
              </w:rPr>
              <w:t>($)</w:t>
            </w:r>
          </w:p>
        </w:tc>
        <w:tc>
          <w:tcPr>
            <w:tcW w:w="100" w:type="dxa"/>
            <w:vAlign w:val="bottom"/>
            <w:tcBorders>
              <w:bottom w:val="single" w:sz="8" w:color="BFA071"/>
            </w:tcBorders>
            <w:shd w:val="clear" w:color="auto" w:fill="BFA071"/>
          </w:tcPr>
          <w:p>
            <w:pPr>
              <w:spacing w:after="0"/>
              <w:rPr>
                <w:sz w:val="17"/>
                <w:szCs w:val="17"/>
                <w:color w:val="auto"/>
              </w:rPr>
            </w:pPr>
          </w:p>
        </w:tc>
        <w:tc>
          <w:tcPr>
            <w:tcW w:w="120" w:type="dxa"/>
            <w:vAlign w:val="bottom"/>
            <w:tcBorders>
              <w:bottom w:val="single" w:sz="8" w:color="001641"/>
            </w:tcBorders>
            <w:shd w:val="clear" w:color="auto" w:fill="001641"/>
          </w:tcPr>
          <w:p>
            <w:pPr>
              <w:spacing w:after="0"/>
              <w:rPr>
                <w:sz w:val="17"/>
                <w:szCs w:val="17"/>
                <w:color w:val="auto"/>
              </w:rPr>
            </w:pPr>
          </w:p>
        </w:tc>
        <w:tc>
          <w:tcPr>
            <w:tcW w:w="800" w:type="dxa"/>
            <w:vAlign w:val="bottom"/>
            <w:tcBorders>
              <w:bottom w:val="single" w:sz="8" w:color="001641"/>
            </w:tcBorders>
            <w:shd w:val="clear" w:color="auto" w:fill="001641"/>
          </w:tcPr>
          <w:p>
            <w:pPr>
              <w:jc w:val="right"/>
              <w:ind w:right="57"/>
              <w:spacing w:after="0"/>
              <w:rPr>
                <w:sz w:val="20"/>
                <w:szCs w:val="20"/>
                <w:color w:val="auto"/>
              </w:rPr>
            </w:pPr>
            <w:r>
              <w:rPr>
                <w:rFonts w:ascii="Arial" w:cs="Arial" w:eastAsia="Arial" w:hAnsi="Arial"/>
                <w:sz w:val="13"/>
                <w:szCs w:val="13"/>
                <w:b w:val="1"/>
                <w:bCs w:val="1"/>
                <w:color w:val="FFFFFF"/>
              </w:rPr>
              <w:t>(#)</w:t>
            </w:r>
          </w:p>
        </w:tc>
        <w:tc>
          <w:tcPr>
            <w:tcW w:w="660" w:type="dxa"/>
            <w:vAlign w:val="bottom"/>
            <w:tcBorders>
              <w:bottom w:val="single" w:sz="8" w:color="001641"/>
            </w:tcBorders>
            <w:shd w:val="clear" w:color="auto" w:fill="001641"/>
          </w:tcPr>
          <w:p>
            <w:pPr>
              <w:jc w:val="right"/>
              <w:ind w:right="57"/>
              <w:spacing w:after="0"/>
              <w:rPr>
                <w:sz w:val="20"/>
                <w:szCs w:val="20"/>
                <w:color w:val="auto"/>
              </w:rPr>
            </w:pPr>
            <w:r>
              <w:rPr>
                <w:rFonts w:ascii="Arial" w:cs="Arial" w:eastAsia="Arial" w:hAnsi="Arial"/>
                <w:sz w:val="13"/>
                <w:szCs w:val="13"/>
                <w:b w:val="1"/>
                <w:bCs w:val="1"/>
                <w:color w:val="FFFFFF"/>
              </w:rPr>
              <w:t>(#)</w:t>
            </w:r>
          </w:p>
        </w:tc>
        <w:tc>
          <w:tcPr>
            <w:tcW w:w="740" w:type="dxa"/>
            <w:vAlign w:val="bottom"/>
            <w:tcBorders>
              <w:bottom w:val="single" w:sz="8" w:color="001641"/>
            </w:tcBorders>
            <w:shd w:val="clear" w:color="auto" w:fill="001641"/>
          </w:tcPr>
          <w:p>
            <w:pPr>
              <w:jc w:val="right"/>
              <w:spacing w:after="0"/>
              <w:rPr>
                <w:sz w:val="20"/>
                <w:szCs w:val="20"/>
                <w:color w:val="auto"/>
              </w:rPr>
            </w:pPr>
            <w:r>
              <w:rPr>
                <w:rFonts w:ascii="Arial" w:cs="Arial" w:eastAsia="Arial" w:hAnsi="Arial"/>
                <w:sz w:val="13"/>
                <w:szCs w:val="13"/>
                <w:b w:val="1"/>
                <w:bCs w:val="1"/>
                <w:color w:val="FFFFFF"/>
              </w:rPr>
              <w:t>(#)</w:t>
            </w:r>
          </w:p>
        </w:tc>
        <w:tc>
          <w:tcPr>
            <w:tcW w:w="120" w:type="dxa"/>
            <w:vAlign w:val="bottom"/>
            <w:tcBorders>
              <w:bottom w:val="single" w:sz="8" w:color="001641"/>
            </w:tcBorders>
            <w:shd w:val="clear" w:color="auto" w:fill="001641"/>
          </w:tcPr>
          <w:p>
            <w:pPr>
              <w:spacing w:after="0"/>
              <w:rPr>
                <w:sz w:val="17"/>
                <w:szCs w:val="17"/>
                <w:color w:val="auto"/>
              </w:rPr>
            </w:pPr>
          </w:p>
        </w:tc>
        <w:tc>
          <w:tcPr>
            <w:tcW w:w="880" w:type="dxa"/>
            <w:vAlign w:val="bottom"/>
            <w:tcBorders>
              <w:bottom w:val="single" w:sz="8" w:color="BFA071"/>
            </w:tcBorders>
            <w:shd w:val="clear" w:color="auto" w:fill="BFA071"/>
          </w:tcPr>
          <w:p>
            <w:pPr>
              <w:jc w:val="right"/>
              <w:ind w:right="37"/>
              <w:spacing w:after="0"/>
              <w:rPr>
                <w:sz w:val="20"/>
                <w:szCs w:val="20"/>
                <w:color w:val="auto"/>
              </w:rPr>
            </w:pPr>
            <w:r>
              <w:rPr>
                <w:rFonts w:ascii="Arial" w:cs="Arial" w:eastAsia="Arial" w:hAnsi="Arial"/>
                <w:sz w:val="13"/>
                <w:szCs w:val="13"/>
                <w:b w:val="1"/>
                <w:bCs w:val="1"/>
                <w:color w:val="FFFFFF"/>
              </w:rPr>
              <w:t>(#)</w:t>
            </w:r>
          </w:p>
        </w:tc>
        <w:tc>
          <w:tcPr>
            <w:tcW w:w="120" w:type="dxa"/>
            <w:vAlign w:val="bottom"/>
            <w:tcBorders>
              <w:bottom w:val="single" w:sz="8" w:color="001641"/>
            </w:tcBorders>
            <w:shd w:val="clear" w:color="auto" w:fill="001641"/>
          </w:tcPr>
          <w:p>
            <w:pPr>
              <w:spacing w:after="0"/>
              <w:rPr>
                <w:sz w:val="17"/>
                <w:szCs w:val="17"/>
                <w:color w:val="auto"/>
              </w:rPr>
            </w:pPr>
          </w:p>
        </w:tc>
        <w:tc>
          <w:tcPr>
            <w:tcW w:w="820" w:type="dxa"/>
            <w:vAlign w:val="bottom"/>
            <w:tcBorders>
              <w:bottom w:val="single" w:sz="8" w:color="001641"/>
            </w:tcBorders>
            <w:shd w:val="clear" w:color="auto" w:fill="001641"/>
          </w:tcPr>
          <w:p>
            <w:pPr>
              <w:jc w:val="right"/>
              <w:ind w:right="57"/>
              <w:spacing w:after="0"/>
              <w:rPr>
                <w:sz w:val="20"/>
                <w:szCs w:val="20"/>
                <w:color w:val="auto"/>
              </w:rPr>
            </w:pPr>
            <w:r>
              <w:rPr>
                <w:rFonts w:ascii="Arial" w:cs="Arial" w:eastAsia="Arial" w:hAnsi="Arial"/>
                <w:sz w:val="13"/>
                <w:szCs w:val="13"/>
                <w:b w:val="1"/>
                <w:bCs w:val="1"/>
                <w:color w:val="FFFFFF"/>
                <w:w w:val="93"/>
              </w:rPr>
              <w:t>Value/share</w:t>
            </w:r>
          </w:p>
        </w:tc>
        <w:tc>
          <w:tcPr>
            <w:tcW w:w="800" w:type="dxa"/>
            <w:vAlign w:val="bottom"/>
            <w:tcBorders>
              <w:bottom w:val="single" w:sz="8" w:color="001641"/>
            </w:tcBorders>
            <w:shd w:val="clear" w:color="auto" w:fill="001641"/>
          </w:tcPr>
          <w:p>
            <w:pPr>
              <w:jc w:val="right"/>
              <w:ind w:right="1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040" w:type="dxa"/>
            <w:vAlign w:val="bottom"/>
          </w:tcPr>
          <w:p>
            <w:pPr>
              <w:ind w:left="60"/>
              <w:spacing w:after="0"/>
              <w:rPr>
                <w:sz w:val="20"/>
                <w:szCs w:val="20"/>
                <w:color w:val="auto"/>
              </w:rPr>
            </w:pPr>
            <w:r>
              <w:rPr>
                <w:rFonts w:ascii="Arial" w:cs="Arial" w:eastAsia="Arial" w:hAnsi="Arial"/>
                <w:sz w:val="13"/>
                <w:szCs w:val="13"/>
                <w:b w:val="1"/>
                <w:bCs w:val="1"/>
                <w:color w:val="001641"/>
              </w:rPr>
              <w:t>Ralph Lauren</w:t>
            </w:r>
          </w:p>
        </w:tc>
        <w:tc>
          <w:tcPr>
            <w:tcW w:w="800" w:type="dxa"/>
            <w:vAlign w:val="bottom"/>
          </w:tcPr>
          <w:p>
            <w:pPr>
              <w:spacing w:after="0"/>
              <w:rPr>
                <w:sz w:val="23"/>
                <w:szCs w:val="23"/>
                <w:color w:val="auto"/>
              </w:rPr>
            </w:pPr>
          </w:p>
        </w:tc>
        <w:tc>
          <w:tcPr>
            <w:tcW w:w="900" w:type="dxa"/>
            <w:vAlign w:val="bottom"/>
            <w:tcBorders>
              <w:bottom w:val="single" w:sz="8" w:color="EBE1D2"/>
            </w:tcBorders>
            <w:gridSpan w:val="2"/>
            <w:shd w:val="clear" w:color="auto" w:fill="EBE1D2"/>
          </w:tcPr>
          <w:p>
            <w:pPr>
              <w:jc w:val="right"/>
              <w:ind w:right="137"/>
              <w:spacing w:after="0"/>
              <w:rPr>
                <w:sz w:val="20"/>
                <w:szCs w:val="20"/>
                <w:color w:val="auto"/>
              </w:rPr>
            </w:pPr>
            <w:r>
              <w:rPr>
                <w:rFonts w:ascii="Arial" w:cs="Arial" w:eastAsia="Arial" w:hAnsi="Arial"/>
                <w:sz w:val="13"/>
                <w:szCs w:val="13"/>
                <w:color w:val="001641"/>
              </w:rPr>
              <w:t>3,000,000</w:t>
            </w:r>
          </w:p>
        </w:tc>
        <w:tc>
          <w:tcPr>
            <w:tcW w:w="780" w:type="dxa"/>
            <w:vAlign w:val="bottom"/>
            <w:tcBorders>
              <w:bottom w:val="single" w:sz="8" w:color="EBE1D2"/>
            </w:tcBorders>
            <w:shd w:val="clear" w:color="auto" w:fill="EBE1D2"/>
          </w:tcPr>
          <w:p>
            <w:pPr>
              <w:jc w:val="right"/>
              <w:ind w:right="57"/>
              <w:spacing w:after="0"/>
              <w:rPr>
                <w:sz w:val="20"/>
                <w:szCs w:val="20"/>
                <w:color w:val="auto"/>
              </w:rPr>
            </w:pPr>
            <w:r>
              <w:rPr>
                <w:rFonts w:ascii="Arial" w:cs="Arial" w:eastAsia="Arial" w:hAnsi="Arial"/>
                <w:sz w:val="13"/>
                <w:szCs w:val="13"/>
                <w:color w:val="001641"/>
              </w:rPr>
              <w:t>6,000,000</w:t>
            </w:r>
          </w:p>
        </w:tc>
        <w:tc>
          <w:tcPr>
            <w:tcW w:w="760" w:type="dxa"/>
            <w:vAlign w:val="bottom"/>
            <w:tcBorders>
              <w:bottom w:val="single" w:sz="8" w:color="EBE1D2"/>
            </w:tcBorders>
            <w:shd w:val="clear" w:color="auto" w:fill="EBE1D2"/>
          </w:tcPr>
          <w:p>
            <w:pPr>
              <w:jc w:val="right"/>
              <w:spacing w:after="0"/>
              <w:rPr>
                <w:sz w:val="20"/>
                <w:szCs w:val="20"/>
                <w:color w:val="auto"/>
              </w:rPr>
            </w:pPr>
            <w:r>
              <w:rPr>
                <w:rFonts w:ascii="Arial" w:cs="Arial" w:eastAsia="Arial" w:hAnsi="Arial"/>
                <w:sz w:val="13"/>
                <w:szCs w:val="13"/>
                <w:color w:val="001641"/>
              </w:rPr>
              <w:t>12,000,000</w:t>
            </w:r>
          </w:p>
        </w:tc>
        <w:tc>
          <w:tcPr>
            <w:tcW w:w="100" w:type="dxa"/>
            <w:vAlign w:val="bottom"/>
            <w:tcBorders>
              <w:bottom w:val="single" w:sz="8" w:color="EBE1D2"/>
            </w:tcBorders>
            <w:shd w:val="clear" w:color="auto" w:fill="EBE1D2"/>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bottom w:val="single" w:sz="8" w:color="EBE1D2"/>
            </w:tcBorders>
            <w:shd w:val="clear" w:color="auto" w:fill="EBE1D2"/>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Borders>
              <w:top w:val="single" w:sz="8" w:color="BFA071"/>
              <w:bottom w:val="single" w:sz="8" w:color="BFA071"/>
            </w:tcBorders>
          </w:tcPr>
          <w:p>
            <w:pPr>
              <w:jc w:val="right"/>
              <w:ind w:right="57"/>
              <w:spacing w:after="0"/>
              <w:rPr>
                <w:sz w:val="20"/>
                <w:szCs w:val="20"/>
                <w:color w:val="auto"/>
              </w:rPr>
            </w:pPr>
            <w:r>
              <w:rPr>
                <w:rFonts w:ascii="Arial" w:cs="Arial" w:eastAsia="Arial" w:hAnsi="Arial"/>
                <w:sz w:val="13"/>
                <w:szCs w:val="13"/>
                <w:color w:val="001641"/>
                <w:w w:val="91"/>
              </w:rPr>
              <w:t>08/15/2025</w:t>
            </w:r>
            <w:r>
              <w:rPr>
                <w:rFonts w:ascii="Arial" w:cs="Arial" w:eastAsia="Arial" w:hAnsi="Arial"/>
                <w:sz w:val="20"/>
                <w:szCs w:val="20"/>
                <w:color w:val="001641"/>
                <w:w w:val="91"/>
                <w:vertAlign w:val="superscript"/>
              </w:rPr>
              <w:t>3</w:t>
            </w:r>
          </w:p>
        </w:tc>
        <w:tc>
          <w:tcPr>
            <w:tcW w:w="120" w:type="dxa"/>
            <w:vAlign w:val="bottom"/>
            <w:tcBorders>
              <w:top w:val="single" w:sz="8" w:color="BFA071"/>
              <w:bottom w:val="single" w:sz="8" w:color="BFA071"/>
            </w:tcBorders>
            <w:shd w:val="clear" w:color="auto" w:fill="EBE1D2"/>
          </w:tcPr>
          <w:p>
            <w:pPr>
              <w:spacing w:after="0"/>
              <w:rPr>
                <w:sz w:val="24"/>
                <w:szCs w:val="24"/>
                <w:color w:val="auto"/>
              </w:rPr>
            </w:pPr>
          </w:p>
        </w:tc>
        <w:tc>
          <w:tcPr>
            <w:tcW w:w="780" w:type="dxa"/>
            <w:vAlign w:val="bottom"/>
            <w:tcBorders>
              <w:top w:val="single" w:sz="8" w:color="BFA071"/>
              <w:bottom w:val="single" w:sz="8" w:color="BFA071"/>
            </w:tcBorders>
            <w:shd w:val="clear" w:color="auto" w:fill="EBE1D2"/>
          </w:tcPr>
          <w:p>
            <w:pPr>
              <w:spacing w:after="0"/>
              <w:rPr>
                <w:sz w:val="24"/>
                <w:szCs w:val="24"/>
                <w:color w:val="auto"/>
              </w:rPr>
            </w:pPr>
          </w:p>
        </w:tc>
        <w:tc>
          <w:tcPr>
            <w:tcW w:w="780" w:type="dxa"/>
            <w:vAlign w:val="bottom"/>
            <w:tcBorders>
              <w:top w:val="single" w:sz="8" w:color="BFA071"/>
              <w:bottom w:val="single" w:sz="8" w:color="BFA071"/>
            </w:tcBorders>
            <w:shd w:val="clear" w:color="auto" w:fill="EBE1D2"/>
          </w:tcPr>
          <w:p>
            <w:pPr>
              <w:spacing w:after="0"/>
              <w:rPr>
                <w:sz w:val="24"/>
                <w:szCs w:val="24"/>
                <w:color w:val="auto"/>
              </w:rPr>
            </w:pPr>
          </w:p>
        </w:tc>
        <w:tc>
          <w:tcPr>
            <w:tcW w:w="760" w:type="dxa"/>
            <w:vAlign w:val="bottom"/>
            <w:tcBorders>
              <w:top w:val="single" w:sz="8" w:color="BFA071"/>
              <w:bottom w:val="single" w:sz="8" w:color="BFA071"/>
            </w:tcBorders>
            <w:shd w:val="clear" w:color="auto" w:fill="EBE1D2"/>
          </w:tcPr>
          <w:p>
            <w:pPr>
              <w:spacing w:after="0"/>
              <w:rPr>
                <w:sz w:val="24"/>
                <w:szCs w:val="24"/>
                <w:color w:val="auto"/>
              </w:rPr>
            </w:pPr>
          </w:p>
        </w:tc>
        <w:tc>
          <w:tcPr>
            <w:tcW w:w="100" w:type="dxa"/>
            <w:vAlign w:val="bottom"/>
            <w:tcBorders>
              <w:top w:val="single" w:sz="8" w:color="BFA071"/>
              <w:bottom w:val="single" w:sz="8" w:color="BFA071"/>
            </w:tcBorders>
            <w:shd w:val="clear" w:color="auto" w:fill="EBE1D2"/>
          </w:tcPr>
          <w:p>
            <w:pPr>
              <w:spacing w:after="0"/>
              <w:rPr>
                <w:sz w:val="24"/>
                <w:szCs w:val="24"/>
                <w:color w:val="auto"/>
              </w:rPr>
            </w:pPr>
          </w:p>
        </w:tc>
        <w:tc>
          <w:tcPr>
            <w:tcW w:w="920" w:type="dxa"/>
            <w:vAlign w:val="bottom"/>
            <w:tcBorders>
              <w:top w:val="single" w:sz="8" w:color="BFA071"/>
              <w:bottom w:val="single" w:sz="8" w:color="BFA071"/>
            </w:tcBorders>
            <w:gridSpan w:val="2"/>
          </w:tcPr>
          <w:p>
            <w:pPr>
              <w:jc w:val="right"/>
              <w:ind w:right="137"/>
              <w:spacing w:after="0"/>
              <w:rPr>
                <w:sz w:val="20"/>
                <w:szCs w:val="20"/>
                <w:color w:val="auto"/>
              </w:rPr>
            </w:pPr>
            <w:r>
              <w:rPr>
                <w:rFonts w:ascii="Arial" w:cs="Arial" w:eastAsia="Arial" w:hAnsi="Arial"/>
                <w:sz w:val="13"/>
                <w:szCs w:val="13"/>
                <w:color w:val="001641"/>
              </w:rPr>
              <w:t>9,491</w:t>
            </w:r>
          </w:p>
        </w:tc>
        <w:tc>
          <w:tcPr>
            <w:tcW w:w="660" w:type="dxa"/>
            <w:vAlign w:val="bottom"/>
            <w:tcBorders>
              <w:top w:val="single" w:sz="8" w:color="BFA071"/>
              <w:bottom w:val="single" w:sz="8" w:color="BFA071"/>
            </w:tcBorders>
          </w:tcPr>
          <w:p>
            <w:pPr>
              <w:jc w:val="right"/>
              <w:ind w:right="57"/>
              <w:spacing w:after="0"/>
              <w:rPr>
                <w:sz w:val="20"/>
                <w:szCs w:val="20"/>
                <w:color w:val="auto"/>
              </w:rPr>
            </w:pPr>
            <w:r>
              <w:rPr>
                <w:rFonts w:ascii="Arial" w:cs="Arial" w:eastAsia="Arial" w:hAnsi="Arial"/>
                <w:sz w:val="13"/>
                <w:szCs w:val="13"/>
                <w:color w:val="001641"/>
              </w:rPr>
              <w:t>18,982</w:t>
            </w:r>
          </w:p>
        </w:tc>
        <w:tc>
          <w:tcPr>
            <w:tcW w:w="740" w:type="dxa"/>
            <w:vAlign w:val="bottom"/>
            <w:tcBorders>
              <w:top w:val="single" w:sz="8" w:color="BFA071"/>
              <w:bottom w:val="single" w:sz="8" w:color="BFA071"/>
            </w:tcBorders>
          </w:tcPr>
          <w:p>
            <w:pPr>
              <w:jc w:val="right"/>
              <w:spacing w:after="0"/>
              <w:rPr>
                <w:sz w:val="20"/>
                <w:szCs w:val="20"/>
                <w:color w:val="auto"/>
              </w:rPr>
            </w:pPr>
            <w:r>
              <w:rPr>
                <w:rFonts w:ascii="Arial" w:cs="Arial" w:eastAsia="Arial" w:hAnsi="Arial"/>
                <w:sz w:val="13"/>
                <w:szCs w:val="13"/>
                <w:color w:val="001641"/>
              </w:rPr>
              <w:t>37,964</w:t>
            </w:r>
          </w:p>
        </w:tc>
        <w:tc>
          <w:tcPr>
            <w:tcW w:w="120" w:type="dxa"/>
            <w:vAlign w:val="bottom"/>
            <w:tcBorders>
              <w:top w:val="single" w:sz="8" w:color="BFA071"/>
              <w:bottom w:val="single" w:sz="8" w:color="BFA071"/>
            </w:tcBorders>
          </w:tcPr>
          <w:p>
            <w:pPr>
              <w:spacing w:after="0"/>
              <w:rPr>
                <w:sz w:val="24"/>
                <w:szCs w:val="24"/>
                <w:color w:val="auto"/>
              </w:rPr>
            </w:pPr>
          </w:p>
        </w:tc>
        <w:tc>
          <w:tcPr>
            <w:tcW w:w="880" w:type="dxa"/>
            <w:vAlign w:val="bottom"/>
            <w:tcBorders>
              <w:top w:val="single" w:sz="8" w:color="BFA071"/>
              <w:bottom w:val="single" w:sz="8" w:color="BFA071"/>
            </w:tcBorders>
            <w:shd w:val="clear" w:color="auto" w:fill="EBE1D2"/>
          </w:tcPr>
          <w:p>
            <w:pPr>
              <w:spacing w:after="0"/>
              <w:rPr>
                <w:sz w:val="24"/>
                <w:szCs w:val="24"/>
                <w:color w:val="auto"/>
              </w:rPr>
            </w:pPr>
          </w:p>
        </w:tc>
        <w:tc>
          <w:tcPr>
            <w:tcW w:w="940" w:type="dxa"/>
            <w:vAlign w:val="bottom"/>
            <w:tcBorders>
              <w:top w:val="single" w:sz="8" w:color="BFA071"/>
              <w:bottom w:val="single" w:sz="8" w:color="BFA071"/>
            </w:tcBorders>
            <w:gridSpan w:val="2"/>
          </w:tcPr>
          <w:p>
            <w:pPr>
              <w:jc w:val="right"/>
              <w:ind w:right="117"/>
              <w:spacing w:after="0"/>
              <w:rPr>
                <w:sz w:val="20"/>
                <w:szCs w:val="20"/>
                <w:color w:val="auto"/>
              </w:rPr>
            </w:pPr>
            <w:r>
              <w:rPr>
                <w:rFonts w:ascii="Arial" w:cs="Arial" w:eastAsia="Arial" w:hAnsi="Arial"/>
                <w:sz w:val="13"/>
                <w:szCs w:val="13"/>
                <w:color w:val="001641"/>
              </w:rPr>
              <w:t>$289.75</w:t>
            </w:r>
          </w:p>
        </w:tc>
        <w:tc>
          <w:tcPr>
            <w:tcW w:w="800" w:type="dxa"/>
            <w:vAlign w:val="bottom"/>
            <w:tcBorders>
              <w:top w:val="single" w:sz="8" w:color="BFA071"/>
              <w:bottom w:val="single" w:sz="8" w:color="BFA071"/>
            </w:tcBorders>
          </w:tcPr>
          <w:p>
            <w:pPr>
              <w:jc w:val="right"/>
              <w:ind w:right="37"/>
              <w:spacing w:after="0"/>
              <w:rPr>
                <w:sz w:val="20"/>
                <w:szCs w:val="20"/>
                <w:color w:val="auto"/>
              </w:rPr>
            </w:pPr>
            <w:r>
              <w:rPr>
                <w:rFonts w:ascii="Arial" w:cs="Arial" w:eastAsia="Arial" w:hAnsi="Arial"/>
                <w:sz w:val="13"/>
                <w:szCs w:val="13"/>
                <w:color w:val="001641"/>
              </w:rPr>
              <w:t>5,500,035</w:t>
            </w:r>
          </w:p>
        </w:tc>
        <w:tc>
          <w:tcPr>
            <w:tcW w:w="0" w:type="dxa"/>
            <w:vAlign w:val="bottom"/>
          </w:tcPr>
          <w:p>
            <w:pPr>
              <w:spacing w:after="0"/>
              <w:rPr>
                <w:sz w:val="1"/>
                <w:szCs w:val="1"/>
                <w:color w:val="auto"/>
              </w:rPr>
            </w:pPr>
          </w:p>
        </w:tc>
      </w:tr>
      <w:tr>
        <w:trPr>
          <w:trHeight w:val="304"/>
        </w:trPr>
        <w:tc>
          <w:tcPr>
            <w:tcW w:w="60" w:type="dxa"/>
            <w:vAlign w:val="bottom"/>
            <w:tcBorders>
              <w:bottom w:val="single" w:sz="8" w:color="BFA071"/>
            </w:tcBorders>
          </w:tcPr>
          <w:p>
            <w:pPr>
              <w:spacing w:after="0"/>
              <w:rPr>
                <w:sz w:val="24"/>
                <w:szCs w:val="24"/>
                <w:color w:val="auto"/>
              </w:rPr>
            </w:pPr>
          </w:p>
        </w:tc>
        <w:tc>
          <w:tcPr>
            <w:tcW w:w="1040" w:type="dxa"/>
            <w:vAlign w:val="bottom"/>
            <w:tcBorders>
              <w:bottom w:val="single" w:sz="8" w:color="BFA071"/>
            </w:tcBorders>
          </w:tcPr>
          <w:p>
            <w:pPr>
              <w:spacing w:after="0"/>
              <w:rPr>
                <w:sz w:val="24"/>
                <w:szCs w:val="24"/>
                <w:color w:val="auto"/>
              </w:rPr>
            </w:pPr>
          </w:p>
        </w:tc>
        <w:tc>
          <w:tcPr>
            <w:tcW w:w="800" w:type="dxa"/>
            <w:vAlign w:val="bottom"/>
            <w:tcBorders>
              <w:bottom w:val="single" w:sz="8" w:color="BFA071"/>
            </w:tcBorders>
          </w:tcPr>
          <w:p>
            <w:pPr>
              <w:jc w:val="right"/>
              <w:ind w:right="57"/>
              <w:spacing w:after="0"/>
              <w:rPr>
                <w:sz w:val="20"/>
                <w:szCs w:val="20"/>
                <w:color w:val="auto"/>
              </w:rPr>
            </w:pPr>
            <w:r>
              <w:rPr>
                <w:rFonts w:ascii="Arial" w:cs="Arial" w:eastAsia="Arial" w:hAnsi="Arial"/>
                <w:sz w:val="13"/>
                <w:szCs w:val="13"/>
                <w:color w:val="001641"/>
                <w:w w:val="91"/>
              </w:rPr>
              <w:t>08/15/2025</w:t>
            </w:r>
            <w:r>
              <w:rPr>
                <w:rFonts w:ascii="Arial" w:cs="Arial" w:eastAsia="Arial" w:hAnsi="Arial"/>
                <w:sz w:val="20"/>
                <w:szCs w:val="20"/>
                <w:color w:val="001641"/>
                <w:w w:val="91"/>
                <w:vertAlign w:val="superscript"/>
              </w:rPr>
              <w:t>4</w:t>
            </w:r>
          </w:p>
        </w:tc>
        <w:tc>
          <w:tcPr>
            <w:tcW w:w="12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60" w:type="dxa"/>
            <w:vAlign w:val="bottom"/>
            <w:tcBorders>
              <w:bottom w:val="single" w:sz="8" w:color="BFA071"/>
            </w:tcBorders>
            <w:shd w:val="clear" w:color="auto" w:fill="EBE1D2"/>
          </w:tcPr>
          <w:p>
            <w:pPr>
              <w:spacing w:after="0"/>
              <w:rPr>
                <w:sz w:val="24"/>
                <w:szCs w:val="24"/>
                <w:color w:val="auto"/>
              </w:rPr>
            </w:pPr>
          </w:p>
        </w:tc>
        <w:tc>
          <w:tcPr>
            <w:tcW w:w="100" w:type="dxa"/>
            <w:vAlign w:val="bottom"/>
            <w:tcBorders>
              <w:bottom w:val="single" w:sz="8" w:color="BFA071"/>
            </w:tcBorders>
            <w:shd w:val="clear" w:color="auto" w:fill="EBE1D2"/>
          </w:tcPr>
          <w:p>
            <w:pPr>
              <w:spacing w:after="0"/>
              <w:rPr>
                <w:sz w:val="24"/>
                <w:szCs w:val="24"/>
                <w:color w:val="auto"/>
              </w:rPr>
            </w:pPr>
          </w:p>
        </w:tc>
        <w:tc>
          <w:tcPr>
            <w:tcW w:w="920" w:type="dxa"/>
            <w:vAlign w:val="bottom"/>
            <w:tcBorders>
              <w:bottom w:val="single" w:sz="8" w:color="BFA071"/>
            </w:tcBorders>
            <w:gridSpan w:val="2"/>
          </w:tcPr>
          <w:p>
            <w:pPr>
              <w:jc w:val="right"/>
              <w:ind w:right="137"/>
              <w:spacing w:after="0"/>
              <w:rPr>
                <w:sz w:val="20"/>
                <w:szCs w:val="20"/>
                <w:color w:val="auto"/>
              </w:rPr>
            </w:pPr>
            <w:r>
              <w:rPr>
                <w:rFonts w:ascii="Arial" w:cs="Arial" w:eastAsia="Arial" w:hAnsi="Arial"/>
                <w:sz w:val="13"/>
                <w:szCs w:val="13"/>
                <w:color w:val="001641"/>
              </w:rPr>
              <w:t>6,180</w:t>
            </w:r>
          </w:p>
        </w:tc>
        <w:tc>
          <w:tcPr>
            <w:tcW w:w="660" w:type="dxa"/>
            <w:vAlign w:val="bottom"/>
            <w:tcBorders>
              <w:bottom w:val="single" w:sz="8" w:color="BFA071"/>
            </w:tcBorders>
          </w:tcPr>
          <w:p>
            <w:pPr>
              <w:jc w:val="right"/>
              <w:ind w:right="57"/>
              <w:spacing w:after="0"/>
              <w:rPr>
                <w:sz w:val="20"/>
                <w:szCs w:val="20"/>
                <w:color w:val="auto"/>
              </w:rPr>
            </w:pPr>
            <w:r>
              <w:rPr>
                <w:rFonts w:ascii="Arial" w:cs="Arial" w:eastAsia="Arial" w:hAnsi="Arial"/>
                <w:sz w:val="13"/>
                <w:szCs w:val="13"/>
                <w:color w:val="001641"/>
              </w:rPr>
              <w:t>12,360</w:t>
            </w:r>
          </w:p>
        </w:tc>
        <w:tc>
          <w:tcPr>
            <w:tcW w:w="740" w:type="dxa"/>
            <w:vAlign w:val="bottom"/>
            <w:tcBorders>
              <w:bottom w:val="single" w:sz="8" w:color="BFA071"/>
            </w:tcBorders>
          </w:tcPr>
          <w:p>
            <w:pPr>
              <w:jc w:val="right"/>
              <w:spacing w:after="0"/>
              <w:rPr>
                <w:sz w:val="20"/>
                <w:szCs w:val="20"/>
                <w:color w:val="auto"/>
              </w:rPr>
            </w:pPr>
            <w:r>
              <w:rPr>
                <w:rFonts w:ascii="Arial" w:cs="Arial" w:eastAsia="Arial" w:hAnsi="Arial"/>
                <w:sz w:val="13"/>
                <w:szCs w:val="13"/>
                <w:color w:val="001641"/>
              </w:rPr>
              <w:t>24,720</w:t>
            </w:r>
          </w:p>
        </w:tc>
        <w:tc>
          <w:tcPr>
            <w:tcW w:w="120" w:type="dxa"/>
            <w:vAlign w:val="bottom"/>
            <w:tcBorders>
              <w:bottom w:val="single" w:sz="8" w:color="BFA071"/>
            </w:tcBorders>
          </w:tcPr>
          <w:p>
            <w:pPr>
              <w:spacing w:after="0"/>
              <w:rPr>
                <w:sz w:val="24"/>
                <w:szCs w:val="24"/>
                <w:color w:val="auto"/>
              </w:rPr>
            </w:pPr>
          </w:p>
        </w:tc>
        <w:tc>
          <w:tcPr>
            <w:tcW w:w="880" w:type="dxa"/>
            <w:vAlign w:val="bottom"/>
            <w:tcBorders>
              <w:bottom w:val="single" w:sz="8" w:color="BFA071"/>
            </w:tcBorders>
            <w:shd w:val="clear" w:color="auto" w:fill="EBE1D2"/>
          </w:tcPr>
          <w:p>
            <w:pPr>
              <w:spacing w:after="0"/>
              <w:rPr>
                <w:sz w:val="24"/>
                <w:szCs w:val="24"/>
                <w:color w:val="auto"/>
              </w:rPr>
            </w:pPr>
          </w:p>
        </w:tc>
        <w:tc>
          <w:tcPr>
            <w:tcW w:w="940" w:type="dxa"/>
            <w:vAlign w:val="bottom"/>
            <w:tcBorders>
              <w:bottom w:val="single" w:sz="8" w:color="BFA071"/>
            </w:tcBorders>
            <w:gridSpan w:val="2"/>
          </w:tcPr>
          <w:p>
            <w:pPr>
              <w:jc w:val="right"/>
              <w:ind w:right="117"/>
              <w:spacing w:after="0"/>
              <w:rPr>
                <w:sz w:val="20"/>
                <w:szCs w:val="20"/>
                <w:color w:val="auto"/>
              </w:rPr>
            </w:pPr>
            <w:r>
              <w:rPr>
                <w:rFonts w:ascii="Arial" w:cs="Arial" w:eastAsia="Arial" w:hAnsi="Arial"/>
                <w:sz w:val="13"/>
                <w:szCs w:val="13"/>
                <w:color w:val="001641"/>
              </w:rPr>
              <w:t>$445.00</w:t>
            </w:r>
          </w:p>
        </w:tc>
        <w:tc>
          <w:tcPr>
            <w:tcW w:w="800" w:type="dxa"/>
            <w:vAlign w:val="bottom"/>
            <w:tcBorders>
              <w:bottom w:val="single" w:sz="8" w:color="BFA071"/>
            </w:tcBorders>
          </w:tcPr>
          <w:p>
            <w:pPr>
              <w:jc w:val="right"/>
              <w:ind w:right="37"/>
              <w:spacing w:after="0"/>
              <w:rPr>
                <w:sz w:val="20"/>
                <w:szCs w:val="20"/>
                <w:color w:val="auto"/>
              </w:rPr>
            </w:pPr>
            <w:r>
              <w:rPr>
                <w:rFonts w:ascii="Arial" w:cs="Arial" w:eastAsia="Arial" w:hAnsi="Arial"/>
                <w:sz w:val="13"/>
                <w:szCs w:val="13"/>
                <w:color w:val="001641"/>
              </w:rPr>
              <w:t>5,500,200</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Arial" w:cs="Arial" w:eastAsia="Arial" w:hAnsi="Arial"/>
                <w:sz w:val="13"/>
                <w:szCs w:val="13"/>
                <w:b w:val="1"/>
                <w:bCs w:val="1"/>
                <w:color w:val="001641"/>
              </w:rPr>
              <w:t>Patrice Louvet</w:t>
            </w:r>
          </w:p>
        </w:tc>
        <w:tc>
          <w:tcPr>
            <w:tcW w:w="800" w:type="dxa"/>
            <w:vAlign w:val="bottom"/>
          </w:tcPr>
          <w:p>
            <w:pPr>
              <w:spacing w:after="0"/>
              <w:rPr>
                <w:sz w:val="24"/>
                <w:szCs w:val="24"/>
                <w:color w:val="auto"/>
              </w:rPr>
            </w:pPr>
          </w:p>
        </w:tc>
        <w:tc>
          <w:tcPr>
            <w:tcW w:w="900" w:type="dxa"/>
            <w:vAlign w:val="bottom"/>
            <w:tcBorders>
              <w:bottom w:val="single" w:sz="8" w:color="EBE1D2"/>
            </w:tcBorders>
            <w:gridSpan w:val="2"/>
            <w:shd w:val="clear" w:color="auto" w:fill="EBE1D2"/>
          </w:tcPr>
          <w:p>
            <w:pPr>
              <w:jc w:val="right"/>
              <w:ind w:right="137"/>
              <w:spacing w:after="0"/>
              <w:rPr>
                <w:sz w:val="20"/>
                <w:szCs w:val="20"/>
                <w:color w:val="auto"/>
              </w:rPr>
            </w:pPr>
            <w:r>
              <w:rPr>
                <w:rFonts w:ascii="Arial" w:cs="Arial" w:eastAsia="Arial" w:hAnsi="Arial"/>
                <w:sz w:val="13"/>
                <w:szCs w:val="13"/>
                <w:color w:val="001641"/>
              </w:rPr>
              <w:t>2,025,000</w:t>
            </w:r>
          </w:p>
        </w:tc>
        <w:tc>
          <w:tcPr>
            <w:tcW w:w="780" w:type="dxa"/>
            <w:vAlign w:val="bottom"/>
            <w:tcBorders>
              <w:bottom w:val="single" w:sz="8" w:color="EBE1D2"/>
            </w:tcBorders>
            <w:shd w:val="clear" w:color="auto" w:fill="EBE1D2"/>
          </w:tcPr>
          <w:p>
            <w:pPr>
              <w:jc w:val="right"/>
              <w:ind w:right="57"/>
              <w:spacing w:after="0"/>
              <w:rPr>
                <w:sz w:val="20"/>
                <w:szCs w:val="20"/>
                <w:color w:val="auto"/>
              </w:rPr>
            </w:pPr>
            <w:r>
              <w:rPr>
                <w:rFonts w:ascii="Arial" w:cs="Arial" w:eastAsia="Arial" w:hAnsi="Arial"/>
                <w:sz w:val="13"/>
                <w:szCs w:val="13"/>
                <w:color w:val="001641"/>
              </w:rPr>
              <w:t>4,050,000</w:t>
            </w:r>
          </w:p>
        </w:tc>
        <w:tc>
          <w:tcPr>
            <w:tcW w:w="760" w:type="dxa"/>
            <w:vAlign w:val="bottom"/>
            <w:tcBorders>
              <w:bottom w:val="single" w:sz="8" w:color="EBE1D2"/>
            </w:tcBorders>
            <w:shd w:val="clear" w:color="auto" w:fill="EBE1D2"/>
          </w:tcPr>
          <w:p>
            <w:pPr>
              <w:jc w:val="right"/>
              <w:spacing w:after="0"/>
              <w:rPr>
                <w:sz w:val="20"/>
                <w:szCs w:val="20"/>
                <w:color w:val="auto"/>
              </w:rPr>
            </w:pPr>
            <w:r>
              <w:rPr>
                <w:rFonts w:ascii="Arial" w:cs="Arial" w:eastAsia="Arial" w:hAnsi="Arial"/>
                <w:sz w:val="13"/>
                <w:szCs w:val="13"/>
                <w:color w:val="001641"/>
              </w:rPr>
              <w:t>8,100,000</w:t>
            </w:r>
          </w:p>
        </w:tc>
        <w:tc>
          <w:tcPr>
            <w:tcW w:w="100" w:type="dxa"/>
            <w:vAlign w:val="bottom"/>
            <w:tcBorders>
              <w:bottom w:val="single" w:sz="8" w:color="EBE1D2"/>
            </w:tcBorders>
            <w:shd w:val="clear" w:color="auto" w:fill="EBE1D2"/>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EBE1D2"/>
            </w:tcBorders>
            <w:shd w:val="clear" w:color="auto" w:fill="EBE1D2"/>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Borders>
              <w:top w:val="single" w:sz="8" w:color="BFA071"/>
              <w:bottom w:val="single" w:sz="8" w:color="BFA071"/>
            </w:tcBorders>
          </w:tcPr>
          <w:p>
            <w:pPr>
              <w:jc w:val="right"/>
              <w:ind w:right="57"/>
              <w:spacing w:after="0"/>
              <w:rPr>
                <w:sz w:val="20"/>
                <w:szCs w:val="20"/>
                <w:color w:val="auto"/>
              </w:rPr>
            </w:pPr>
            <w:r>
              <w:rPr>
                <w:rFonts w:ascii="Arial" w:cs="Arial" w:eastAsia="Arial" w:hAnsi="Arial"/>
                <w:sz w:val="13"/>
                <w:szCs w:val="13"/>
                <w:color w:val="001641"/>
                <w:w w:val="91"/>
              </w:rPr>
              <w:t>08/15/2025</w:t>
            </w:r>
            <w:r>
              <w:rPr>
                <w:rFonts w:ascii="Arial" w:cs="Arial" w:eastAsia="Arial" w:hAnsi="Arial"/>
                <w:sz w:val="20"/>
                <w:szCs w:val="20"/>
                <w:color w:val="001641"/>
                <w:w w:val="91"/>
                <w:vertAlign w:val="superscript"/>
              </w:rPr>
              <w:t>3</w:t>
            </w:r>
          </w:p>
        </w:tc>
        <w:tc>
          <w:tcPr>
            <w:tcW w:w="120" w:type="dxa"/>
            <w:vAlign w:val="bottom"/>
            <w:tcBorders>
              <w:top w:val="single" w:sz="8" w:color="BFA071"/>
              <w:bottom w:val="single" w:sz="8" w:color="BFA071"/>
            </w:tcBorders>
            <w:shd w:val="clear" w:color="auto" w:fill="EBE1D2"/>
          </w:tcPr>
          <w:p>
            <w:pPr>
              <w:spacing w:after="0"/>
              <w:rPr>
                <w:sz w:val="24"/>
                <w:szCs w:val="24"/>
                <w:color w:val="auto"/>
              </w:rPr>
            </w:pPr>
          </w:p>
        </w:tc>
        <w:tc>
          <w:tcPr>
            <w:tcW w:w="780" w:type="dxa"/>
            <w:vAlign w:val="bottom"/>
            <w:tcBorders>
              <w:top w:val="single" w:sz="8" w:color="BFA071"/>
              <w:bottom w:val="single" w:sz="8" w:color="BFA071"/>
            </w:tcBorders>
            <w:shd w:val="clear" w:color="auto" w:fill="EBE1D2"/>
          </w:tcPr>
          <w:p>
            <w:pPr>
              <w:spacing w:after="0"/>
              <w:rPr>
                <w:sz w:val="24"/>
                <w:szCs w:val="24"/>
                <w:color w:val="auto"/>
              </w:rPr>
            </w:pPr>
          </w:p>
        </w:tc>
        <w:tc>
          <w:tcPr>
            <w:tcW w:w="780" w:type="dxa"/>
            <w:vAlign w:val="bottom"/>
            <w:tcBorders>
              <w:top w:val="single" w:sz="8" w:color="BFA071"/>
              <w:bottom w:val="single" w:sz="8" w:color="BFA071"/>
            </w:tcBorders>
            <w:shd w:val="clear" w:color="auto" w:fill="EBE1D2"/>
          </w:tcPr>
          <w:p>
            <w:pPr>
              <w:spacing w:after="0"/>
              <w:rPr>
                <w:sz w:val="24"/>
                <w:szCs w:val="24"/>
                <w:color w:val="auto"/>
              </w:rPr>
            </w:pPr>
          </w:p>
        </w:tc>
        <w:tc>
          <w:tcPr>
            <w:tcW w:w="760" w:type="dxa"/>
            <w:vAlign w:val="bottom"/>
            <w:tcBorders>
              <w:top w:val="single" w:sz="8" w:color="BFA071"/>
              <w:bottom w:val="single" w:sz="8" w:color="BFA071"/>
            </w:tcBorders>
            <w:shd w:val="clear" w:color="auto" w:fill="EBE1D2"/>
          </w:tcPr>
          <w:p>
            <w:pPr>
              <w:spacing w:after="0"/>
              <w:rPr>
                <w:sz w:val="24"/>
                <w:szCs w:val="24"/>
                <w:color w:val="auto"/>
              </w:rPr>
            </w:pPr>
          </w:p>
        </w:tc>
        <w:tc>
          <w:tcPr>
            <w:tcW w:w="100" w:type="dxa"/>
            <w:vAlign w:val="bottom"/>
            <w:tcBorders>
              <w:top w:val="single" w:sz="8" w:color="BFA071"/>
              <w:bottom w:val="single" w:sz="8" w:color="BFA071"/>
            </w:tcBorders>
            <w:shd w:val="clear" w:color="auto" w:fill="EBE1D2"/>
          </w:tcPr>
          <w:p>
            <w:pPr>
              <w:spacing w:after="0"/>
              <w:rPr>
                <w:sz w:val="24"/>
                <w:szCs w:val="24"/>
                <w:color w:val="auto"/>
              </w:rPr>
            </w:pPr>
          </w:p>
        </w:tc>
        <w:tc>
          <w:tcPr>
            <w:tcW w:w="920" w:type="dxa"/>
            <w:vAlign w:val="bottom"/>
            <w:tcBorders>
              <w:top w:val="single" w:sz="8" w:color="BFA071"/>
              <w:bottom w:val="single" w:sz="8" w:color="BFA071"/>
            </w:tcBorders>
            <w:gridSpan w:val="2"/>
          </w:tcPr>
          <w:p>
            <w:pPr>
              <w:jc w:val="right"/>
              <w:ind w:right="137"/>
              <w:spacing w:after="0"/>
              <w:rPr>
                <w:sz w:val="20"/>
                <w:szCs w:val="20"/>
                <w:color w:val="auto"/>
              </w:rPr>
            </w:pPr>
            <w:r>
              <w:rPr>
                <w:rFonts w:ascii="Arial" w:cs="Arial" w:eastAsia="Arial" w:hAnsi="Arial"/>
                <w:sz w:val="13"/>
                <w:szCs w:val="13"/>
                <w:color w:val="001641"/>
              </w:rPr>
              <w:t>6,040</w:t>
            </w:r>
          </w:p>
        </w:tc>
        <w:tc>
          <w:tcPr>
            <w:tcW w:w="660" w:type="dxa"/>
            <w:vAlign w:val="bottom"/>
            <w:tcBorders>
              <w:top w:val="single" w:sz="8" w:color="BFA071"/>
              <w:bottom w:val="single" w:sz="8" w:color="BFA071"/>
            </w:tcBorders>
          </w:tcPr>
          <w:p>
            <w:pPr>
              <w:jc w:val="right"/>
              <w:ind w:right="57"/>
              <w:spacing w:after="0"/>
              <w:rPr>
                <w:sz w:val="20"/>
                <w:szCs w:val="20"/>
                <w:color w:val="auto"/>
              </w:rPr>
            </w:pPr>
            <w:r>
              <w:rPr>
                <w:rFonts w:ascii="Arial" w:cs="Arial" w:eastAsia="Arial" w:hAnsi="Arial"/>
                <w:sz w:val="13"/>
                <w:szCs w:val="13"/>
                <w:color w:val="001641"/>
              </w:rPr>
              <w:t>12,079</w:t>
            </w:r>
          </w:p>
        </w:tc>
        <w:tc>
          <w:tcPr>
            <w:tcW w:w="740" w:type="dxa"/>
            <w:vAlign w:val="bottom"/>
            <w:tcBorders>
              <w:top w:val="single" w:sz="8" w:color="BFA071"/>
              <w:bottom w:val="single" w:sz="8" w:color="BFA071"/>
            </w:tcBorders>
          </w:tcPr>
          <w:p>
            <w:pPr>
              <w:jc w:val="right"/>
              <w:spacing w:after="0"/>
              <w:rPr>
                <w:sz w:val="20"/>
                <w:szCs w:val="20"/>
                <w:color w:val="auto"/>
              </w:rPr>
            </w:pPr>
            <w:r>
              <w:rPr>
                <w:rFonts w:ascii="Arial" w:cs="Arial" w:eastAsia="Arial" w:hAnsi="Arial"/>
                <w:sz w:val="13"/>
                <w:szCs w:val="13"/>
                <w:color w:val="001641"/>
              </w:rPr>
              <w:t>24,158</w:t>
            </w:r>
          </w:p>
        </w:tc>
        <w:tc>
          <w:tcPr>
            <w:tcW w:w="120" w:type="dxa"/>
            <w:vAlign w:val="bottom"/>
            <w:tcBorders>
              <w:top w:val="single" w:sz="8" w:color="BFA071"/>
              <w:bottom w:val="single" w:sz="8" w:color="BFA071"/>
            </w:tcBorders>
          </w:tcPr>
          <w:p>
            <w:pPr>
              <w:spacing w:after="0"/>
              <w:rPr>
                <w:sz w:val="24"/>
                <w:szCs w:val="24"/>
                <w:color w:val="auto"/>
              </w:rPr>
            </w:pPr>
          </w:p>
        </w:tc>
        <w:tc>
          <w:tcPr>
            <w:tcW w:w="880" w:type="dxa"/>
            <w:vAlign w:val="bottom"/>
            <w:tcBorders>
              <w:top w:val="single" w:sz="8" w:color="BFA071"/>
              <w:bottom w:val="single" w:sz="8" w:color="BFA071"/>
            </w:tcBorders>
            <w:shd w:val="clear" w:color="auto" w:fill="EBE1D2"/>
          </w:tcPr>
          <w:p>
            <w:pPr>
              <w:spacing w:after="0"/>
              <w:rPr>
                <w:sz w:val="24"/>
                <w:szCs w:val="24"/>
                <w:color w:val="auto"/>
              </w:rPr>
            </w:pPr>
          </w:p>
        </w:tc>
        <w:tc>
          <w:tcPr>
            <w:tcW w:w="940" w:type="dxa"/>
            <w:vAlign w:val="bottom"/>
            <w:tcBorders>
              <w:top w:val="single" w:sz="8" w:color="BFA071"/>
              <w:bottom w:val="single" w:sz="8" w:color="BFA071"/>
            </w:tcBorders>
            <w:gridSpan w:val="2"/>
          </w:tcPr>
          <w:p>
            <w:pPr>
              <w:jc w:val="right"/>
              <w:ind w:right="117"/>
              <w:spacing w:after="0"/>
              <w:rPr>
                <w:sz w:val="20"/>
                <w:szCs w:val="20"/>
                <w:color w:val="auto"/>
              </w:rPr>
            </w:pPr>
            <w:r>
              <w:rPr>
                <w:rFonts w:ascii="Arial" w:cs="Arial" w:eastAsia="Arial" w:hAnsi="Arial"/>
                <w:sz w:val="13"/>
                <w:szCs w:val="13"/>
                <w:color w:val="001641"/>
              </w:rPr>
              <w:t>$279.56</w:t>
            </w:r>
          </w:p>
        </w:tc>
        <w:tc>
          <w:tcPr>
            <w:tcW w:w="800" w:type="dxa"/>
            <w:vAlign w:val="bottom"/>
            <w:tcBorders>
              <w:top w:val="single" w:sz="8" w:color="BFA071"/>
              <w:bottom w:val="single" w:sz="8" w:color="BFA071"/>
            </w:tcBorders>
          </w:tcPr>
          <w:p>
            <w:pPr>
              <w:jc w:val="right"/>
              <w:ind w:right="37"/>
              <w:spacing w:after="0"/>
              <w:rPr>
                <w:sz w:val="20"/>
                <w:szCs w:val="20"/>
                <w:color w:val="auto"/>
              </w:rPr>
            </w:pPr>
            <w:r>
              <w:rPr>
                <w:rFonts w:ascii="Arial" w:cs="Arial" w:eastAsia="Arial" w:hAnsi="Arial"/>
                <w:sz w:val="13"/>
                <w:szCs w:val="13"/>
                <w:color w:val="001641"/>
              </w:rPr>
              <w:t>3,376,805</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Borders>
              <w:bottom w:val="single" w:sz="8" w:color="BFA071"/>
            </w:tcBorders>
          </w:tcPr>
          <w:p>
            <w:pPr>
              <w:jc w:val="right"/>
              <w:ind w:right="57"/>
              <w:spacing w:after="0"/>
              <w:rPr>
                <w:sz w:val="20"/>
                <w:szCs w:val="20"/>
                <w:color w:val="auto"/>
              </w:rPr>
            </w:pPr>
            <w:r>
              <w:rPr>
                <w:rFonts w:ascii="Arial" w:cs="Arial" w:eastAsia="Arial" w:hAnsi="Arial"/>
                <w:sz w:val="13"/>
                <w:szCs w:val="13"/>
                <w:color w:val="001641"/>
                <w:w w:val="91"/>
              </w:rPr>
              <w:t>08/15/2025</w:t>
            </w:r>
            <w:r>
              <w:rPr>
                <w:rFonts w:ascii="Arial" w:cs="Arial" w:eastAsia="Arial" w:hAnsi="Arial"/>
                <w:sz w:val="20"/>
                <w:szCs w:val="20"/>
                <w:color w:val="001641"/>
                <w:w w:val="91"/>
                <w:vertAlign w:val="superscript"/>
              </w:rPr>
              <w:t>4</w:t>
            </w:r>
          </w:p>
        </w:tc>
        <w:tc>
          <w:tcPr>
            <w:tcW w:w="12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60" w:type="dxa"/>
            <w:vAlign w:val="bottom"/>
            <w:tcBorders>
              <w:bottom w:val="single" w:sz="8" w:color="BFA071"/>
            </w:tcBorders>
            <w:shd w:val="clear" w:color="auto" w:fill="EBE1D2"/>
          </w:tcPr>
          <w:p>
            <w:pPr>
              <w:spacing w:after="0"/>
              <w:rPr>
                <w:sz w:val="24"/>
                <w:szCs w:val="24"/>
                <w:color w:val="auto"/>
              </w:rPr>
            </w:pPr>
          </w:p>
        </w:tc>
        <w:tc>
          <w:tcPr>
            <w:tcW w:w="100" w:type="dxa"/>
            <w:vAlign w:val="bottom"/>
            <w:tcBorders>
              <w:bottom w:val="single" w:sz="8" w:color="BFA071"/>
            </w:tcBorders>
            <w:shd w:val="clear" w:color="auto" w:fill="EBE1D2"/>
          </w:tcPr>
          <w:p>
            <w:pPr>
              <w:spacing w:after="0"/>
              <w:rPr>
                <w:sz w:val="24"/>
                <w:szCs w:val="24"/>
                <w:color w:val="auto"/>
              </w:rPr>
            </w:pPr>
          </w:p>
        </w:tc>
        <w:tc>
          <w:tcPr>
            <w:tcW w:w="920" w:type="dxa"/>
            <w:vAlign w:val="bottom"/>
            <w:tcBorders>
              <w:bottom w:val="single" w:sz="8" w:color="BFA071"/>
            </w:tcBorders>
            <w:gridSpan w:val="2"/>
          </w:tcPr>
          <w:p>
            <w:pPr>
              <w:jc w:val="right"/>
              <w:ind w:right="137"/>
              <w:spacing w:after="0"/>
              <w:rPr>
                <w:sz w:val="20"/>
                <w:szCs w:val="20"/>
                <w:color w:val="auto"/>
              </w:rPr>
            </w:pPr>
            <w:r>
              <w:rPr>
                <w:rFonts w:ascii="Arial" w:cs="Arial" w:eastAsia="Arial" w:hAnsi="Arial"/>
                <w:sz w:val="13"/>
                <w:szCs w:val="13"/>
                <w:color w:val="001641"/>
              </w:rPr>
              <w:t>4,064</w:t>
            </w:r>
          </w:p>
        </w:tc>
        <w:tc>
          <w:tcPr>
            <w:tcW w:w="660" w:type="dxa"/>
            <w:vAlign w:val="bottom"/>
            <w:tcBorders>
              <w:bottom w:val="single" w:sz="8" w:color="BFA071"/>
            </w:tcBorders>
          </w:tcPr>
          <w:p>
            <w:pPr>
              <w:jc w:val="right"/>
              <w:ind w:right="77"/>
              <w:spacing w:after="0"/>
              <w:rPr>
                <w:sz w:val="20"/>
                <w:szCs w:val="20"/>
                <w:color w:val="auto"/>
              </w:rPr>
            </w:pPr>
            <w:r>
              <w:rPr>
                <w:rFonts w:ascii="Arial" w:cs="Arial" w:eastAsia="Arial" w:hAnsi="Arial"/>
                <w:sz w:val="13"/>
                <w:szCs w:val="13"/>
                <w:color w:val="001641"/>
              </w:rPr>
              <w:t>8,128</w:t>
            </w:r>
          </w:p>
        </w:tc>
        <w:tc>
          <w:tcPr>
            <w:tcW w:w="740" w:type="dxa"/>
            <w:vAlign w:val="bottom"/>
            <w:tcBorders>
              <w:bottom w:val="single" w:sz="8" w:color="BFA071"/>
            </w:tcBorders>
          </w:tcPr>
          <w:p>
            <w:pPr>
              <w:jc w:val="right"/>
              <w:spacing w:after="0"/>
              <w:rPr>
                <w:sz w:val="20"/>
                <w:szCs w:val="20"/>
                <w:color w:val="auto"/>
              </w:rPr>
            </w:pPr>
            <w:r>
              <w:rPr>
                <w:rFonts w:ascii="Arial" w:cs="Arial" w:eastAsia="Arial" w:hAnsi="Arial"/>
                <w:sz w:val="13"/>
                <w:szCs w:val="13"/>
                <w:color w:val="001641"/>
              </w:rPr>
              <w:t>16,256</w:t>
            </w:r>
          </w:p>
        </w:tc>
        <w:tc>
          <w:tcPr>
            <w:tcW w:w="120" w:type="dxa"/>
            <w:vAlign w:val="bottom"/>
            <w:tcBorders>
              <w:bottom w:val="single" w:sz="8" w:color="BFA071"/>
            </w:tcBorders>
          </w:tcPr>
          <w:p>
            <w:pPr>
              <w:spacing w:after="0"/>
              <w:rPr>
                <w:sz w:val="24"/>
                <w:szCs w:val="24"/>
                <w:color w:val="auto"/>
              </w:rPr>
            </w:pPr>
          </w:p>
        </w:tc>
        <w:tc>
          <w:tcPr>
            <w:tcW w:w="880" w:type="dxa"/>
            <w:vAlign w:val="bottom"/>
            <w:tcBorders>
              <w:bottom w:val="single" w:sz="8" w:color="BFA071"/>
            </w:tcBorders>
            <w:shd w:val="clear" w:color="auto" w:fill="EBE1D2"/>
          </w:tcPr>
          <w:p>
            <w:pPr>
              <w:spacing w:after="0"/>
              <w:rPr>
                <w:sz w:val="24"/>
                <w:szCs w:val="24"/>
                <w:color w:val="auto"/>
              </w:rPr>
            </w:pPr>
          </w:p>
        </w:tc>
        <w:tc>
          <w:tcPr>
            <w:tcW w:w="940" w:type="dxa"/>
            <w:vAlign w:val="bottom"/>
            <w:tcBorders>
              <w:bottom w:val="single" w:sz="8" w:color="BFA071"/>
            </w:tcBorders>
            <w:gridSpan w:val="2"/>
          </w:tcPr>
          <w:p>
            <w:pPr>
              <w:jc w:val="right"/>
              <w:ind w:right="117"/>
              <w:spacing w:after="0"/>
              <w:rPr>
                <w:sz w:val="20"/>
                <w:szCs w:val="20"/>
                <w:color w:val="auto"/>
              </w:rPr>
            </w:pPr>
            <w:r>
              <w:rPr>
                <w:rFonts w:ascii="Arial" w:cs="Arial" w:eastAsia="Arial" w:hAnsi="Arial"/>
                <w:sz w:val="13"/>
                <w:szCs w:val="13"/>
                <w:color w:val="001641"/>
              </w:rPr>
              <w:t>$430.64</w:t>
            </w:r>
          </w:p>
        </w:tc>
        <w:tc>
          <w:tcPr>
            <w:tcW w:w="800" w:type="dxa"/>
            <w:vAlign w:val="bottom"/>
            <w:tcBorders>
              <w:bottom w:val="single" w:sz="8" w:color="BFA071"/>
            </w:tcBorders>
          </w:tcPr>
          <w:p>
            <w:pPr>
              <w:jc w:val="right"/>
              <w:ind w:right="37"/>
              <w:spacing w:after="0"/>
              <w:rPr>
                <w:sz w:val="20"/>
                <w:szCs w:val="20"/>
                <w:color w:val="auto"/>
              </w:rPr>
            </w:pPr>
            <w:r>
              <w:rPr>
                <w:rFonts w:ascii="Arial" w:cs="Arial" w:eastAsia="Arial" w:hAnsi="Arial"/>
                <w:sz w:val="13"/>
                <w:szCs w:val="13"/>
                <w:color w:val="001641"/>
              </w:rPr>
              <w:t>3,500,242</w:t>
            </w:r>
          </w:p>
        </w:tc>
        <w:tc>
          <w:tcPr>
            <w:tcW w:w="0" w:type="dxa"/>
            <w:vAlign w:val="bottom"/>
          </w:tcPr>
          <w:p>
            <w:pPr>
              <w:spacing w:after="0"/>
              <w:rPr>
                <w:sz w:val="1"/>
                <w:szCs w:val="1"/>
                <w:color w:val="auto"/>
              </w:rPr>
            </w:pPr>
          </w:p>
        </w:tc>
      </w:tr>
      <w:tr>
        <w:trPr>
          <w:trHeight w:val="304"/>
        </w:trPr>
        <w:tc>
          <w:tcPr>
            <w:tcW w:w="60" w:type="dxa"/>
            <w:vAlign w:val="bottom"/>
            <w:tcBorders>
              <w:bottom w:val="single" w:sz="8" w:color="BFA071"/>
            </w:tcBorders>
          </w:tcPr>
          <w:p>
            <w:pPr>
              <w:spacing w:after="0"/>
              <w:rPr>
                <w:sz w:val="24"/>
                <w:szCs w:val="24"/>
                <w:color w:val="auto"/>
              </w:rPr>
            </w:pPr>
          </w:p>
        </w:tc>
        <w:tc>
          <w:tcPr>
            <w:tcW w:w="1040" w:type="dxa"/>
            <w:vAlign w:val="bottom"/>
            <w:tcBorders>
              <w:bottom w:val="single" w:sz="8" w:color="BFA071"/>
            </w:tcBorders>
          </w:tcPr>
          <w:p>
            <w:pPr>
              <w:spacing w:after="0"/>
              <w:rPr>
                <w:sz w:val="24"/>
                <w:szCs w:val="24"/>
                <w:color w:val="auto"/>
              </w:rPr>
            </w:pPr>
          </w:p>
        </w:tc>
        <w:tc>
          <w:tcPr>
            <w:tcW w:w="800" w:type="dxa"/>
            <w:vAlign w:val="bottom"/>
            <w:tcBorders>
              <w:bottom w:val="single" w:sz="8" w:color="BFA071"/>
            </w:tcBorders>
          </w:tcPr>
          <w:p>
            <w:pPr>
              <w:jc w:val="right"/>
              <w:ind w:right="57"/>
              <w:spacing w:after="0"/>
              <w:rPr>
                <w:sz w:val="20"/>
                <w:szCs w:val="20"/>
                <w:color w:val="auto"/>
              </w:rPr>
            </w:pPr>
            <w:r>
              <w:rPr>
                <w:rFonts w:ascii="Arial" w:cs="Arial" w:eastAsia="Arial" w:hAnsi="Arial"/>
                <w:sz w:val="13"/>
                <w:szCs w:val="13"/>
                <w:color w:val="001641"/>
                <w:w w:val="91"/>
              </w:rPr>
              <w:t>08/15/2025</w:t>
            </w:r>
            <w:r>
              <w:rPr>
                <w:rFonts w:ascii="Arial" w:cs="Arial" w:eastAsia="Arial" w:hAnsi="Arial"/>
                <w:sz w:val="20"/>
                <w:szCs w:val="20"/>
                <w:color w:val="001641"/>
                <w:w w:val="91"/>
                <w:vertAlign w:val="superscript"/>
              </w:rPr>
              <w:t>5</w:t>
            </w:r>
          </w:p>
        </w:tc>
        <w:tc>
          <w:tcPr>
            <w:tcW w:w="12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60" w:type="dxa"/>
            <w:vAlign w:val="bottom"/>
            <w:tcBorders>
              <w:bottom w:val="single" w:sz="8" w:color="BFA071"/>
            </w:tcBorders>
            <w:shd w:val="clear" w:color="auto" w:fill="EBE1D2"/>
          </w:tcPr>
          <w:p>
            <w:pPr>
              <w:spacing w:after="0"/>
              <w:rPr>
                <w:sz w:val="24"/>
                <w:szCs w:val="24"/>
                <w:color w:val="auto"/>
              </w:rPr>
            </w:pPr>
          </w:p>
        </w:tc>
        <w:tc>
          <w:tcPr>
            <w:tcW w:w="100" w:type="dxa"/>
            <w:vAlign w:val="bottom"/>
            <w:tcBorders>
              <w:bottom w:val="single" w:sz="8" w:color="BFA071"/>
            </w:tcBorders>
            <w:shd w:val="clear" w:color="auto" w:fill="EBE1D2"/>
          </w:tcPr>
          <w:p>
            <w:pPr>
              <w:spacing w:after="0"/>
              <w:rPr>
                <w:sz w:val="24"/>
                <w:szCs w:val="24"/>
                <w:color w:val="auto"/>
              </w:rPr>
            </w:pPr>
          </w:p>
        </w:tc>
        <w:tc>
          <w:tcPr>
            <w:tcW w:w="120" w:type="dxa"/>
            <w:vAlign w:val="bottom"/>
            <w:tcBorders>
              <w:bottom w:val="single" w:sz="8" w:color="BFA071"/>
            </w:tcBorders>
          </w:tcPr>
          <w:p>
            <w:pPr>
              <w:spacing w:after="0"/>
              <w:rPr>
                <w:sz w:val="24"/>
                <w:szCs w:val="24"/>
                <w:color w:val="auto"/>
              </w:rPr>
            </w:pPr>
          </w:p>
        </w:tc>
        <w:tc>
          <w:tcPr>
            <w:tcW w:w="800" w:type="dxa"/>
            <w:vAlign w:val="bottom"/>
            <w:tcBorders>
              <w:bottom w:val="single" w:sz="8" w:color="BFA071"/>
            </w:tcBorders>
          </w:tcPr>
          <w:p>
            <w:pPr>
              <w:spacing w:after="0"/>
              <w:rPr>
                <w:sz w:val="24"/>
                <w:szCs w:val="24"/>
                <w:color w:val="auto"/>
              </w:rPr>
            </w:pPr>
          </w:p>
        </w:tc>
        <w:tc>
          <w:tcPr>
            <w:tcW w:w="660" w:type="dxa"/>
            <w:vAlign w:val="bottom"/>
            <w:tcBorders>
              <w:bottom w:val="single" w:sz="8" w:color="BFA071"/>
            </w:tcBorders>
          </w:tcPr>
          <w:p>
            <w:pPr>
              <w:spacing w:after="0"/>
              <w:rPr>
                <w:sz w:val="24"/>
                <w:szCs w:val="24"/>
                <w:color w:val="auto"/>
              </w:rPr>
            </w:pPr>
          </w:p>
        </w:tc>
        <w:tc>
          <w:tcPr>
            <w:tcW w:w="740" w:type="dxa"/>
            <w:vAlign w:val="bottom"/>
            <w:tcBorders>
              <w:bottom w:val="single" w:sz="8" w:color="BFA071"/>
            </w:tcBorders>
          </w:tcPr>
          <w:p>
            <w:pPr>
              <w:spacing w:after="0"/>
              <w:rPr>
                <w:sz w:val="24"/>
                <w:szCs w:val="24"/>
                <w:color w:val="auto"/>
              </w:rPr>
            </w:pPr>
          </w:p>
        </w:tc>
        <w:tc>
          <w:tcPr>
            <w:tcW w:w="120" w:type="dxa"/>
            <w:vAlign w:val="bottom"/>
            <w:tcBorders>
              <w:bottom w:val="single" w:sz="8" w:color="BFA071"/>
            </w:tcBorders>
          </w:tcPr>
          <w:p>
            <w:pPr>
              <w:spacing w:after="0"/>
              <w:rPr>
                <w:sz w:val="24"/>
                <w:szCs w:val="24"/>
                <w:color w:val="auto"/>
              </w:rPr>
            </w:pPr>
          </w:p>
        </w:tc>
        <w:tc>
          <w:tcPr>
            <w:tcW w:w="880" w:type="dxa"/>
            <w:vAlign w:val="bottom"/>
            <w:tcBorders>
              <w:bottom w:val="single" w:sz="8" w:color="BFA071"/>
            </w:tcBorders>
            <w:shd w:val="clear" w:color="auto" w:fill="EBE1D2"/>
          </w:tcPr>
          <w:p>
            <w:pPr>
              <w:jc w:val="right"/>
              <w:ind w:right="97"/>
              <w:spacing w:after="0"/>
              <w:rPr>
                <w:sz w:val="20"/>
                <w:szCs w:val="20"/>
                <w:color w:val="auto"/>
              </w:rPr>
            </w:pPr>
            <w:r>
              <w:rPr>
                <w:rFonts w:ascii="Arial" w:cs="Arial" w:eastAsia="Arial" w:hAnsi="Arial"/>
                <w:sz w:val="13"/>
                <w:szCs w:val="13"/>
                <w:color w:val="001641"/>
              </w:rPr>
              <w:t>24,159</w:t>
            </w:r>
          </w:p>
        </w:tc>
        <w:tc>
          <w:tcPr>
            <w:tcW w:w="940" w:type="dxa"/>
            <w:vAlign w:val="bottom"/>
            <w:tcBorders>
              <w:bottom w:val="single" w:sz="8" w:color="BFA071"/>
            </w:tcBorders>
            <w:gridSpan w:val="2"/>
          </w:tcPr>
          <w:p>
            <w:pPr>
              <w:jc w:val="right"/>
              <w:ind w:right="117"/>
              <w:spacing w:after="0"/>
              <w:rPr>
                <w:sz w:val="20"/>
                <w:szCs w:val="20"/>
                <w:color w:val="auto"/>
              </w:rPr>
            </w:pPr>
            <w:r>
              <w:rPr>
                <w:rFonts w:ascii="Arial" w:cs="Arial" w:eastAsia="Arial" w:hAnsi="Arial"/>
                <w:sz w:val="13"/>
                <w:szCs w:val="13"/>
                <w:color w:val="001641"/>
              </w:rPr>
              <w:t>$282.84</w:t>
            </w:r>
          </w:p>
        </w:tc>
        <w:tc>
          <w:tcPr>
            <w:tcW w:w="800" w:type="dxa"/>
            <w:vAlign w:val="bottom"/>
            <w:tcBorders>
              <w:bottom w:val="single" w:sz="8" w:color="BFA071"/>
            </w:tcBorders>
          </w:tcPr>
          <w:p>
            <w:pPr>
              <w:jc w:val="right"/>
              <w:ind w:right="37"/>
              <w:spacing w:after="0"/>
              <w:rPr>
                <w:sz w:val="20"/>
                <w:szCs w:val="20"/>
                <w:color w:val="auto"/>
              </w:rPr>
            </w:pPr>
            <w:r>
              <w:rPr>
                <w:rFonts w:ascii="Arial" w:cs="Arial" w:eastAsia="Arial" w:hAnsi="Arial"/>
                <w:sz w:val="13"/>
                <w:szCs w:val="13"/>
                <w:color w:val="001641"/>
              </w:rPr>
              <w:t>6,833,132</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Arial" w:cs="Arial" w:eastAsia="Arial" w:hAnsi="Arial"/>
                <w:sz w:val="13"/>
                <w:szCs w:val="13"/>
                <w:b w:val="1"/>
                <w:bCs w:val="1"/>
                <w:color w:val="001641"/>
              </w:rPr>
              <w:t>Robert Ranftl</w:t>
            </w:r>
          </w:p>
        </w:tc>
        <w:tc>
          <w:tcPr>
            <w:tcW w:w="800" w:type="dxa"/>
            <w:vAlign w:val="bottom"/>
          </w:tcPr>
          <w:p>
            <w:pPr>
              <w:spacing w:after="0"/>
              <w:rPr>
                <w:sz w:val="24"/>
                <w:szCs w:val="24"/>
                <w:color w:val="auto"/>
              </w:rPr>
            </w:pPr>
          </w:p>
        </w:tc>
        <w:tc>
          <w:tcPr>
            <w:tcW w:w="900" w:type="dxa"/>
            <w:vAlign w:val="bottom"/>
            <w:tcBorders>
              <w:bottom w:val="single" w:sz="8" w:color="EBE1D2"/>
            </w:tcBorders>
            <w:gridSpan w:val="2"/>
            <w:shd w:val="clear" w:color="auto" w:fill="EBE1D2"/>
          </w:tcPr>
          <w:p>
            <w:pPr>
              <w:jc w:val="right"/>
              <w:ind w:right="137"/>
              <w:spacing w:after="0"/>
              <w:rPr>
                <w:sz w:val="20"/>
                <w:szCs w:val="20"/>
                <w:color w:val="auto"/>
              </w:rPr>
            </w:pPr>
            <w:r>
              <w:rPr>
                <w:rFonts w:ascii="Arial" w:cs="Arial" w:eastAsia="Arial" w:hAnsi="Arial"/>
                <w:sz w:val="13"/>
                <w:szCs w:val="13"/>
                <w:color w:val="001641"/>
              </w:rPr>
              <w:t>500,000</w:t>
            </w:r>
          </w:p>
        </w:tc>
        <w:tc>
          <w:tcPr>
            <w:tcW w:w="780" w:type="dxa"/>
            <w:vAlign w:val="bottom"/>
            <w:tcBorders>
              <w:bottom w:val="single" w:sz="8" w:color="EBE1D2"/>
            </w:tcBorders>
            <w:shd w:val="clear" w:color="auto" w:fill="EBE1D2"/>
          </w:tcPr>
          <w:p>
            <w:pPr>
              <w:jc w:val="right"/>
              <w:ind w:right="57"/>
              <w:spacing w:after="0"/>
              <w:rPr>
                <w:sz w:val="20"/>
                <w:szCs w:val="20"/>
                <w:color w:val="auto"/>
              </w:rPr>
            </w:pPr>
            <w:r>
              <w:rPr>
                <w:rFonts w:ascii="Arial" w:cs="Arial" w:eastAsia="Arial" w:hAnsi="Arial"/>
                <w:sz w:val="13"/>
                <w:szCs w:val="13"/>
                <w:color w:val="001641"/>
              </w:rPr>
              <w:t>1,000,000</w:t>
            </w:r>
          </w:p>
        </w:tc>
        <w:tc>
          <w:tcPr>
            <w:tcW w:w="760" w:type="dxa"/>
            <w:vAlign w:val="bottom"/>
            <w:tcBorders>
              <w:bottom w:val="single" w:sz="8" w:color="EBE1D2"/>
            </w:tcBorders>
            <w:shd w:val="clear" w:color="auto" w:fill="EBE1D2"/>
          </w:tcPr>
          <w:p>
            <w:pPr>
              <w:jc w:val="right"/>
              <w:spacing w:after="0"/>
              <w:rPr>
                <w:sz w:val="20"/>
                <w:szCs w:val="20"/>
                <w:color w:val="auto"/>
              </w:rPr>
            </w:pPr>
            <w:r>
              <w:rPr>
                <w:rFonts w:ascii="Arial" w:cs="Arial" w:eastAsia="Arial" w:hAnsi="Arial"/>
                <w:sz w:val="13"/>
                <w:szCs w:val="13"/>
                <w:color w:val="001641"/>
              </w:rPr>
              <w:t>2,000,000</w:t>
            </w:r>
          </w:p>
        </w:tc>
        <w:tc>
          <w:tcPr>
            <w:tcW w:w="100" w:type="dxa"/>
            <w:vAlign w:val="bottom"/>
            <w:tcBorders>
              <w:bottom w:val="single" w:sz="8" w:color="EBE1D2"/>
            </w:tcBorders>
            <w:shd w:val="clear" w:color="auto" w:fill="EBE1D2"/>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EBE1D2"/>
            </w:tcBorders>
            <w:shd w:val="clear" w:color="auto" w:fill="EBE1D2"/>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Borders>
              <w:top w:val="single" w:sz="8" w:color="BFA071"/>
              <w:bottom w:val="single" w:sz="8" w:color="BFA071"/>
            </w:tcBorders>
          </w:tcPr>
          <w:p>
            <w:pPr>
              <w:jc w:val="right"/>
              <w:ind w:right="57"/>
              <w:spacing w:after="0"/>
              <w:rPr>
                <w:sz w:val="20"/>
                <w:szCs w:val="20"/>
                <w:color w:val="auto"/>
              </w:rPr>
            </w:pPr>
            <w:r>
              <w:rPr>
                <w:rFonts w:ascii="Arial" w:cs="Arial" w:eastAsia="Arial" w:hAnsi="Arial"/>
                <w:sz w:val="13"/>
                <w:szCs w:val="13"/>
                <w:color w:val="001641"/>
                <w:w w:val="91"/>
              </w:rPr>
              <w:t>08/15/2025</w:t>
            </w:r>
            <w:r>
              <w:rPr>
                <w:rFonts w:ascii="Arial" w:cs="Arial" w:eastAsia="Arial" w:hAnsi="Arial"/>
                <w:sz w:val="20"/>
                <w:szCs w:val="20"/>
                <w:color w:val="001641"/>
                <w:w w:val="91"/>
                <w:vertAlign w:val="superscript"/>
              </w:rPr>
              <w:t>3</w:t>
            </w:r>
          </w:p>
        </w:tc>
        <w:tc>
          <w:tcPr>
            <w:tcW w:w="120" w:type="dxa"/>
            <w:vAlign w:val="bottom"/>
            <w:tcBorders>
              <w:top w:val="single" w:sz="8" w:color="BFA071"/>
              <w:bottom w:val="single" w:sz="8" w:color="BFA071"/>
            </w:tcBorders>
            <w:shd w:val="clear" w:color="auto" w:fill="EBE1D2"/>
          </w:tcPr>
          <w:p>
            <w:pPr>
              <w:spacing w:after="0"/>
              <w:rPr>
                <w:sz w:val="24"/>
                <w:szCs w:val="24"/>
                <w:color w:val="auto"/>
              </w:rPr>
            </w:pPr>
          </w:p>
        </w:tc>
        <w:tc>
          <w:tcPr>
            <w:tcW w:w="780" w:type="dxa"/>
            <w:vAlign w:val="bottom"/>
            <w:tcBorders>
              <w:top w:val="single" w:sz="8" w:color="BFA071"/>
              <w:bottom w:val="single" w:sz="8" w:color="BFA071"/>
            </w:tcBorders>
            <w:shd w:val="clear" w:color="auto" w:fill="EBE1D2"/>
          </w:tcPr>
          <w:p>
            <w:pPr>
              <w:spacing w:after="0"/>
              <w:rPr>
                <w:sz w:val="24"/>
                <w:szCs w:val="24"/>
                <w:color w:val="auto"/>
              </w:rPr>
            </w:pPr>
          </w:p>
        </w:tc>
        <w:tc>
          <w:tcPr>
            <w:tcW w:w="780" w:type="dxa"/>
            <w:vAlign w:val="bottom"/>
            <w:tcBorders>
              <w:top w:val="single" w:sz="8" w:color="BFA071"/>
              <w:bottom w:val="single" w:sz="8" w:color="BFA071"/>
            </w:tcBorders>
            <w:shd w:val="clear" w:color="auto" w:fill="EBE1D2"/>
          </w:tcPr>
          <w:p>
            <w:pPr>
              <w:spacing w:after="0"/>
              <w:rPr>
                <w:sz w:val="24"/>
                <w:szCs w:val="24"/>
                <w:color w:val="auto"/>
              </w:rPr>
            </w:pPr>
          </w:p>
        </w:tc>
        <w:tc>
          <w:tcPr>
            <w:tcW w:w="760" w:type="dxa"/>
            <w:vAlign w:val="bottom"/>
            <w:tcBorders>
              <w:top w:val="single" w:sz="8" w:color="BFA071"/>
              <w:bottom w:val="single" w:sz="8" w:color="BFA071"/>
            </w:tcBorders>
            <w:shd w:val="clear" w:color="auto" w:fill="EBE1D2"/>
          </w:tcPr>
          <w:p>
            <w:pPr>
              <w:spacing w:after="0"/>
              <w:rPr>
                <w:sz w:val="24"/>
                <w:szCs w:val="24"/>
                <w:color w:val="auto"/>
              </w:rPr>
            </w:pPr>
          </w:p>
        </w:tc>
        <w:tc>
          <w:tcPr>
            <w:tcW w:w="100" w:type="dxa"/>
            <w:vAlign w:val="bottom"/>
            <w:tcBorders>
              <w:top w:val="single" w:sz="8" w:color="BFA071"/>
              <w:bottom w:val="single" w:sz="8" w:color="BFA071"/>
            </w:tcBorders>
            <w:shd w:val="clear" w:color="auto" w:fill="EBE1D2"/>
          </w:tcPr>
          <w:p>
            <w:pPr>
              <w:spacing w:after="0"/>
              <w:rPr>
                <w:sz w:val="24"/>
                <w:szCs w:val="24"/>
                <w:color w:val="auto"/>
              </w:rPr>
            </w:pPr>
          </w:p>
        </w:tc>
        <w:tc>
          <w:tcPr>
            <w:tcW w:w="920" w:type="dxa"/>
            <w:vAlign w:val="bottom"/>
            <w:tcBorders>
              <w:top w:val="single" w:sz="8" w:color="BFA071"/>
              <w:bottom w:val="single" w:sz="8" w:color="BFA071"/>
            </w:tcBorders>
            <w:gridSpan w:val="2"/>
          </w:tcPr>
          <w:p>
            <w:pPr>
              <w:jc w:val="right"/>
              <w:ind w:right="157"/>
              <w:spacing w:after="0"/>
              <w:rPr>
                <w:sz w:val="20"/>
                <w:szCs w:val="20"/>
                <w:color w:val="auto"/>
              </w:rPr>
            </w:pPr>
            <w:r>
              <w:rPr>
                <w:rFonts w:ascii="Arial" w:cs="Arial" w:eastAsia="Arial" w:hAnsi="Arial"/>
                <w:sz w:val="13"/>
                <w:szCs w:val="13"/>
                <w:color w:val="001641"/>
              </w:rPr>
              <w:t>971</w:t>
            </w:r>
          </w:p>
        </w:tc>
        <w:tc>
          <w:tcPr>
            <w:tcW w:w="660" w:type="dxa"/>
            <w:vAlign w:val="bottom"/>
            <w:tcBorders>
              <w:top w:val="single" w:sz="8" w:color="BFA071"/>
              <w:bottom w:val="single" w:sz="8" w:color="BFA071"/>
            </w:tcBorders>
          </w:tcPr>
          <w:p>
            <w:pPr>
              <w:jc w:val="right"/>
              <w:ind w:right="77"/>
              <w:spacing w:after="0"/>
              <w:rPr>
                <w:sz w:val="20"/>
                <w:szCs w:val="20"/>
                <w:color w:val="auto"/>
              </w:rPr>
            </w:pPr>
            <w:r>
              <w:rPr>
                <w:rFonts w:ascii="Arial" w:cs="Arial" w:eastAsia="Arial" w:hAnsi="Arial"/>
                <w:sz w:val="13"/>
                <w:szCs w:val="13"/>
                <w:color w:val="001641"/>
              </w:rPr>
              <w:t>1,941</w:t>
            </w:r>
          </w:p>
        </w:tc>
        <w:tc>
          <w:tcPr>
            <w:tcW w:w="740" w:type="dxa"/>
            <w:vAlign w:val="bottom"/>
            <w:tcBorders>
              <w:top w:val="single" w:sz="8" w:color="BFA071"/>
              <w:bottom w:val="single" w:sz="8" w:color="BFA071"/>
            </w:tcBorders>
          </w:tcPr>
          <w:p>
            <w:pPr>
              <w:jc w:val="right"/>
              <w:spacing w:after="0"/>
              <w:rPr>
                <w:sz w:val="20"/>
                <w:szCs w:val="20"/>
                <w:color w:val="auto"/>
              </w:rPr>
            </w:pPr>
            <w:r>
              <w:rPr>
                <w:rFonts w:ascii="Arial" w:cs="Arial" w:eastAsia="Arial" w:hAnsi="Arial"/>
                <w:sz w:val="13"/>
                <w:szCs w:val="13"/>
                <w:color w:val="001641"/>
              </w:rPr>
              <w:t>3,882</w:t>
            </w:r>
          </w:p>
        </w:tc>
        <w:tc>
          <w:tcPr>
            <w:tcW w:w="120" w:type="dxa"/>
            <w:vAlign w:val="bottom"/>
            <w:tcBorders>
              <w:top w:val="single" w:sz="8" w:color="BFA071"/>
              <w:bottom w:val="single" w:sz="8" w:color="BFA071"/>
            </w:tcBorders>
          </w:tcPr>
          <w:p>
            <w:pPr>
              <w:spacing w:after="0"/>
              <w:rPr>
                <w:sz w:val="24"/>
                <w:szCs w:val="24"/>
                <w:color w:val="auto"/>
              </w:rPr>
            </w:pPr>
          </w:p>
        </w:tc>
        <w:tc>
          <w:tcPr>
            <w:tcW w:w="880" w:type="dxa"/>
            <w:vAlign w:val="bottom"/>
            <w:tcBorders>
              <w:top w:val="single" w:sz="8" w:color="BFA071"/>
              <w:bottom w:val="single" w:sz="8" w:color="BFA071"/>
            </w:tcBorders>
            <w:shd w:val="clear" w:color="auto" w:fill="EBE1D2"/>
          </w:tcPr>
          <w:p>
            <w:pPr>
              <w:spacing w:after="0"/>
              <w:rPr>
                <w:sz w:val="24"/>
                <w:szCs w:val="24"/>
                <w:color w:val="auto"/>
              </w:rPr>
            </w:pPr>
          </w:p>
        </w:tc>
        <w:tc>
          <w:tcPr>
            <w:tcW w:w="940" w:type="dxa"/>
            <w:vAlign w:val="bottom"/>
            <w:tcBorders>
              <w:top w:val="single" w:sz="8" w:color="BFA071"/>
              <w:bottom w:val="single" w:sz="8" w:color="BFA071"/>
            </w:tcBorders>
            <w:gridSpan w:val="2"/>
          </w:tcPr>
          <w:p>
            <w:pPr>
              <w:jc w:val="right"/>
              <w:ind w:right="117"/>
              <w:spacing w:after="0"/>
              <w:rPr>
                <w:sz w:val="20"/>
                <w:szCs w:val="20"/>
                <w:color w:val="auto"/>
              </w:rPr>
            </w:pPr>
            <w:r>
              <w:rPr>
                <w:rFonts w:ascii="Arial" w:cs="Arial" w:eastAsia="Arial" w:hAnsi="Arial"/>
                <w:sz w:val="13"/>
                <w:szCs w:val="13"/>
                <w:color w:val="001641"/>
              </w:rPr>
              <w:t>$279.56</w:t>
            </w:r>
          </w:p>
        </w:tc>
        <w:tc>
          <w:tcPr>
            <w:tcW w:w="800" w:type="dxa"/>
            <w:vAlign w:val="bottom"/>
            <w:tcBorders>
              <w:top w:val="single" w:sz="8" w:color="BFA071"/>
              <w:bottom w:val="single" w:sz="8" w:color="BFA071"/>
            </w:tcBorders>
          </w:tcPr>
          <w:p>
            <w:pPr>
              <w:jc w:val="right"/>
              <w:ind w:right="37"/>
              <w:spacing w:after="0"/>
              <w:rPr>
                <w:sz w:val="20"/>
                <w:szCs w:val="20"/>
                <w:color w:val="auto"/>
              </w:rPr>
            </w:pPr>
            <w:r>
              <w:rPr>
                <w:rFonts w:ascii="Arial" w:cs="Arial" w:eastAsia="Arial" w:hAnsi="Arial"/>
                <w:sz w:val="13"/>
                <w:szCs w:val="13"/>
                <w:color w:val="001641"/>
              </w:rPr>
              <w:t>542,626</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Borders>
              <w:bottom w:val="single" w:sz="8" w:color="BFA071"/>
            </w:tcBorders>
          </w:tcPr>
          <w:p>
            <w:pPr>
              <w:jc w:val="right"/>
              <w:ind w:right="57"/>
              <w:spacing w:after="0"/>
              <w:rPr>
                <w:sz w:val="20"/>
                <w:szCs w:val="20"/>
                <w:color w:val="auto"/>
              </w:rPr>
            </w:pPr>
            <w:r>
              <w:rPr>
                <w:rFonts w:ascii="Arial" w:cs="Arial" w:eastAsia="Arial" w:hAnsi="Arial"/>
                <w:sz w:val="13"/>
                <w:szCs w:val="13"/>
                <w:color w:val="001641"/>
                <w:w w:val="91"/>
              </w:rPr>
              <w:t>08/15/2025</w:t>
            </w:r>
            <w:r>
              <w:rPr>
                <w:rFonts w:ascii="Arial" w:cs="Arial" w:eastAsia="Arial" w:hAnsi="Arial"/>
                <w:sz w:val="20"/>
                <w:szCs w:val="20"/>
                <w:color w:val="001641"/>
                <w:w w:val="91"/>
                <w:vertAlign w:val="superscript"/>
              </w:rPr>
              <w:t>4</w:t>
            </w:r>
          </w:p>
        </w:tc>
        <w:tc>
          <w:tcPr>
            <w:tcW w:w="12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60" w:type="dxa"/>
            <w:vAlign w:val="bottom"/>
            <w:tcBorders>
              <w:bottom w:val="single" w:sz="8" w:color="BFA071"/>
            </w:tcBorders>
            <w:shd w:val="clear" w:color="auto" w:fill="EBE1D2"/>
          </w:tcPr>
          <w:p>
            <w:pPr>
              <w:spacing w:after="0"/>
              <w:rPr>
                <w:sz w:val="24"/>
                <w:szCs w:val="24"/>
                <w:color w:val="auto"/>
              </w:rPr>
            </w:pPr>
          </w:p>
        </w:tc>
        <w:tc>
          <w:tcPr>
            <w:tcW w:w="100" w:type="dxa"/>
            <w:vAlign w:val="bottom"/>
            <w:tcBorders>
              <w:bottom w:val="single" w:sz="8" w:color="BFA071"/>
            </w:tcBorders>
            <w:shd w:val="clear" w:color="auto" w:fill="EBE1D2"/>
          </w:tcPr>
          <w:p>
            <w:pPr>
              <w:spacing w:after="0"/>
              <w:rPr>
                <w:sz w:val="24"/>
                <w:szCs w:val="24"/>
                <w:color w:val="auto"/>
              </w:rPr>
            </w:pPr>
          </w:p>
        </w:tc>
        <w:tc>
          <w:tcPr>
            <w:tcW w:w="920" w:type="dxa"/>
            <w:vAlign w:val="bottom"/>
            <w:tcBorders>
              <w:bottom w:val="single" w:sz="8" w:color="BFA071"/>
            </w:tcBorders>
            <w:gridSpan w:val="2"/>
          </w:tcPr>
          <w:p>
            <w:pPr>
              <w:jc w:val="right"/>
              <w:ind w:right="157"/>
              <w:spacing w:after="0"/>
              <w:rPr>
                <w:sz w:val="20"/>
                <w:szCs w:val="20"/>
                <w:color w:val="auto"/>
              </w:rPr>
            </w:pPr>
            <w:r>
              <w:rPr>
                <w:rFonts w:ascii="Arial" w:cs="Arial" w:eastAsia="Arial" w:hAnsi="Arial"/>
                <w:sz w:val="13"/>
                <w:szCs w:val="13"/>
                <w:color w:val="001641"/>
              </w:rPr>
              <w:t>653</w:t>
            </w:r>
          </w:p>
        </w:tc>
        <w:tc>
          <w:tcPr>
            <w:tcW w:w="660" w:type="dxa"/>
            <w:vAlign w:val="bottom"/>
            <w:tcBorders>
              <w:bottom w:val="single" w:sz="8" w:color="BFA071"/>
            </w:tcBorders>
          </w:tcPr>
          <w:p>
            <w:pPr>
              <w:jc w:val="right"/>
              <w:ind w:right="77"/>
              <w:spacing w:after="0"/>
              <w:rPr>
                <w:sz w:val="20"/>
                <w:szCs w:val="20"/>
                <w:color w:val="auto"/>
              </w:rPr>
            </w:pPr>
            <w:r>
              <w:rPr>
                <w:rFonts w:ascii="Arial" w:cs="Arial" w:eastAsia="Arial" w:hAnsi="Arial"/>
                <w:sz w:val="13"/>
                <w:szCs w:val="13"/>
                <w:color w:val="001641"/>
              </w:rPr>
              <w:t>1,306</w:t>
            </w:r>
          </w:p>
        </w:tc>
        <w:tc>
          <w:tcPr>
            <w:tcW w:w="740" w:type="dxa"/>
            <w:vAlign w:val="bottom"/>
            <w:tcBorders>
              <w:bottom w:val="single" w:sz="8" w:color="BFA071"/>
            </w:tcBorders>
          </w:tcPr>
          <w:p>
            <w:pPr>
              <w:jc w:val="right"/>
              <w:spacing w:after="0"/>
              <w:rPr>
                <w:sz w:val="20"/>
                <w:szCs w:val="20"/>
                <w:color w:val="auto"/>
              </w:rPr>
            </w:pPr>
            <w:r>
              <w:rPr>
                <w:rFonts w:ascii="Arial" w:cs="Arial" w:eastAsia="Arial" w:hAnsi="Arial"/>
                <w:sz w:val="13"/>
                <w:szCs w:val="13"/>
                <w:color w:val="001641"/>
              </w:rPr>
              <w:t>2,612</w:t>
            </w:r>
          </w:p>
        </w:tc>
        <w:tc>
          <w:tcPr>
            <w:tcW w:w="120" w:type="dxa"/>
            <w:vAlign w:val="bottom"/>
            <w:tcBorders>
              <w:bottom w:val="single" w:sz="8" w:color="BFA071"/>
            </w:tcBorders>
          </w:tcPr>
          <w:p>
            <w:pPr>
              <w:spacing w:after="0"/>
              <w:rPr>
                <w:sz w:val="24"/>
                <w:szCs w:val="24"/>
                <w:color w:val="auto"/>
              </w:rPr>
            </w:pPr>
          </w:p>
        </w:tc>
        <w:tc>
          <w:tcPr>
            <w:tcW w:w="880" w:type="dxa"/>
            <w:vAlign w:val="bottom"/>
            <w:tcBorders>
              <w:bottom w:val="single" w:sz="8" w:color="BFA071"/>
            </w:tcBorders>
            <w:shd w:val="clear" w:color="auto" w:fill="EBE1D2"/>
          </w:tcPr>
          <w:p>
            <w:pPr>
              <w:spacing w:after="0"/>
              <w:rPr>
                <w:sz w:val="24"/>
                <w:szCs w:val="24"/>
                <w:color w:val="auto"/>
              </w:rPr>
            </w:pPr>
          </w:p>
        </w:tc>
        <w:tc>
          <w:tcPr>
            <w:tcW w:w="940" w:type="dxa"/>
            <w:vAlign w:val="bottom"/>
            <w:tcBorders>
              <w:bottom w:val="single" w:sz="8" w:color="BFA071"/>
            </w:tcBorders>
            <w:gridSpan w:val="2"/>
          </w:tcPr>
          <w:p>
            <w:pPr>
              <w:jc w:val="right"/>
              <w:ind w:right="117"/>
              <w:spacing w:after="0"/>
              <w:rPr>
                <w:sz w:val="20"/>
                <w:szCs w:val="20"/>
                <w:color w:val="auto"/>
              </w:rPr>
            </w:pPr>
            <w:r>
              <w:rPr>
                <w:rFonts w:ascii="Arial" w:cs="Arial" w:eastAsia="Arial" w:hAnsi="Arial"/>
                <w:sz w:val="13"/>
                <w:szCs w:val="13"/>
                <w:color w:val="001641"/>
              </w:rPr>
              <w:t>$430.64</w:t>
            </w:r>
          </w:p>
        </w:tc>
        <w:tc>
          <w:tcPr>
            <w:tcW w:w="800" w:type="dxa"/>
            <w:vAlign w:val="bottom"/>
            <w:tcBorders>
              <w:bottom w:val="single" w:sz="8" w:color="BFA071"/>
            </w:tcBorders>
          </w:tcPr>
          <w:p>
            <w:pPr>
              <w:jc w:val="right"/>
              <w:ind w:right="37"/>
              <w:spacing w:after="0"/>
              <w:rPr>
                <w:sz w:val="20"/>
                <w:szCs w:val="20"/>
                <w:color w:val="auto"/>
              </w:rPr>
            </w:pPr>
            <w:r>
              <w:rPr>
                <w:rFonts w:ascii="Arial" w:cs="Arial" w:eastAsia="Arial" w:hAnsi="Arial"/>
                <w:sz w:val="13"/>
                <w:szCs w:val="13"/>
                <w:color w:val="001641"/>
              </w:rPr>
              <w:t>562,416</w:t>
            </w:r>
          </w:p>
        </w:tc>
        <w:tc>
          <w:tcPr>
            <w:tcW w:w="0" w:type="dxa"/>
            <w:vAlign w:val="bottom"/>
          </w:tcPr>
          <w:p>
            <w:pPr>
              <w:spacing w:after="0"/>
              <w:rPr>
                <w:sz w:val="1"/>
                <w:szCs w:val="1"/>
                <w:color w:val="auto"/>
              </w:rPr>
            </w:pPr>
          </w:p>
        </w:tc>
      </w:tr>
      <w:tr>
        <w:trPr>
          <w:trHeight w:val="304"/>
        </w:trPr>
        <w:tc>
          <w:tcPr>
            <w:tcW w:w="60" w:type="dxa"/>
            <w:vAlign w:val="bottom"/>
            <w:tcBorders>
              <w:bottom w:val="single" w:sz="8" w:color="BFA071"/>
            </w:tcBorders>
          </w:tcPr>
          <w:p>
            <w:pPr>
              <w:spacing w:after="0"/>
              <w:rPr>
                <w:sz w:val="24"/>
                <w:szCs w:val="24"/>
                <w:color w:val="auto"/>
              </w:rPr>
            </w:pPr>
          </w:p>
        </w:tc>
        <w:tc>
          <w:tcPr>
            <w:tcW w:w="1040" w:type="dxa"/>
            <w:vAlign w:val="bottom"/>
            <w:tcBorders>
              <w:bottom w:val="single" w:sz="8" w:color="BFA071"/>
            </w:tcBorders>
          </w:tcPr>
          <w:p>
            <w:pPr>
              <w:spacing w:after="0"/>
              <w:rPr>
                <w:sz w:val="24"/>
                <w:szCs w:val="24"/>
                <w:color w:val="auto"/>
              </w:rPr>
            </w:pPr>
          </w:p>
        </w:tc>
        <w:tc>
          <w:tcPr>
            <w:tcW w:w="800" w:type="dxa"/>
            <w:vAlign w:val="bottom"/>
            <w:tcBorders>
              <w:bottom w:val="single" w:sz="8" w:color="BFA071"/>
            </w:tcBorders>
          </w:tcPr>
          <w:p>
            <w:pPr>
              <w:jc w:val="right"/>
              <w:ind w:right="57"/>
              <w:spacing w:after="0"/>
              <w:rPr>
                <w:sz w:val="20"/>
                <w:szCs w:val="20"/>
                <w:color w:val="auto"/>
              </w:rPr>
            </w:pPr>
            <w:r>
              <w:rPr>
                <w:rFonts w:ascii="Arial" w:cs="Arial" w:eastAsia="Arial" w:hAnsi="Arial"/>
                <w:sz w:val="13"/>
                <w:szCs w:val="13"/>
                <w:color w:val="001641"/>
                <w:w w:val="91"/>
              </w:rPr>
              <w:t>08/15/2025</w:t>
            </w:r>
            <w:r>
              <w:rPr>
                <w:rFonts w:ascii="Arial" w:cs="Arial" w:eastAsia="Arial" w:hAnsi="Arial"/>
                <w:sz w:val="20"/>
                <w:szCs w:val="20"/>
                <w:color w:val="001641"/>
                <w:w w:val="91"/>
                <w:vertAlign w:val="superscript"/>
              </w:rPr>
              <w:t>5</w:t>
            </w:r>
          </w:p>
        </w:tc>
        <w:tc>
          <w:tcPr>
            <w:tcW w:w="12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60" w:type="dxa"/>
            <w:vAlign w:val="bottom"/>
            <w:tcBorders>
              <w:bottom w:val="single" w:sz="8" w:color="BFA071"/>
            </w:tcBorders>
            <w:shd w:val="clear" w:color="auto" w:fill="EBE1D2"/>
          </w:tcPr>
          <w:p>
            <w:pPr>
              <w:spacing w:after="0"/>
              <w:rPr>
                <w:sz w:val="24"/>
                <w:szCs w:val="24"/>
                <w:color w:val="auto"/>
              </w:rPr>
            </w:pPr>
          </w:p>
        </w:tc>
        <w:tc>
          <w:tcPr>
            <w:tcW w:w="100" w:type="dxa"/>
            <w:vAlign w:val="bottom"/>
            <w:tcBorders>
              <w:bottom w:val="single" w:sz="8" w:color="BFA071"/>
            </w:tcBorders>
            <w:shd w:val="clear" w:color="auto" w:fill="EBE1D2"/>
          </w:tcPr>
          <w:p>
            <w:pPr>
              <w:spacing w:after="0"/>
              <w:rPr>
                <w:sz w:val="24"/>
                <w:szCs w:val="24"/>
                <w:color w:val="auto"/>
              </w:rPr>
            </w:pPr>
          </w:p>
        </w:tc>
        <w:tc>
          <w:tcPr>
            <w:tcW w:w="120" w:type="dxa"/>
            <w:vAlign w:val="bottom"/>
            <w:tcBorders>
              <w:bottom w:val="single" w:sz="8" w:color="BFA071"/>
            </w:tcBorders>
          </w:tcPr>
          <w:p>
            <w:pPr>
              <w:spacing w:after="0"/>
              <w:rPr>
                <w:sz w:val="24"/>
                <w:szCs w:val="24"/>
                <w:color w:val="auto"/>
              </w:rPr>
            </w:pPr>
          </w:p>
        </w:tc>
        <w:tc>
          <w:tcPr>
            <w:tcW w:w="800" w:type="dxa"/>
            <w:vAlign w:val="bottom"/>
            <w:tcBorders>
              <w:bottom w:val="single" w:sz="8" w:color="BFA071"/>
            </w:tcBorders>
          </w:tcPr>
          <w:p>
            <w:pPr>
              <w:spacing w:after="0"/>
              <w:rPr>
                <w:sz w:val="24"/>
                <w:szCs w:val="24"/>
                <w:color w:val="auto"/>
              </w:rPr>
            </w:pPr>
          </w:p>
        </w:tc>
        <w:tc>
          <w:tcPr>
            <w:tcW w:w="660" w:type="dxa"/>
            <w:vAlign w:val="bottom"/>
            <w:tcBorders>
              <w:bottom w:val="single" w:sz="8" w:color="BFA071"/>
            </w:tcBorders>
          </w:tcPr>
          <w:p>
            <w:pPr>
              <w:spacing w:after="0"/>
              <w:rPr>
                <w:sz w:val="24"/>
                <w:szCs w:val="24"/>
                <w:color w:val="auto"/>
              </w:rPr>
            </w:pPr>
          </w:p>
        </w:tc>
        <w:tc>
          <w:tcPr>
            <w:tcW w:w="740" w:type="dxa"/>
            <w:vAlign w:val="bottom"/>
            <w:tcBorders>
              <w:bottom w:val="single" w:sz="8" w:color="BFA071"/>
            </w:tcBorders>
          </w:tcPr>
          <w:p>
            <w:pPr>
              <w:spacing w:after="0"/>
              <w:rPr>
                <w:sz w:val="24"/>
                <w:szCs w:val="24"/>
                <w:color w:val="auto"/>
              </w:rPr>
            </w:pPr>
          </w:p>
        </w:tc>
        <w:tc>
          <w:tcPr>
            <w:tcW w:w="120" w:type="dxa"/>
            <w:vAlign w:val="bottom"/>
            <w:tcBorders>
              <w:bottom w:val="single" w:sz="8" w:color="BFA071"/>
            </w:tcBorders>
          </w:tcPr>
          <w:p>
            <w:pPr>
              <w:spacing w:after="0"/>
              <w:rPr>
                <w:sz w:val="24"/>
                <w:szCs w:val="24"/>
                <w:color w:val="auto"/>
              </w:rPr>
            </w:pPr>
          </w:p>
        </w:tc>
        <w:tc>
          <w:tcPr>
            <w:tcW w:w="880" w:type="dxa"/>
            <w:vAlign w:val="bottom"/>
            <w:tcBorders>
              <w:bottom w:val="single" w:sz="8" w:color="BFA071"/>
            </w:tcBorders>
            <w:shd w:val="clear" w:color="auto" w:fill="EBE1D2"/>
          </w:tcPr>
          <w:p>
            <w:pPr>
              <w:jc w:val="right"/>
              <w:ind w:right="97"/>
              <w:spacing w:after="0"/>
              <w:rPr>
                <w:sz w:val="20"/>
                <w:szCs w:val="20"/>
                <w:color w:val="auto"/>
              </w:rPr>
            </w:pPr>
            <w:r>
              <w:rPr>
                <w:rFonts w:ascii="Arial" w:cs="Arial" w:eastAsia="Arial" w:hAnsi="Arial"/>
                <w:sz w:val="13"/>
                <w:szCs w:val="13"/>
                <w:color w:val="001641"/>
              </w:rPr>
              <w:t>3,882</w:t>
            </w:r>
          </w:p>
        </w:tc>
        <w:tc>
          <w:tcPr>
            <w:tcW w:w="940" w:type="dxa"/>
            <w:vAlign w:val="bottom"/>
            <w:tcBorders>
              <w:bottom w:val="single" w:sz="8" w:color="BFA071"/>
            </w:tcBorders>
            <w:gridSpan w:val="2"/>
          </w:tcPr>
          <w:p>
            <w:pPr>
              <w:jc w:val="right"/>
              <w:ind w:right="117"/>
              <w:spacing w:after="0"/>
              <w:rPr>
                <w:sz w:val="20"/>
                <w:szCs w:val="20"/>
                <w:color w:val="auto"/>
              </w:rPr>
            </w:pPr>
            <w:r>
              <w:rPr>
                <w:rFonts w:ascii="Arial" w:cs="Arial" w:eastAsia="Arial" w:hAnsi="Arial"/>
                <w:sz w:val="13"/>
                <w:szCs w:val="13"/>
                <w:color w:val="001641"/>
              </w:rPr>
              <w:t>$282.84</w:t>
            </w:r>
          </w:p>
        </w:tc>
        <w:tc>
          <w:tcPr>
            <w:tcW w:w="800" w:type="dxa"/>
            <w:vAlign w:val="bottom"/>
            <w:tcBorders>
              <w:bottom w:val="single" w:sz="8" w:color="BFA071"/>
            </w:tcBorders>
          </w:tcPr>
          <w:p>
            <w:pPr>
              <w:jc w:val="right"/>
              <w:ind w:right="37"/>
              <w:spacing w:after="0"/>
              <w:rPr>
                <w:sz w:val="20"/>
                <w:szCs w:val="20"/>
                <w:color w:val="auto"/>
              </w:rPr>
            </w:pPr>
            <w:r>
              <w:rPr>
                <w:rFonts w:ascii="Arial" w:cs="Arial" w:eastAsia="Arial" w:hAnsi="Arial"/>
                <w:sz w:val="13"/>
                <w:szCs w:val="13"/>
                <w:color w:val="001641"/>
              </w:rPr>
              <w:t>1,097,985</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Arial" w:cs="Arial" w:eastAsia="Arial" w:hAnsi="Arial"/>
                <w:sz w:val="13"/>
                <w:szCs w:val="13"/>
                <w:b w:val="1"/>
                <w:bCs w:val="1"/>
                <w:color w:val="001641"/>
              </w:rPr>
              <w:t>Justin Picicci</w:t>
            </w:r>
          </w:p>
        </w:tc>
        <w:tc>
          <w:tcPr>
            <w:tcW w:w="800" w:type="dxa"/>
            <w:vAlign w:val="bottom"/>
          </w:tcPr>
          <w:p>
            <w:pPr>
              <w:spacing w:after="0"/>
              <w:rPr>
                <w:sz w:val="24"/>
                <w:szCs w:val="24"/>
                <w:color w:val="auto"/>
              </w:rPr>
            </w:pPr>
          </w:p>
        </w:tc>
        <w:tc>
          <w:tcPr>
            <w:tcW w:w="900" w:type="dxa"/>
            <w:vAlign w:val="bottom"/>
            <w:tcBorders>
              <w:bottom w:val="single" w:sz="8" w:color="EBE1D2"/>
            </w:tcBorders>
            <w:gridSpan w:val="2"/>
            <w:shd w:val="clear" w:color="auto" w:fill="EBE1D2"/>
          </w:tcPr>
          <w:p>
            <w:pPr>
              <w:jc w:val="right"/>
              <w:ind w:right="137"/>
              <w:spacing w:after="0"/>
              <w:rPr>
                <w:sz w:val="20"/>
                <w:szCs w:val="20"/>
                <w:color w:val="auto"/>
              </w:rPr>
            </w:pPr>
            <w:r>
              <w:rPr>
                <w:rFonts w:ascii="Arial" w:cs="Arial" w:eastAsia="Arial" w:hAnsi="Arial"/>
                <w:sz w:val="13"/>
                <w:szCs w:val="13"/>
                <w:color w:val="001641"/>
              </w:rPr>
              <w:t>350,000</w:t>
            </w:r>
          </w:p>
        </w:tc>
        <w:tc>
          <w:tcPr>
            <w:tcW w:w="780" w:type="dxa"/>
            <w:vAlign w:val="bottom"/>
            <w:tcBorders>
              <w:bottom w:val="single" w:sz="8" w:color="EBE1D2"/>
            </w:tcBorders>
            <w:shd w:val="clear" w:color="auto" w:fill="EBE1D2"/>
          </w:tcPr>
          <w:p>
            <w:pPr>
              <w:jc w:val="right"/>
              <w:ind w:right="57"/>
              <w:spacing w:after="0"/>
              <w:rPr>
                <w:sz w:val="20"/>
                <w:szCs w:val="20"/>
                <w:color w:val="auto"/>
              </w:rPr>
            </w:pPr>
            <w:r>
              <w:rPr>
                <w:rFonts w:ascii="Arial" w:cs="Arial" w:eastAsia="Arial" w:hAnsi="Arial"/>
                <w:sz w:val="13"/>
                <w:szCs w:val="13"/>
                <w:color w:val="001641"/>
              </w:rPr>
              <w:t>700,000</w:t>
            </w:r>
          </w:p>
        </w:tc>
        <w:tc>
          <w:tcPr>
            <w:tcW w:w="760" w:type="dxa"/>
            <w:vAlign w:val="bottom"/>
            <w:tcBorders>
              <w:bottom w:val="single" w:sz="8" w:color="EBE1D2"/>
            </w:tcBorders>
            <w:shd w:val="clear" w:color="auto" w:fill="EBE1D2"/>
          </w:tcPr>
          <w:p>
            <w:pPr>
              <w:jc w:val="right"/>
              <w:spacing w:after="0"/>
              <w:rPr>
                <w:sz w:val="20"/>
                <w:szCs w:val="20"/>
                <w:color w:val="auto"/>
              </w:rPr>
            </w:pPr>
            <w:r>
              <w:rPr>
                <w:rFonts w:ascii="Arial" w:cs="Arial" w:eastAsia="Arial" w:hAnsi="Arial"/>
                <w:sz w:val="13"/>
                <w:szCs w:val="13"/>
                <w:color w:val="001641"/>
              </w:rPr>
              <w:t>1,400,000</w:t>
            </w:r>
          </w:p>
        </w:tc>
        <w:tc>
          <w:tcPr>
            <w:tcW w:w="100" w:type="dxa"/>
            <w:vAlign w:val="bottom"/>
            <w:tcBorders>
              <w:bottom w:val="single" w:sz="8" w:color="EBE1D2"/>
            </w:tcBorders>
            <w:shd w:val="clear" w:color="auto" w:fill="EBE1D2"/>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EBE1D2"/>
            </w:tcBorders>
            <w:shd w:val="clear" w:color="auto" w:fill="EBE1D2"/>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Borders>
              <w:top w:val="single" w:sz="8" w:color="BFA071"/>
              <w:bottom w:val="single" w:sz="8" w:color="BFA071"/>
            </w:tcBorders>
          </w:tcPr>
          <w:p>
            <w:pPr>
              <w:jc w:val="right"/>
              <w:ind w:right="57"/>
              <w:spacing w:after="0"/>
              <w:rPr>
                <w:sz w:val="20"/>
                <w:szCs w:val="20"/>
                <w:color w:val="auto"/>
              </w:rPr>
            </w:pPr>
            <w:r>
              <w:rPr>
                <w:rFonts w:ascii="Arial" w:cs="Arial" w:eastAsia="Arial" w:hAnsi="Arial"/>
                <w:sz w:val="13"/>
                <w:szCs w:val="13"/>
                <w:color w:val="001641"/>
                <w:w w:val="91"/>
              </w:rPr>
              <w:t>08/15/2025</w:t>
            </w:r>
            <w:r>
              <w:rPr>
                <w:rFonts w:ascii="Arial" w:cs="Arial" w:eastAsia="Arial" w:hAnsi="Arial"/>
                <w:sz w:val="20"/>
                <w:szCs w:val="20"/>
                <w:color w:val="001641"/>
                <w:w w:val="91"/>
                <w:vertAlign w:val="superscript"/>
              </w:rPr>
              <w:t>3</w:t>
            </w:r>
          </w:p>
        </w:tc>
        <w:tc>
          <w:tcPr>
            <w:tcW w:w="120" w:type="dxa"/>
            <w:vAlign w:val="bottom"/>
            <w:tcBorders>
              <w:top w:val="single" w:sz="8" w:color="BFA071"/>
              <w:bottom w:val="single" w:sz="8" w:color="BFA071"/>
            </w:tcBorders>
            <w:shd w:val="clear" w:color="auto" w:fill="EBE1D2"/>
          </w:tcPr>
          <w:p>
            <w:pPr>
              <w:spacing w:after="0"/>
              <w:rPr>
                <w:sz w:val="24"/>
                <w:szCs w:val="24"/>
                <w:color w:val="auto"/>
              </w:rPr>
            </w:pPr>
          </w:p>
        </w:tc>
        <w:tc>
          <w:tcPr>
            <w:tcW w:w="780" w:type="dxa"/>
            <w:vAlign w:val="bottom"/>
            <w:tcBorders>
              <w:top w:val="single" w:sz="8" w:color="BFA071"/>
              <w:bottom w:val="single" w:sz="8" w:color="BFA071"/>
            </w:tcBorders>
            <w:shd w:val="clear" w:color="auto" w:fill="EBE1D2"/>
          </w:tcPr>
          <w:p>
            <w:pPr>
              <w:spacing w:after="0"/>
              <w:rPr>
                <w:sz w:val="24"/>
                <w:szCs w:val="24"/>
                <w:color w:val="auto"/>
              </w:rPr>
            </w:pPr>
          </w:p>
        </w:tc>
        <w:tc>
          <w:tcPr>
            <w:tcW w:w="780" w:type="dxa"/>
            <w:vAlign w:val="bottom"/>
            <w:tcBorders>
              <w:top w:val="single" w:sz="8" w:color="BFA071"/>
              <w:bottom w:val="single" w:sz="8" w:color="BFA071"/>
            </w:tcBorders>
            <w:shd w:val="clear" w:color="auto" w:fill="EBE1D2"/>
          </w:tcPr>
          <w:p>
            <w:pPr>
              <w:spacing w:after="0"/>
              <w:rPr>
                <w:sz w:val="24"/>
                <w:szCs w:val="24"/>
                <w:color w:val="auto"/>
              </w:rPr>
            </w:pPr>
          </w:p>
        </w:tc>
        <w:tc>
          <w:tcPr>
            <w:tcW w:w="760" w:type="dxa"/>
            <w:vAlign w:val="bottom"/>
            <w:tcBorders>
              <w:top w:val="single" w:sz="8" w:color="BFA071"/>
              <w:bottom w:val="single" w:sz="8" w:color="BFA071"/>
            </w:tcBorders>
            <w:shd w:val="clear" w:color="auto" w:fill="EBE1D2"/>
          </w:tcPr>
          <w:p>
            <w:pPr>
              <w:spacing w:after="0"/>
              <w:rPr>
                <w:sz w:val="24"/>
                <w:szCs w:val="24"/>
                <w:color w:val="auto"/>
              </w:rPr>
            </w:pPr>
          </w:p>
        </w:tc>
        <w:tc>
          <w:tcPr>
            <w:tcW w:w="100" w:type="dxa"/>
            <w:vAlign w:val="bottom"/>
            <w:tcBorders>
              <w:top w:val="single" w:sz="8" w:color="BFA071"/>
              <w:bottom w:val="single" w:sz="8" w:color="BFA071"/>
            </w:tcBorders>
            <w:shd w:val="clear" w:color="auto" w:fill="EBE1D2"/>
          </w:tcPr>
          <w:p>
            <w:pPr>
              <w:spacing w:after="0"/>
              <w:rPr>
                <w:sz w:val="24"/>
                <w:szCs w:val="24"/>
                <w:color w:val="auto"/>
              </w:rPr>
            </w:pPr>
          </w:p>
        </w:tc>
        <w:tc>
          <w:tcPr>
            <w:tcW w:w="920" w:type="dxa"/>
            <w:vAlign w:val="bottom"/>
            <w:tcBorders>
              <w:top w:val="single" w:sz="8" w:color="BFA071"/>
              <w:bottom w:val="single" w:sz="8" w:color="BFA071"/>
            </w:tcBorders>
            <w:gridSpan w:val="2"/>
          </w:tcPr>
          <w:p>
            <w:pPr>
              <w:jc w:val="right"/>
              <w:ind w:right="157"/>
              <w:spacing w:after="0"/>
              <w:rPr>
                <w:sz w:val="20"/>
                <w:szCs w:val="20"/>
                <w:color w:val="auto"/>
              </w:rPr>
            </w:pPr>
            <w:r>
              <w:rPr>
                <w:rFonts w:ascii="Arial" w:cs="Arial" w:eastAsia="Arial" w:hAnsi="Arial"/>
                <w:sz w:val="13"/>
                <w:szCs w:val="13"/>
                <w:color w:val="001641"/>
              </w:rPr>
              <w:t>518</w:t>
            </w:r>
          </w:p>
        </w:tc>
        <w:tc>
          <w:tcPr>
            <w:tcW w:w="660" w:type="dxa"/>
            <w:vAlign w:val="bottom"/>
            <w:tcBorders>
              <w:top w:val="single" w:sz="8" w:color="BFA071"/>
              <w:bottom w:val="single" w:sz="8" w:color="BFA071"/>
            </w:tcBorders>
          </w:tcPr>
          <w:p>
            <w:pPr>
              <w:jc w:val="right"/>
              <w:ind w:right="77"/>
              <w:spacing w:after="0"/>
              <w:rPr>
                <w:sz w:val="20"/>
                <w:szCs w:val="20"/>
                <w:color w:val="auto"/>
              </w:rPr>
            </w:pPr>
            <w:r>
              <w:rPr>
                <w:rFonts w:ascii="Arial" w:cs="Arial" w:eastAsia="Arial" w:hAnsi="Arial"/>
                <w:sz w:val="13"/>
                <w:szCs w:val="13"/>
                <w:color w:val="001641"/>
              </w:rPr>
              <w:t>1,035</w:t>
            </w:r>
          </w:p>
        </w:tc>
        <w:tc>
          <w:tcPr>
            <w:tcW w:w="740" w:type="dxa"/>
            <w:vAlign w:val="bottom"/>
            <w:tcBorders>
              <w:top w:val="single" w:sz="8" w:color="BFA071"/>
              <w:bottom w:val="single" w:sz="8" w:color="BFA071"/>
            </w:tcBorders>
          </w:tcPr>
          <w:p>
            <w:pPr>
              <w:jc w:val="right"/>
              <w:spacing w:after="0"/>
              <w:rPr>
                <w:sz w:val="20"/>
                <w:szCs w:val="20"/>
                <w:color w:val="auto"/>
              </w:rPr>
            </w:pPr>
            <w:r>
              <w:rPr>
                <w:rFonts w:ascii="Arial" w:cs="Arial" w:eastAsia="Arial" w:hAnsi="Arial"/>
                <w:sz w:val="13"/>
                <w:szCs w:val="13"/>
                <w:color w:val="001641"/>
              </w:rPr>
              <w:t>2,070</w:t>
            </w:r>
          </w:p>
        </w:tc>
        <w:tc>
          <w:tcPr>
            <w:tcW w:w="120" w:type="dxa"/>
            <w:vAlign w:val="bottom"/>
            <w:tcBorders>
              <w:top w:val="single" w:sz="8" w:color="BFA071"/>
              <w:bottom w:val="single" w:sz="8" w:color="BFA071"/>
            </w:tcBorders>
          </w:tcPr>
          <w:p>
            <w:pPr>
              <w:spacing w:after="0"/>
              <w:rPr>
                <w:sz w:val="24"/>
                <w:szCs w:val="24"/>
                <w:color w:val="auto"/>
              </w:rPr>
            </w:pPr>
          </w:p>
        </w:tc>
        <w:tc>
          <w:tcPr>
            <w:tcW w:w="880" w:type="dxa"/>
            <w:vAlign w:val="bottom"/>
            <w:tcBorders>
              <w:top w:val="single" w:sz="8" w:color="BFA071"/>
              <w:bottom w:val="single" w:sz="8" w:color="BFA071"/>
            </w:tcBorders>
            <w:shd w:val="clear" w:color="auto" w:fill="EBE1D2"/>
          </w:tcPr>
          <w:p>
            <w:pPr>
              <w:spacing w:after="0"/>
              <w:rPr>
                <w:sz w:val="24"/>
                <w:szCs w:val="24"/>
                <w:color w:val="auto"/>
              </w:rPr>
            </w:pPr>
          </w:p>
        </w:tc>
        <w:tc>
          <w:tcPr>
            <w:tcW w:w="940" w:type="dxa"/>
            <w:vAlign w:val="bottom"/>
            <w:tcBorders>
              <w:top w:val="single" w:sz="8" w:color="BFA071"/>
              <w:bottom w:val="single" w:sz="8" w:color="BFA071"/>
            </w:tcBorders>
            <w:gridSpan w:val="2"/>
          </w:tcPr>
          <w:p>
            <w:pPr>
              <w:jc w:val="right"/>
              <w:ind w:right="117"/>
              <w:spacing w:after="0"/>
              <w:rPr>
                <w:sz w:val="20"/>
                <w:szCs w:val="20"/>
                <w:color w:val="auto"/>
              </w:rPr>
            </w:pPr>
            <w:r>
              <w:rPr>
                <w:rFonts w:ascii="Arial" w:cs="Arial" w:eastAsia="Arial" w:hAnsi="Arial"/>
                <w:sz w:val="13"/>
                <w:szCs w:val="13"/>
                <w:color w:val="001641"/>
              </w:rPr>
              <w:t>$279.56</w:t>
            </w:r>
          </w:p>
        </w:tc>
        <w:tc>
          <w:tcPr>
            <w:tcW w:w="800" w:type="dxa"/>
            <w:vAlign w:val="bottom"/>
            <w:tcBorders>
              <w:top w:val="single" w:sz="8" w:color="BFA071"/>
              <w:bottom w:val="single" w:sz="8" w:color="BFA071"/>
            </w:tcBorders>
          </w:tcPr>
          <w:p>
            <w:pPr>
              <w:jc w:val="right"/>
              <w:ind w:right="37"/>
              <w:spacing w:after="0"/>
              <w:rPr>
                <w:sz w:val="20"/>
                <w:szCs w:val="20"/>
                <w:color w:val="auto"/>
              </w:rPr>
            </w:pPr>
            <w:r>
              <w:rPr>
                <w:rFonts w:ascii="Arial" w:cs="Arial" w:eastAsia="Arial" w:hAnsi="Arial"/>
                <w:sz w:val="13"/>
                <w:szCs w:val="13"/>
                <w:color w:val="001641"/>
              </w:rPr>
              <w:t>289,345</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Borders>
              <w:bottom w:val="single" w:sz="8" w:color="BFA071"/>
            </w:tcBorders>
          </w:tcPr>
          <w:p>
            <w:pPr>
              <w:jc w:val="right"/>
              <w:ind w:right="57"/>
              <w:spacing w:after="0"/>
              <w:rPr>
                <w:sz w:val="20"/>
                <w:szCs w:val="20"/>
                <w:color w:val="auto"/>
              </w:rPr>
            </w:pPr>
            <w:r>
              <w:rPr>
                <w:rFonts w:ascii="Arial" w:cs="Arial" w:eastAsia="Arial" w:hAnsi="Arial"/>
                <w:sz w:val="13"/>
                <w:szCs w:val="13"/>
                <w:color w:val="001641"/>
                <w:w w:val="91"/>
              </w:rPr>
              <w:t>08/15/2025</w:t>
            </w:r>
            <w:r>
              <w:rPr>
                <w:rFonts w:ascii="Arial" w:cs="Arial" w:eastAsia="Arial" w:hAnsi="Arial"/>
                <w:sz w:val="20"/>
                <w:szCs w:val="20"/>
                <w:color w:val="001641"/>
                <w:w w:val="91"/>
                <w:vertAlign w:val="superscript"/>
              </w:rPr>
              <w:t>4</w:t>
            </w:r>
          </w:p>
        </w:tc>
        <w:tc>
          <w:tcPr>
            <w:tcW w:w="12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60" w:type="dxa"/>
            <w:vAlign w:val="bottom"/>
            <w:tcBorders>
              <w:bottom w:val="single" w:sz="8" w:color="BFA071"/>
            </w:tcBorders>
            <w:shd w:val="clear" w:color="auto" w:fill="EBE1D2"/>
          </w:tcPr>
          <w:p>
            <w:pPr>
              <w:spacing w:after="0"/>
              <w:rPr>
                <w:sz w:val="24"/>
                <w:szCs w:val="24"/>
                <w:color w:val="auto"/>
              </w:rPr>
            </w:pPr>
          </w:p>
        </w:tc>
        <w:tc>
          <w:tcPr>
            <w:tcW w:w="100" w:type="dxa"/>
            <w:vAlign w:val="bottom"/>
            <w:tcBorders>
              <w:bottom w:val="single" w:sz="8" w:color="BFA071"/>
            </w:tcBorders>
            <w:shd w:val="clear" w:color="auto" w:fill="EBE1D2"/>
          </w:tcPr>
          <w:p>
            <w:pPr>
              <w:spacing w:after="0"/>
              <w:rPr>
                <w:sz w:val="24"/>
                <w:szCs w:val="24"/>
                <w:color w:val="auto"/>
              </w:rPr>
            </w:pPr>
          </w:p>
        </w:tc>
        <w:tc>
          <w:tcPr>
            <w:tcW w:w="920" w:type="dxa"/>
            <w:vAlign w:val="bottom"/>
            <w:tcBorders>
              <w:bottom w:val="single" w:sz="8" w:color="BFA071"/>
            </w:tcBorders>
            <w:gridSpan w:val="2"/>
          </w:tcPr>
          <w:p>
            <w:pPr>
              <w:jc w:val="right"/>
              <w:ind w:right="157"/>
              <w:spacing w:after="0"/>
              <w:rPr>
                <w:sz w:val="20"/>
                <w:szCs w:val="20"/>
                <w:color w:val="auto"/>
              </w:rPr>
            </w:pPr>
            <w:r>
              <w:rPr>
                <w:rFonts w:ascii="Arial" w:cs="Arial" w:eastAsia="Arial" w:hAnsi="Arial"/>
                <w:sz w:val="13"/>
                <w:szCs w:val="13"/>
                <w:color w:val="001641"/>
              </w:rPr>
              <w:t>349</w:t>
            </w:r>
          </w:p>
        </w:tc>
        <w:tc>
          <w:tcPr>
            <w:tcW w:w="660" w:type="dxa"/>
            <w:vAlign w:val="bottom"/>
            <w:tcBorders>
              <w:bottom w:val="single" w:sz="8" w:color="BFA071"/>
            </w:tcBorders>
          </w:tcPr>
          <w:p>
            <w:pPr>
              <w:jc w:val="right"/>
              <w:ind w:right="57"/>
              <w:spacing w:after="0"/>
              <w:rPr>
                <w:sz w:val="20"/>
                <w:szCs w:val="20"/>
                <w:color w:val="auto"/>
              </w:rPr>
            </w:pPr>
            <w:r>
              <w:rPr>
                <w:rFonts w:ascii="Arial" w:cs="Arial" w:eastAsia="Arial" w:hAnsi="Arial"/>
                <w:sz w:val="13"/>
                <w:szCs w:val="13"/>
                <w:color w:val="001641"/>
              </w:rPr>
              <w:t>697</w:t>
            </w:r>
          </w:p>
        </w:tc>
        <w:tc>
          <w:tcPr>
            <w:tcW w:w="740" w:type="dxa"/>
            <w:vAlign w:val="bottom"/>
            <w:tcBorders>
              <w:bottom w:val="single" w:sz="8" w:color="BFA071"/>
            </w:tcBorders>
          </w:tcPr>
          <w:p>
            <w:pPr>
              <w:jc w:val="right"/>
              <w:spacing w:after="0"/>
              <w:rPr>
                <w:sz w:val="20"/>
                <w:szCs w:val="20"/>
                <w:color w:val="auto"/>
              </w:rPr>
            </w:pPr>
            <w:r>
              <w:rPr>
                <w:rFonts w:ascii="Arial" w:cs="Arial" w:eastAsia="Arial" w:hAnsi="Arial"/>
                <w:sz w:val="13"/>
                <w:szCs w:val="13"/>
                <w:color w:val="001641"/>
              </w:rPr>
              <w:t>1,394</w:t>
            </w:r>
          </w:p>
        </w:tc>
        <w:tc>
          <w:tcPr>
            <w:tcW w:w="120" w:type="dxa"/>
            <w:vAlign w:val="bottom"/>
            <w:tcBorders>
              <w:bottom w:val="single" w:sz="8" w:color="BFA071"/>
            </w:tcBorders>
          </w:tcPr>
          <w:p>
            <w:pPr>
              <w:spacing w:after="0"/>
              <w:rPr>
                <w:sz w:val="24"/>
                <w:szCs w:val="24"/>
                <w:color w:val="auto"/>
              </w:rPr>
            </w:pPr>
          </w:p>
        </w:tc>
        <w:tc>
          <w:tcPr>
            <w:tcW w:w="880" w:type="dxa"/>
            <w:vAlign w:val="bottom"/>
            <w:tcBorders>
              <w:bottom w:val="single" w:sz="8" w:color="BFA071"/>
            </w:tcBorders>
            <w:shd w:val="clear" w:color="auto" w:fill="EBE1D2"/>
          </w:tcPr>
          <w:p>
            <w:pPr>
              <w:spacing w:after="0"/>
              <w:rPr>
                <w:sz w:val="24"/>
                <w:szCs w:val="24"/>
                <w:color w:val="auto"/>
              </w:rPr>
            </w:pPr>
          </w:p>
        </w:tc>
        <w:tc>
          <w:tcPr>
            <w:tcW w:w="940" w:type="dxa"/>
            <w:vAlign w:val="bottom"/>
            <w:tcBorders>
              <w:bottom w:val="single" w:sz="8" w:color="BFA071"/>
            </w:tcBorders>
            <w:gridSpan w:val="2"/>
          </w:tcPr>
          <w:p>
            <w:pPr>
              <w:jc w:val="right"/>
              <w:ind w:right="117"/>
              <w:spacing w:after="0"/>
              <w:rPr>
                <w:sz w:val="20"/>
                <w:szCs w:val="20"/>
                <w:color w:val="auto"/>
              </w:rPr>
            </w:pPr>
            <w:r>
              <w:rPr>
                <w:rFonts w:ascii="Arial" w:cs="Arial" w:eastAsia="Arial" w:hAnsi="Arial"/>
                <w:sz w:val="13"/>
                <w:szCs w:val="13"/>
                <w:color w:val="001641"/>
              </w:rPr>
              <w:t>$430.64</w:t>
            </w:r>
          </w:p>
        </w:tc>
        <w:tc>
          <w:tcPr>
            <w:tcW w:w="800" w:type="dxa"/>
            <w:vAlign w:val="bottom"/>
            <w:tcBorders>
              <w:bottom w:val="single" w:sz="8" w:color="BFA071"/>
            </w:tcBorders>
          </w:tcPr>
          <w:p>
            <w:pPr>
              <w:jc w:val="right"/>
              <w:ind w:right="37"/>
              <w:spacing w:after="0"/>
              <w:rPr>
                <w:sz w:val="20"/>
                <w:szCs w:val="20"/>
                <w:color w:val="auto"/>
              </w:rPr>
            </w:pPr>
            <w:r>
              <w:rPr>
                <w:rFonts w:ascii="Arial" w:cs="Arial" w:eastAsia="Arial" w:hAnsi="Arial"/>
                <w:sz w:val="13"/>
                <w:szCs w:val="13"/>
                <w:color w:val="001641"/>
              </w:rPr>
              <w:t>300,156</w:t>
            </w:r>
          </w:p>
        </w:tc>
        <w:tc>
          <w:tcPr>
            <w:tcW w:w="0" w:type="dxa"/>
            <w:vAlign w:val="bottom"/>
          </w:tcPr>
          <w:p>
            <w:pPr>
              <w:spacing w:after="0"/>
              <w:rPr>
                <w:sz w:val="1"/>
                <w:szCs w:val="1"/>
                <w:color w:val="auto"/>
              </w:rPr>
            </w:pPr>
          </w:p>
        </w:tc>
      </w:tr>
      <w:tr>
        <w:trPr>
          <w:trHeight w:val="304"/>
        </w:trPr>
        <w:tc>
          <w:tcPr>
            <w:tcW w:w="60" w:type="dxa"/>
            <w:vAlign w:val="bottom"/>
            <w:tcBorders>
              <w:bottom w:val="single" w:sz="8" w:color="BFA071"/>
            </w:tcBorders>
          </w:tcPr>
          <w:p>
            <w:pPr>
              <w:spacing w:after="0"/>
              <w:rPr>
                <w:sz w:val="24"/>
                <w:szCs w:val="24"/>
                <w:color w:val="auto"/>
              </w:rPr>
            </w:pPr>
          </w:p>
        </w:tc>
        <w:tc>
          <w:tcPr>
            <w:tcW w:w="1040" w:type="dxa"/>
            <w:vAlign w:val="bottom"/>
            <w:tcBorders>
              <w:bottom w:val="single" w:sz="8" w:color="BFA071"/>
            </w:tcBorders>
          </w:tcPr>
          <w:p>
            <w:pPr>
              <w:spacing w:after="0"/>
              <w:rPr>
                <w:sz w:val="24"/>
                <w:szCs w:val="24"/>
                <w:color w:val="auto"/>
              </w:rPr>
            </w:pPr>
          </w:p>
        </w:tc>
        <w:tc>
          <w:tcPr>
            <w:tcW w:w="800" w:type="dxa"/>
            <w:vAlign w:val="bottom"/>
            <w:tcBorders>
              <w:bottom w:val="single" w:sz="8" w:color="BFA071"/>
            </w:tcBorders>
          </w:tcPr>
          <w:p>
            <w:pPr>
              <w:jc w:val="right"/>
              <w:ind w:right="57"/>
              <w:spacing w:after="0"/>
              <w:rPr>
                <w:sz w:val="20"/>
                <w:szCs w:val="20"/>
                <w:color w:val="auto"/>
              </w:rPr>
            </w:pPr>
            <w:r>
              <w:rPr>
                <w:rFonts w:ascii="Arial" w:cs="Arial" w:eastAsia="Arial" w:hAnsi="Arial"/>
                <w:sz w:val="13"/>
                <w:szCs w:val="13"/>
                <w:color w:val="001641"/>
                <w:w w:val="91"/>
              </w:rPr>
              <w:t>08/15/2025</w:t>
            </w:r>
            <w:r>
              <w:rPr>
                <w:rFonts w:ascii="Arial" w:cs="Arial" w:eastAsia="Arial" w:hAnsi="Arial"/>
                <w:sz w:val="20"/>
                <w:szCs w:val="20"/>
                <w:color w:val="001641"/>
                <w:w w:val="91"/>
                <w:vertAlign w:val="superscript"/>
              </w:rPr>
              <w:t>5</w:t>
            </w:r>
          </w:p>
        </w:tc>
        <w:tc>
          <w:tcPr>
            <w:tcW w:w="12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60" w:type="dxa"/>
            <w:vAlign w:val="bottom"/>
            <w:tcBorders>
              <w:bottom w:val="single" w:sz="8" w:color="BFA071"/>
            </w:tcBorders>
            <w:shd w:val="clear" w:color="auto" w:fill="EBE1D2"/>
          </w:tcPr>
          <w:p>
            <w:pPr>
              <w:spacing w:after="0"/>
              <w:rPr>
                <w:sz w:val="24"/>
                <w:szCs w:val="24"/>
                <w:color w:val="auto"/>
              </w:rPr>
            </w:pPr>
          </w:p>
        </w:tc>
        <w:tc>
          <w:tcPr>
            <w:tcW w:w="100" w:type="dxa"/>
            <w:vAlign w:val="bottom"/>
            <w:tcBorders>
              <w:bottom w:val="single" w:sz="8" w:color="BFA071"/>
            </w:tcBorders>
            <w:shd w:val="clear" w:color="auto" w:fill="EBE1D2"/>
          </w:tcPr>
          <w:p>
            <w:pPr>
              <w:spacing w:after="0"/>
              <w:rPr>
                <w:sz w:val="24"/>
                <w:szCs w:val="24"/>
                <w:color w:val="auto"/>
              </w:rPr>
            </w:pPr>
          </w:p>
        </w:tc>
        <w:tc>
          <w:tcPr>
            <w:tcW w:w="120" w:type="dxa"/>
            <w:vAlign w:val="bottom"/>
            <w:tcBorders>
              <w:bottom w:val="single" w:sz="8" w:color="BFA071"/>
            </w:tcBorders>
          </w:tcPr>
          <w:p>
            <w:pPr>
              <w:spacing w:after="0"/>
              <w:rPr>
                <w:sz w:val="24"/>
                <w:szCs w:val="24"/>
                <w:color w:val="auto"/>
              </w:rPr>
            </w:pPr>
          </w:p>
        </w:tc>
        <w:tc>
          <w:tcPr>
            <w:tcW w:w="800" w:type="dxa"/>
            <w:vAlign w:val="bottom"/>
            <w:tcBorders>
              <w:bottom w:val="single" w:sz="8" w:color="BFA071"/>
            </w:tcBorders>
          </w:tcPr>
          <w:p>
            <w:pPr>
              <w:spacing w:after="0"/>
              <w:rPr>
                <w:sz w:val="24"/>
                <w:szCs w:val="24"/>
                <w:color w:val="auto"/>
              </w:rPr>
            </w:pPr>
          </w:p>
        </w:tc>
        <w:tc>
          <w:tcPr>
            <w:tcW w:w="660" w:type="dxa"/>
            <w:vAlign w:val="bottom"/>
            <w:tcBorders>
              <w:bottom w:val="single" w:sz="8" w:color="BFA071"/>
            </w:tcBorders>
          </w:tcPr>
          <w:p>
            <w:pPr>
              <w:spacing w:after="0"/>
              <w:rPr>
                <w:sz w:val="24"/>
                <w:szCs w:val="24"/>
                <w:color w:val="auto"/>
              </w:rPr>
            </w:pPr>
          </w:p>
        </w:tc>
        <w:tc>
          <w:tcPr>
            <w:tcW w:w="740" w:type="dxa"/>
            <w:vAlign w:val="bottom"/>
            <w:tcBorders>
              <w:bottom w:val="single" w:sz="8" w:color="BFA071"/>
            </w:tcBorders>
          </w:tcPr>
          <w:p>
            <w:pPr>
              <w:spacing w:after="0"/>
              <w:rPr>
                <w:sz w:val="24"/>
                <w:szCs w:val="24"/>
                <w:color w:val="auto"/>
              </w:rPr>
            </w:pPr>
          </w:p>
        </w:tc>
        <w:tc>
          <w:tcPr>
            <w:tcW w:w="120" w:type="dxa"/>
            <w:vAlign w:val="bottom"/>
            <w:tcBorders>
              <w:bottom w:val="single" w:sz="8" w:color="BFA071"/>
            </w:tcBorders>
          </w:tcPr>
          <w:p>
            <w:pPr>
              <w:spacing w:after="0"/>
              <w:rPr>
                <w:sz w:val="24"/>
                <w:szCs w:val="24"/>
                <w:color w:val="auto"/>
              </w:rPr>
            </w:pPr>
          </w:p>
        </w:tc>
        <w:tc>
          <w:tcPr>
            <w:tcW w:w="880" w:type="dxa"/>
            <w:vAlign w:val="bottom"/>
            <w:tcBorders>
              <w:bottom w:val="single" w:sz="8" w:color="BFA071"/>
            </w:tcBorders>
            <w:shd w:val="clear" w:color="auto" w:fill="EBE1D2"/>
          </w:tcPr>
          <w:p>
            <w:pPr>
              <w:jc w:val="right"/>
              <w:ind w:right="97"/>
              <w:spacing w:after="0"/>
              <w:rPr>
                <w:sz w:val="20"/>
                <w:szCs w:val="20"/>
                <w:color w:val="auto"/>
              </w:rPr>
            </w:pPr>
            <w:r>
              <w:rPr>
                <w:rFonts w:ascii="Arial" w:cs="Arial" w:eastAsia="Arial" w:hAnsi="Arial"/>
                <w:sz w:val="13"/>
                <w:szCs w:val="13"/>
                <w:color w:val="001641"/>
              </w:rPr>
              <w:t>2,070</w:t>
            </w:r>
          </w:p>
        </w:tc>
        <w:tc>
          <w:tcPr>
            <w:tcW w:w="940" w:type="dxa"/>
            <w:vAlign w:val="bottom"/>
            <w:tcBorders>
              <w:bottom w:val="single" w:sz="8" w:color="BFA071"/>
            </w:tcBorders>
            <w:gridSpan w:val="2"/>
          </w:tcPr>
          <w:p>
            <w:pPr>
              <w:jc w:val="right"/>
              <w:ind w:right="117"/>
              <w:spacing w:after="0"/>
              <w:rPr>
                <w:sz w:val="20"/>
                <w:szCs w:val="20"/>
                <w:color w:val="auto"/>
              </w:rPr>
            </w:pPr>
            <w:r>
              <w:rPr>
                <w:rFonts w:ascii="Arial" w:cs="Arial" w:eastAsia="Arial" w:hAnsi="Arial"/>
                <w:sz w:val="13"/>
                <w:szCs w:val="13"/>
                <w:color w:val="001641"/>
              </w:rPr>
              <w:t>$282.84</w:t>
            </w:r>
          </w:p>
        </w:tc>
        <w:tc>
          <w:tcPr>
            <w:tcW w:w="800" w:type="dxa"/>
            <w:vAlign w:val="bottom"/>
            <w:tcBorders>
              <w:bottom w:val="single" w:sz="8" w:color="BFA071"/>
            </w:tcBorders>
          </w:tcPr>
          <w:p>
            <w:pPr>
              <w:jc w:val="right"/>
              <w:ind w:right="37"/>
              <w:spacing w:after="0"/>
              <w:rPr>
                <w:sz w:val="20"/>
                <w:szCs w:val="20"/>
                <w:color w:val="auto"/>
              </w:rPr>
            </w:pPr>
            <w:r>
              <w:rPr>
                <w:rFonts w:ascii="Arial" w:cs="Arial" w:eastAsia="Arial" w:hAnsi="Arial"/>
                <w:sz w:val="13"/>
                <w:szCs w:val="13"/>
                <w:color w:val="001641"/>
              </w:rPr>
              <w:t>585,479</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Arial" w:cs="Arial" w:eastAsia="Arial" w:hAnsi="Arial"/>
                <w:sz w:val="13"/>
                <w:szCs w:val="13"/>
                <w:b w:val="1"/>
                <w:bCs w:val="1"/>
                <w:color w:val="001641"/>
              </w:rPr>
              <w:t>Halide Alagoz</w:t>
            </w:r>
          </w:p>
        </w:tc>
        <w:tc>
          <w:tcPr>
            <w:tcW w:w="800" w:type="dxa"/>
            <w:vAlign w:val="bottom"/>
          </w:tcPr>
          <w:p>
            <w:pPr>
              <w:spacing w:after="0"/>
              <w:rPr>
                <w:sz w:val="24"/>
                <w:szCs w:val="24"/>
                <w:color w:val="auto"/>
              </w:rPr>
            </w:pPr>
          </w:p>
        </w:tc>
        <w:tc>
          <w:tcPr>
            <w:tcW w:w="900" w:type="dxa"/>
            <w:vAlign w:val="bottom"/>
            <w:tcBorders>
              <w:bottom w:val="single" w:sz="8" w:color="EBE1D2"/>
            </w:tcBorders>
            <w:gridSpan w:val="2"/>
            <w:shd w:val="clear" w:color="auto" w:fill="EBE1D2"/>
          </w:tcPr>
          <w:p>
            <w:pPr>
              <w:jc w:val="right"/>
              <w:ind w:right="137"/>
              <w:spacing w:after="0"/>
              <w:rPr>
                <w:sz w:val="20"/>
                <w:szCs w:val="20"/>
                <w:color w:val="auto"/>
              </w:rPr>
            </w:pPr>
            <w:r>
              <w:rPr>
                <w:rFonts w:ascii="Arial" w:cs="Arial" w:eastAsia="Arial" w:hAnsi="Arial"/>
                <w:sz w:val="13"/>
                <w:szCs w:val="13"/>
                <w:color w:val="001641"/>
              </w:rPr>
              <w:t>500,000</w:t>
            </w:r>
          </w:p>
        </w:tc>
        <w:tc>
          <w:tcPr>
            <w:tcW w:w="780" w:type="dxa"/>
            <w:vAlign w:val="bottom"/>
            <w:tcBorders>
              <w:bottom w:val="single" w:sz="8" w:color="EBE1D2"/>
            </w:tcBorders>
            <w:shd w:val="clear" w:color="auto" w:fill="EBE1D2"/>
          </w:tcPr>
          <w:p>
            <w:pPr>
              <w:jc w:val="right"/>
              <w:ind w:right="57"/>
              <w:spacing w:after="0"/>
              <w:rPr>
                <w:sz w:val="20"/>
                <w:szCs w:val="20"/>
                <w:color w:val="auto"/>
              </w:rPr>
            </w:pPr>
            <w:r>
              <w:rPr>
                <w:rFonts w:ascii="Arial" w:cs="Arial" w:eastAsia="Arial" w:hAnsi="Arial"/>
                <w:sz w:val="13"/>
                <w:szCs w:val="13"/>
                <w:color w:val="001641"/>
              </w:rPr>
              <w:t>1,000,000</w:t>
            </w:r>
          </w:p>
        </w:tc>
        <w:tc>
          <w:tcPr>
            <w:tcW w:w="760" w:type="dxa"/>
            <w:vAlign w:val="bottom"/>
            <w:tcBorders>
              <w:bottom w:val="single" w:sz="8" w:color="EBE1D2"/>
            </w:tcBorders>
            <w:shd w:val="clear" w:color="auto" w:fill="EBE1D2"/>
          </w:tcPr>
          <w:p>
            <w:pPr>
              <w:jc w:val="right"/>
              <w:spacing w:after="0"/>
              <w:rPr>
                <w:sz w:val="20"/>
                <w:szCs w:val="20"/>
                <w:color w:val="auto"/>
              </w:rPr>
            </w:pPr>
            <w:r>
              <w:rPr>
                <w:rFonts w:ascii="Arial" w:cs="Arial" w:eastAsia="Arial" w:hAnsi="Arial"/>
                <w:sz w:val="13"/>
                <w:szCs w:val="13"/>
                <w:color w:val="001641"/>
              </w:rPr>
              <w:t>2,000,000</w:t>
            </w:r>
          </w:p>
        </w:tc>
        <w:tc>
          <w:tcPr>
            <w:tcW w:w="100" w:type="dxa"/>
            <w:vAlign w:val="bottom"/>
            <w:tcBorders>
              <w:bottom w:val="single" w:sz="8" w:color="EBE1D2"/>
            </w:tcBorders>
            <w:shd w:val="clear" w:color="auto" w:fill="EBE1D2"/>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EBE1D2"/>
            </w:tcBorders>
            <w:shd w:val="clear" w:color="auto" w:fill="EBE1D2"/>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Borders>
              <w:top w:val="single" w:sz="8" w:color="BFA071"/>
              <w:bottom w:val="single" w:sz="8" w:color="BFA071"/>
            </w:tcBorders>
          </w:tcPr>
          <w:p>
            <w:pPr>
              <w:jc w:val="right"/>
              <w:ind w:right="57"/>
              <w:spacing w:after="0"/>
              <w:rPr>
                <w:sz w:val="20"/>
                <w:szCs w:val="20"/>
                <w:color w:val="auto"/>
              </w:rPr>
            </w:pPr>
            <w:r>
              <w:rPr>
                <w:rFonts w:ascii="Arial" w:cs="Arial" w:eastAsia="Arial" w:hAnsi="Arial"/>
                <w:sz w:val="13"/>
                <w:szCs w:val="13"/>
                <w:color w:val="001641"/>
                <w:w w:val="91"/>
              </w:rPr>
              <w:t>08/15/2025</w:t>
            </w:r>
            <w:r>
              <w:rPr>
                <w:rFonts w:ascii="Arial" w:cs="Arial" w:eastAsia="Arial" w:hAnsi="Arial"/>
                <w:sz w:val="20"/>
                <w:szCs w:val="20"/>
                <w:color w:val="001641"/>
                <w:w w:val="91"/>
                <w:vertAlign w:val="superscript"/>
              </w:rPr>
              <w:t>3</w:t>
            </w:r>
          </w:p>
        </w:tc>
        <w:tc>
          <w:tcPr>
            <w:tcW w:w="120" w:type="dxa"/>
            <w:vAlign w:val="bottom"/>
            <w:tcBorders>
              <w:top w:val="single" w:sz="8" w:color="BFA071"/>
              <w:bottom w:val="single" w:sz="8" w:color="BFA071"/>
            </w:tcBorders>
            <w:shd w:val="clear" w:color="auto" w:fill="EBE1D2"/>
          </w:tcPr>
          <w:p>
            <w:pPr>
              <w:spacing w:after="0"/>
              <w:rPr>
                <w:sz w:val="24"/>
                <w:szCs w:val="24"/>
                <w:color w:val="auto"/>
              </w:rPr>
            </w:pPr>
          </w:p>
        </w:tc>
        <w:tc>
          <w:tcPr>
            <w:tcW w:w="780" w:type="dxa"/>
            <w:vAlign w:val="bottom"/>
            <w:tcBorders>
              <w:top w:val="single" w:sz="8" w:color="BFA071"/>
              <w:bottom w:val="single" w:sz="8" w:color="BFA071"/>
            </w:tcBorders>
            <w:shd w:val="clear" w:color="auto" w:fill="EBE1D2"/>
          </w:tcPr>
          <w:p>
            <w:pPr>
              <w:spacing w:after="0"/>
              <w:rPr>
                <w:sz w:val="24"/>
                <w:szCs w:val="24"/>
                <w:color w:val="auto"/>
              </w:rPr>
            </w:pPr>
          </w:p>
        </w:tc>
        <w:tc>
          <w:tcPr>
            <w:tcW w:w="780" w:type="dxa"/>
            <w:vAlign w:val="bottom"/>
            <w:tcBorders>
              <w:top w:val="single" w:sz="8" w:color="BFA071"/>
              <w:bottom w:val="single" w:sz="8" w:color="BFA071"/>
            </w:tcBorders>
            <w:shd w:val="clear" w:color="auto" w:fill="EBE1D2"/>
          </w:tcPr>
          <w:p>
            <w:pPr>
              <w:spacing w:after="0"/>
              <w:rPr>
                <w:sz w:val="24"/>
                <w:szCs w:val="24"/>
                <w:color w:val="auto"/>
              </w:rPr>
            </w:pPr>
          </w:p>
        </w:tc>
        <w:tc>
          <w:tcPr>
            <w:tcW w:w="760" w:type="dxa"/>
            <w:vAlign w:val="bottom"/>
            <w:tcBorders>
              <w:top w:val="single" w:sz="8" w:color="BFA071"/>
              <w:bottom w:val="single" w:sz="8" w:color="BFA071"/>
            </w:tcBorders>
            <w:shd w:val="clear" w:color="auto" w:fill="EBE1D2"/>
          </w:tcPr>
          <w:p>
            <w:pPr>
              <w:spacing w:after="0"/>
              <w:rPr>
                <w:sz w:val="24"/>
                <w:szCs w:val="24"/>
                <w:color w:val="auto"/>
              </w:rPr>
            </w:pPr>
          </w:p>
        </w:tc>
        <w:tc>
          <w:tcPr>
            <w:tcW w:w="100" w:type="dxa"/>
            <w:vAlign w:val="bottom"/>
            <w:tcBorders>
              <w:top w:val="single" w:sz="8" w:color="BFA071"/>
              <w:bottom w:val="single" w:sz="8" w:color="BFA071"/>
            </w:tcBorders>
            <w:shd w:val="clear" w:color="auto" w:fill="EBE1D2"/>
          </w:tcPr>
          <w:p>
            <w:pPr>
              <w:spacing w:after="0"/>
              <w:rPr>
                <w:sz w:val="24"/>
                <w:szCs w:val="24"/>
                <w:color w:val="auto"/>
              </w:rPr>
            </w:pPr>
          </w:p>
        </w:tc>
        <w:tc>
          <w:tcPr>
            <w:tcW w:w="920" w:type="dxa"/>
            <w:vAlign w:val="bottom"/>
            <w:tcBorders>
              <w:top w:val="single" w:sz="8" w:color="BFA071"/>
              <w:bottom w:val="single" w:sz="8" w:color="BFA071"/>
            </w:tcBorders>
            <w:gridSpan w:val="2"/>
          </w:tcPr>
          <w:p>
            <w:pPr>
              <w:jc w:val="right"/>
              <w:ind w:right="157"/>
              <w:spacing w:after="0"/>
              <w:rPr>
                <w:sz w:val="20"/>
                <w:szCs w:val="20"/>
                <w:color w:val="auto"/>
              </w:rPr>
            </w:pPr>
            <w:r>
              <w:rPr>
                <w:rFonts w:ascii="Arial" w:cs="Arial" w:eastAsia="Arial" w:hAnsi="Arial"/>
                <w:sz w:val="13"/>
                <w:szCs w:val="13"/>
                <w:color w:val="001641"/>
              </w:rPr>
              <w:t>863</w:t>
            </w:r>
          </w:p>
        </w:tc>
        <w:tc>
          <w:tcPr>
            <w:tcW w:w="660" w:type="dxa"/>
            <w:vAlign w:val="bottom"/>
            <w:tcBorders>
              <w:top w:val="single" w:sz="8" w:color="BFA071"/>
              <w:bottom w:val="single" w:sz="8" w:color="BFA071"/>
            </w:tcBorders>
          </w:tcPr>
          <w:p>
            <w:pPr>
              <w:jc w:val="right"/>
              <w:ind w:right="77"/>
              <w:spacing w:after="0"/>
              <w:rPr>
                <w:sz w:val="20"/>
                <w:szCs w:val="20"/>
                <w:color w:val="auto"/>
              </w:rPr>
            </w:pPr>
            <w:r>
              <w:rPr>
                <w:rFonts w:ascii="Arial" w:cs="Arial" w:eastAsia="Arial" w:hAnsi="Arial"/>
                <w:sz w:val="13"/>
                <w:szCs w:val="13"/>
                <w:color w:val="001641"/>
              </w:rPr>
              <w:t>1,726</w:t>
            </w:r>
          </w:p>
        </w:tc>
        <w:tc>
          <w:tcPr>
            <w:tcW w:w="740" w:type="dxa"/>
            <w:vAlign w:val="bottom"/>
            <w:tcBorders>
              <w:top w:val="single" w:sz="8" w:color="BFA071"/>
              <w:bottom w:val="single" w:sz="8" w:color="BFA071"/>
            </w:tcBorders>
          </w:tcPr>
          <w:p>
            <w:pPr>
              <w:jc w:val="right"/>
              <w:spacing w:after="0"/>
              <w:rPr>
                <w:sz w:val="20"/>
                <w:szCs w:val="20"/>
                <w:color w:val="auto"/>
              </w:rPr>
            </w:pPr>
            <w:r>
              <w:rPr>
                <w:rFonts w:ascii="Arial" w:cs="Arial" w:eastAsia="Arial" w:hAnsi="Arial"/>
                <w:sz w:val="13"/>
                <w:szCs w:val="13"/>
                <w:color w:val="001641"/>
              </w:rPr>
              <w:t>3,452</w:t>
            </w:r>
          </w:p>
        </w:tc>
        <w:tc>
          <w:tcPr>
            <w:tcW w:w="120" w:type="dxa"/>
            <w:vAlign w:val="bottom"/>
            <w:tcBorders>
              <w:top w:val="single" w:sz="8" w:color="BFA071"/>
              <w:bottom w:val="single" w:sz="8" w:color="BFA071"/>
            </w:tcBorders>
          </w:tcPr>
          <w:p>
            <w:pPr>
              <w:spacing w:after="0"/>
              <w:rPr>
                <w:sz w:val="24"/>
                <w:szCs w:val="24"/>
                <w:color w:val="auto"/>
              </w:rPr>
            </w:pPr>
          </w:p>
        </w:tc>
        <w:tc>
          <w:tcPr>
            <w:tcW w:w="880" w:type="dxa"/>
            <w:vAlign w:val="bottom"/>
            <w:tcBorders>
              <w:top w:val="single" w:sz="8" w:color="BFA071"/>
              <w:bottom w:val="single" w:sz="8" w:color="BFA071"/>
            </w:tcBorders>
            <w:shd w:val="clear" w:color="auto" w:fill="EBE1D2"/>
          </w:tcPr>
          <w:p>
            <w:pPr>
              <w:spacing w:after="0"/>
              <w:rPr>
                <w:sz w:val="24"/>
                <w:szCs w:val="24"/>
                <w:color w:val="auto"/>
              </w:rPr>
            </w:pPr>
          </w:p>
        </w:tc>
        <w:tc>
          <w:tcPr>
            <w:tcW w:w="940" w:type="dxa"/>
            <w:vAlign w:val="bottom"/>
            <w:tcBorders>
              <w:top w:val="single" w:sz="8" w:color="BFA071"/>
              <w:bottom w:val="single" w:sz="8" w:color="BFA071"/>
            </w:tcBorders>
            <w:gridSpan w:val="2"/>
          </w:tcPr>
          <w:p>
            <w:pPr>
              <w:jc w:val="right"/>
              <w:ind w:right="117"/>
              <w:spacing w:after="0"/>
              <w:rPr>
                <w:sz w:val="20"/>
                <w:szCs w:val="20"/>
                <w:color w:val="auto"/>
              </w:rPr>
            </w:pPr>
            <w:r>
              <w:rPr>
                <w:rFonts w:ascii="Arial" w:cs="Arial" w:eastAsia="Arial" w:hAnsi="Arial"/>
                <w:sz w:val="13"/>
                <w:szCs w:val="13"/>
                <w:color w:val="001641"/>
              </w:rPr>
              <w:t>$279.56</w:t>
            </w:r>
          </w:p>
        </w:tc>
        <w:tc>
          <w:tcPr>
            <w:tcW w:w="800" w:type="dxa"/>
            <w:vAlign w:val="bottom"/>
            <w:tcBorders>
              <w:top w:val="single" w:sz="8" w:color="BFA071"/>
              <w:bottom w:val="single" w:sz="8" w:color="BFA071"/>
            </w:tcBorders>
          </w:tcPr>
          <w:p>
            <w:pPr>
              <w:jc w:val="right"/>
              <w:ind w:right="37"/>
              <w:spacing w:after="0"/>
              <w:rPr>
                <w:sz w:val="20"/>
                <w:szCs w:val="20"/>
                <w:color w:val="auto"/>
              </w:rPr>
            </w:pPr>
            <w:r>
              <w:rPr>
                <w:rFonts w:ascii="Arial" w:cs="Arial" w:eastAsia="Arial" w:hAnsi="Arial"/>
                <w:sz w:val="13"/>
                <w:szCs w:val="13"/>
                <w:color w:val="001641"/>
              </w:rPr>
              <w:t>482,521</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Borders>
              <w:bottom w:val="single" w:sz="8" w:color="BFA071"/>
            </w:tcBorders>
          </w:tcPr>
          <w:p>
            <w:pPr>
              <w:jc w:val="right"/>
              <w:ind w:right="57"/>
              <w:spacing w:after="0"/>
              <w:rPr>
                <w:sz w:val="20"/>
                <w:szCs w:val="20"/>
                <w:color w:val="auto"/>
              </w:rPr>
            </w:pPr>
            <w:r>
              <w:rPr>
                <w:rFonts w:ascii="Arial" w:cs="Arial" w:eastAsia="Arial" w:hAnsi="Arial"/>
                <w:sz w:val="13"/>
                <w:szCs w:val="13"/>
                <w:color w:val="001641"/>
                <w:w w:val="91"/>
              </w:rPr>
              <w:t>08/15/2025</w:t>
            </w:r>
            <w:r>
              <w:rPr>
                <w:rFonts w:ascii="Arial" w:cs="Arial" w:eastAsia="Arial" w:hAnsi="Arial"/>
                <w:sz w:val="20"/>
                <w:szCs w:val="20"/>
                <w:color w:val="001641"/>
                <w:w w:val="91"/>
                <w:vertAlign w:val="superscript"/>
              </w:rPr>
              <w:t>4</w:t>
            </w:r>
          </w:p>
        </w:tc>
        <w:tc>
          <w:tcPr>
            <w:tcW w:w="12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60" w:type="dxa"/>
            <w:vAlign w:val="bottom"/>
            <w:tcBorders>
              <w:bottom w:val="single" w:sz="8" w:color="BFA071"/>
            </w:tcBorders>
            <w:shd w:val="clear" w:color="auto" w:fill="EBE1D2"/>
          </w:tcPr>
          <w:p>
            <w:pPr>
              <w:spacing w:after="0"/>
              <w:rPr>
                <w:sz w:val="24"/>
                <w:szCs w:val="24"/>
                <w:color w:val="auto"/>
              </w:rPr>
            </w:pPr>
          </w:p>
        </w:tc>
        <w:tc>
          <w:tcPr>
            <w:tcW w:w="100" w:type="dxa"/>
            <w:vAlign w:val="bottom"/>
            <w:tcBorders>
              <w:bottom w:val="single" w:sz="8" w:color="BFA071"/>
            </w:tcBorders>
            <w:shd w:val="clear" w:color="auto" w:fill="EBE1D2"/>
          </w:tcPr>
          <w:p>
            <w:pPr>
              <w:spacing w:after="0"/>
              <w:rPr>
                <w:sz w:val="24"/>
                <w:szCs w:val="24"/>
                <w:color w:val="auto"/>
              </w:rPr>
            </w:pPr>
          </w:p>
        </w:tc>
        <w:tc>
          <w:tcPr>
            <w:tcW w:w="920" w:type="dxa"/>
            <w:vAlign w:val="bottom"/>
            <w:tcBorders>
              <w:bottom w:val="single" w:sz="8" w:color="BFA071"/>
            </w:tcBorders>
            <w:gridSpan w:val="2"/>
          </w:tcPr>
          <w:p>
            <w:pPr>
              <w:jc w:val="right"/>
              <w:ind w:right="157"/>
              <w:spacing w:after="0"/>
              <w:rPr>
                <w:sz w:val="20"/>
                <w:szCs w:val="20"/>
                <w:color w:val="auto"/>
              </w:rPr>
            </w:pPr>
            <w:r>
              <w:rPr>
                <w:rFonts w:ascii="Arial" w:cs="Arial" w:eastAsia="Arial" w:hAnsi="Arial"/>
                <w:sz w:val="13"/>
                <w:szCs w:val="13"/>
                <w:color w:val="001641"/>
              </w:rPr>
              <w:t>581</w:t>
            </w:r>
          </w:p>
        </w:tc>
        <w:tc>
          <w:tcPr>
            <w:tcW w:w="660" w:type="dxa"/>
            <w:vAlign w:val="bottom"/>
            <w:tcBorders>
              <w:bottom w:val="single" w:sz="8" w:color="BFA071"/>
            </w:tcBorders>
          </w:tcPr>
          <w:p>
            <w:pPr>
              <w:jc w:val="right"/>
              <w:ind w:right="77"/>
              <w:spacing w:after="0"/>
              <w:rPr>
                <w:sz w:val="20"/>
                <w:szCs w:val="20"/>
                <w:color w:val="auto"/>
              </w:rPr>
            </w:pPr>
            <w:r>
              <w:rPr>
                <w:rFonts w:ascii="Arial" w:cs="Arial" w:eastAsia="Arial" w:hAnsi="Arial"/>
                <w:sz w:val="13"/>
                <w:szCs w:val="13"/>
                <w:color w:val="001641"/>
              </w:rPr>
              <w:t>1,161</w:t>
            </w:r>
          </w:p>
        </w:tc>
        <w:tc>
          <w:tcPr>
            <w:tcW w:w="740" w:type="dxa"/>
            <w:vAlign w:val="bottom"/>
            <w:tcBorders>
              <w:bottom w:val="single" w:sz="8" w:color="BFA071"/>
            </w:tcBorders>
          </w:tcPr>
          <w:p>
            <w:pPr>
              <w:jc w:val="right"/>
              <w:spacing w:after="0"/>
              <w:rPr>
                <w:sz w:val="20"/>
                <w:szCs w:val="20"/>
                <w:color w:val="auto"/>
              </w:rPr>
            </w:pPr>
            <w:r>
              <w:rPr>
                <w:rFonts w:ascii="Arial" w:cs="Arial" w:eastAsia="Arial" w:hAnsi="Arial"/>
                <w:sz w:val="13"/>
                <w:szCs w:val="13"/>
                <w:color w:val="001641"/>
              </w:rPr>
              <w:t>2,322</w:t>
            </w:r>
          </w:p>
        </w:tc>
        <w:tc>
          <w:tcPr>
            <w:tcW w:w="120" w:type="dxa"/>
            <w:vAlign w:val="bottom"/>
            <w:tcBorders>
              <w:bottom w:val="single" w:sz="8" w:color="BFA071"/>
            </w:tcBorders>
          </w:tcPr>
          <w:p>
            <w:pPr>
              <w:spacing w:after="0"/>
              <w:rPr>
                <w:sz w:val="24"/>
                <w:szCs w:val="24"/>
                <w:color w:val="auto"/>
              </w:rPr>
            </w:pPr>
          </w:p>
        </w:tc>
        <w:tc>
          <w:tcPr>
            <w:tcW w:w="880" w:type="dxa"/>
            <w:vAlign w:val="bottom"/>
            <w:tcBorders>
              <w:bottom w:val="single" w:sz="8" w:color="BFA071"/>
            </w:tcBorders>
            <w:shd w:val="clear" w:color="auto" w:fill="EBE1D2"/>
          </w:tcPr>
          <w:p>
            <w:pPr>
              <w:spacing w:after="0"/>
              <w:rPr>
                <w:sz w:val="24"/>
                <w:szCs w:val="24"/>
                <w:color w:val="auto"/>
              </w:rPr>
            </w:pPr>
          </w:p>
        </w:tc>
        <w:tc>
          <w:tcPr>
            <w:tcW w:w="940" w:type="dxa"/>
            <w:vAlign w:val="bottom"/>
            <w:tcBorders>
              <w:bottom w:val="single" w:sz="8" w:color="BFA071"/>
            </w:tcBorders>
            <w:gridSpan w:val="2"/>
          </w:tcPr>
          <w:p>
            <w:pPr>
              <w:jc w:val="right"/>
              <w:ind w:right="117"/>
              <w:spacing w:after="0"/>
              <w:rPr>
                <w:sz w:val="20"/>
                <w:szCs w:val="20"/>
                <w:color w:val="auto"/>
              </w:rPr>
            </w:pPr>
            <w:r>
              <w:rPr>
                <w:rFonts w:ascii="Arial" w:cs="Arial" w:eastAsia="Arial" w:hAnsi="Arial"/>
                <w:sz w:val="13"/>
                <w:szCs w:val="13"/>
                <w:color w:val="001641"/>
              </w:rPr>
              <w:t>$430.64</w:t>
            </w:r>
          </w:p>
        </w:tc>
        <w:tc>
          <w:tcPr>
            <w:tcW w:w="800" w:type="dxa"/>
            <w:vAlign w:val="bottom"/>
            <w:tcBorders>
              <w:bottom w:val="single" w:sz="8" w:color="BFA071"/>
            </w:tcBorders>
          </w:tcPr>
          <w:p>
            <w:pPr>
              <w:jc w:val="right"/>
              <w:ind w:right="37"/>
              <w:spacing w:after="0"/>
              <w:rPr>
                <w:sz w:val="20"/>
                <w:szCs w:val="20"/>
                <w:color w:val="auto"/>
              </w:rPr>
            </w:pPr>
            <w:r>
              <w:rPr>
                <w:rFonts w:ascii="Arial" w:cs="Arial" w:eastAsia="Arial" w:hAnsi="Arial"/>
                <w:sz w:val="13"/>
                <w:szCs w:val="13"/>
                <w:color w:val="001641"/>
              </w:rPr>
              <w:t>499,973</w:t>
            </w:r>
          </w:p>
        </w:tc>
        <w:tc>
          <w:tcPr>
            <w:tcW w:w="0" w:type="dxa"/>
            <w:vAlign w:val="bottom"/>
          </w:tcPr>
          <w:p>
            <w:pPr>
              <w:spacing w:after="0"/>
              <w:rPr>
                <w:sz w:val="1"/>
                <w:szCs w:val="1"/>
                <w:color w:val="auto"/>
              </w:rPr>
            </w:pPr>
          </w:p>
        </w:tc>
      </w:tr>
      <w:tr>
        <w:trPr>
          <w:trHeight w:val="304"/>
        </w:trPr>
        <w:tc>
          <w:tcPr>
            <w:tcW w:w="60" w:type="dxa"/>
            <w:vAlign w:val="bottom"/>
            <w:tcBorders>
              <w:bottom w:val="single" w:sz="8" w:color="BFA071"/>
            </w:tcBorders>
          </w:tcPr>
          <w:p>
            <w:pPr>
              <w:spacing w:after="0"/>
              <w:rPr>
                <w:sz w:val="24"/>
                <w:szCs w:val="24"/>
                <w:color w:val="auto"/>
              </w:rPr>
            </w:pPr>
          </w:p>
        </w:tc>
        <w:tc>
          <w:tcPr>
            <w:tcW w:w="1040" w:type="dxa"/>
            <w:vAlign w:val="bottom"/>
            <w:tcBorders>
              <w:bottom w:val="single" w:sz="8" w:color="BFA071"/>
            </w:tcBorders>
          </w:tcPr>
          <w:p>
            <w:pPr>
              <w:spacing w:after="0"/>
              <w:rPr>
                <w:sz w:val="24"/>
                <w:szCs w:val="24"/>
                <w:color w:val="auto"/>
              </w:rPr>
            </w:pPr>
          </w:p>
        </w:tc>
        <w:tc>
          <w:tcPr>
            <w:tcW w:w="800" w:type="dxa"/>
            <w:vAlign w:val="bottom"/>
            <w:tcBorders>
              <w:bottom w:val="single" w:sz="8" w:color="BFA071"/>
            </w:tcBorders>
          </w:tcPr>
          <w:p>
            <w:pPr>
              <w:jc w:val="right"/>
              <w:ind w:right="57"/>
              <w:spacing w:after="0"/>
              <w:rPr>
                <w:sz w:val="20"/>
                <w:szCs w:val="20"/>
                <w:color w:val="auto"/>
              </w:rPr>
            </w:pPr>
            <w:r>
              <w:rPr>
                <w:rFonts w:ascii="Arial" w:cs="Arial" w:eastAsia="Arial" w:hAnsi="Arial"/>
                <w:sz w:val="13"/>
                <w:szCs w:val="13"/>
                <w:color w:val="001641"/>
                <w:w w:val="91"/>
              </w:rPr>
              <w:t>08/15/2025</w:t>
            </w:r>
            <w:r>
              <w:rPr>
                <w:rFonts w:ascii="Arial" w:cs="Arial" w:eastAsia="Arial" w:hAnsi="Arial"/>
                <w:sz w:val="20"/>
                <w:szCs w:val="20"/>
                <w:color w:val="001641"/>
                <w:w w:val="91"/>
                <w:vertAlign w:val="superscript"/>
              </w:rPr>
              <w:t>5</w:t>
            </w:r>
          </w:p>
        </w:tc>
        <w:tc>
          <w:tcPr>
            <w:tcW w:w="12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60" w:type="dxa"/>
            <w:vAlign w:val="bottom"/>
            <w:tcBorders>
              <w:bottom w:val="single" w:sz="8" w:color="BFA071"/>
            </w:tcBorders>
            <w:shd w:val="clear" w:color="auto" w:fill="EBE1D2"/>
          </w:tcPr>
          <w:p>
            <w:pPr>
              <w:spacing w:after="0"/>
              <w:rPr>
                <w:sz w:val="24"/>
                <w:szCs w:val="24"/>
                <w:color w:val="auto"/>
              </w:rPr>
            </w:pPr>
          </w:p>
        </w:tc>
        <w:tc>
          <w:tcPr>
            <w:tcW w:w="100" w:type="dxa"/>
            <w:vAlign w:val="bottom"/>
            <w:tcBorders>
              <w:bottom w:val="single" w:sz="8" w:color="BFA071"/>
            </w:tcBorders>
            <w:shd w:val="clear" w:color="auto" w:fill="EBE1D2"/>
          </w:tcPr>
          <w:p>
            <w:pPr>
              <w:spacing w:after="0"/>
              <w:rPr>
                <w:sz w:val="24"/>
                <w:szCs w:val="24"/>
                <w:color w:val="auto"/>
              </w:rPr>
            </w:pPr>
          </w:p>
        </w:tc>
        <w:tc>
          <w:tcPr>
            <w:tcW w:w="120" w:type="dxa"/>
            <w:vAlign w:val="bottom"/>
            <w:tcBorders>
              <w:bottom w:val="single" w:sz="8" w:color="BFA071"/>
            </w:tcBorders>
          </w:tcPr>
          <w:p>
            <w:pPr>
              <w:spacing w:after="0"/>
              <w:rPr>
                <w:sz w:val="24"/>
                <w:szCs w:val="24"/>
                <w:color w:val="auto"/>
              </w:rPr>
            </w:pPr>
          </w:p>
        </w:tc>
        <w:tc>
          <w:tcPr>
            <w:tcW w:w="800" w:type="dxa"/>
            <w:vAlign w:val="bottom"/>
            <w:tcBorders>
              <w:bottom w:val="single" w:sz="8" w:color="BFA071"/>
            </w:tcBorders>
          </w:tcPr>
          <w:p>
            <w:pPr>
              <w:spacing w:after="0"/>
              <w:rPr>
                <w:sz w:val="24"/>
                <w:szCs w:val="24"/>
                <w:color w:val="auto"/>
              </w:rPr>
            </w:pPr>
          </w:p>
        </w:tc>
        <w:tc>
          <w:tcPr>
            <w:tcW w:w="660" w:type="dxa"/>
            <w:vAlign w:val="bottom"/>
            <w:tcBorders>
              <w:bottom w:val="single" w:sz="8" w:color="BFA071"/>
            </w:tcBorders>
          </w:tcPr>
          <w:p>
            <w:pPr>
              <w:spacing w:after="0"/>
              <w:rPr>
                <w:sz w:val="24"/>
                <w:szCs w:val="24"/>
                <w:color w:val="auto"/>
              </w:rPr>
            </w:pPr>
          </w:p>
        </w:tc>
        <w:tc>
          <w:tcPr>
            <w:tcW w:w="740" w:type="dxa"/>
            <w:vAlign w:val="bottom"/>
            <w:tcBorders>
              <w:bottom w:val="single" w:sz="8" w:color="BFA071"/>
            </w:tcBorders>
          </w:tcPr>
          <w:p>
            <w:pPr>
              <w:spacing w:after="0"/>
              <w:rPr>
                <w:sz w:val="24"/>
                <w:szCs w:val="24"/>
                <w:color w:val="auto"/>
              </w:rPr>
            </w:pPr>
          </w:p>
        </w:tc>
        <w:tc>
          <w:tcPr>
            <w:tcW w:w="120" w:type="dxa"/>
            <w:vAlign w:val="bottom"/>
            <w:tcBorders>
              <w:bottom w:val="single" w:sz="8" w:color="BFA071"/>
            </w:tcBorders>
          </w:tcPr>
          <w:p>
            <w:pPr>
              <w:spacing w:after="0"/>
              <w:rPr>
                <w:sz w:val="24"/>
                <w:szCs w:val="24"/>
                <w:color w:val="auto"/>
              </w:rPr>
            </w:pPr>
          </w:p>
        </w:tc>
        <w:tc>
          <w:tcPr>
            <w:tcW w:w="880" w:type="dxa"/>
            <w:vAlign w:val="bottom"/>
            <w:tcBorders>
              <w:bottom w:val="single" w:sz="8" w:color="BFA071"/>
            </w:tcBorders>
            <w:shd w:val="clear" w:color="auto" w:fill="EBE1D2"/>
          </w:tcPr>
          <w:p>
            <w:pPr>
              <w:jc w:val="right"/>
              <w:ind w:right="97"/>
              <w:spacing w:after="0"/>
              <w:rPr>
                <w:sz w:val="20"/>
                <w:szCs w:val="20"/>
                <w:color w:val="auto"/>
              </w:rPr>
            </w:pPr>
            <w:r>
              <w:rPr>
                <w:rFonts w:ascii="Arial" w:cs="Arial" w:eastAsia="Arial" w:hAnsi="Arial"/>
                <w:sz w:val="13"/>
                <w:szCs w:val="13"/>
                <w:color w:val="001641"/>
              </w:rPr>
              <w:t>3,450</w:t>
            </w:r>
          </w:p>
        </w:tc>
        <w:tc>
          <w:tcPr>
            <w:tcW w:w="940" w:type="dxa"/>
            <w:vAlign w:val="bottom"/>
            <w:tcBorders>
              <w:bottom w:val="single" w:sz="8" w:color="BFA071"/>
            </w:tcBorders>
            <w:gridSpan w:val="2"/>
          </w:tcPr>
          <w:p>
            <w:pPr>
              <w:jc w:val="right"/>
              <w:ind w:right="117"/>
              <w:spacing w:after="0"/>
              <w:rPr>
                <w:sz w:val="20"/>
                <w:szCs w:val="20"/>
                <w:color w:val="auto"/>
              </w:rPr>
            </w:pPr>
            <w:r>
              <w:rPr>
                <w:rFonts w:ascii="Arial" w:cs="Arial" w:eastAsia="Arial" w:hAnsi="Arial"/>
                <w:sz w:val="13"/>
                <w:szCs w:val="13"/>
                <w:color w:val="001641"/>
              </w:rPr>
              <w:t>$282.84</w:t>
            </w:r>
          </w:p>
        </w:tc>
        <w:tc>
          <w:tcPr>
            <w:tcW w:w="800" w:type="dxa"/>
            <w:vAlign w:val="bottom"/>
            <w:tcBorders>
              <w:bottom w:val="single" w:sz="8" w:color="BFA071"/>
            </w:tcBorders>
          </w:tcPr>
          <w:p>
            <w:pPr>
              <w:jc w:val="right"/>
              <w:ind w:right="37"/>
              <w:spacing w:after="0"/>
              <w:rPr>
                <w:sz w:val="20"/>
                <w:szCs w:val="20"/>
                <w:color w:val="auto"/>
              </w:rPr>
            </w:pPr>
            <w:r>
              <w:rPr>
                <w:rFonts w:ascii="Arial" w:cs="Arial" w:eastAsia="Arial" w:hAnsi="Arial"/>
                <w:sz w:val="13"/>
                <w:szCs w:val="13"/>
                <w:color w:val="001641"/>
              </w:rPr>
              <w:t>975,798</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Arial" w:cs="Arial" w:eastAsia="Arial" w:hAnsi="Arial"/>
                <w:sz w:val="13"/>
                <w:szCs w:val="13"/>
                <w:b w:val="1"/>
                <w:bCs w:val="1"/>
                <w:color w:val="001641"/>
              </w:rPr>
              <w:t>David Lauren</w:t>
            </w:r>
          </w:p>
        </w:tc>
        <w:tc>
          <w:tcPr>
            <w:tcW w:w="800" w:type="dxa"/>
            <w:vAlign w:val="bottom"/>
          </w:tcPr>
          <w:p>
            <w:pPr>
              <w:spacing w:after="0"/>
              <w:rPr>
                <w:sz w:val="24"/>
                <w:szCs w:val="24"/>
                <w:color w:val="auto"/>
              </w:rPr>
            </w:pPr>
          </w:p>
        </w:tc>
        <w:tc>
          <w:tcPr>
            <w:tcW w:w="900" w:type="dxa"/>
            <w:vAlign w:val="bottom"/>
            <w:tcBorders>
              <w:bottom w:val="single" w:sz="8" w:color="EBE1D2"/>
            </w:tcBorders>
            <w:gridSpan w:val="2"/>
            <w:shd w:val="clear" w:color="auto" w:fill="EBE1D2"/>
          </w:tcPr>
          <w:p>
            <w:pPr>
              <w:jc w:val="right"/>
              <w:ind w:right="137"/>
              <w:spacing w:after="0"/>
              <w:rPr>
                <w:sz w:val="20"/>
                <w:szCs w:val="20"/>
                <w:color w:val="auto"/>
              </w:rPr>
            </w:pPr>
            <w:r>
              <w:rPr>
                <w:rFonts w:ascii="Arial" w:cs="Arial" w:eastAsia="Arial" w:hAnsi="Arial"/>
                <w:sz w:val="13"/>
                <w:szCs w:val="13"/>
                <w:color w:val="001641"/>
              </w:rPr>
              <w:t>493,750</w:t>
            </w:r>
          </w:p>
        </w:tc>
        <w:tc>
          <w:tcPr>
            <w:tcW w:w="780" w:type="dxa"/>
            <w:vAlign w:val="bottom"/>
            <w:tcBorders>
              <w:bottom w:val="single" w:sz="8" w:color="EBE1D2"/>
            </w:tcBorders>
            <w:shd w:val="clear" w:color="auto" w:fill="EBE1D2"/>
          </w:tcPr>
          <w:p>
            <w:pPr>
              <w:jc w:val="right"/>
              <w:ind w:right="57"/>
              <w:spacing w:after="0"/>
              <w:rPr>
                <w:sz w:val="20"/>
                <w:szCs w:val="20"/>
                <w:color w:val="auto"/>
              </w:rPr>
            </w:pPr>
            <w:r>
              <w:rPr>
                <w:rFonts w:ascii="Arial" w:cs="Arial" w:eastAsia="Arial" w:hAnsi="Arial"/>
                <w:sz w:val="13"/>
                <w:szCs w:val="13"/>
                <w:color w:val="001641"/>
              </w:rPr>
              <w:t>987,500</w:t>
            </w:r>
          </w:p>
        </w:tc>
        <w:tc>
          <w:tcPr>
            <w:tcW w:w="760" w:type="dxa"/>
            <w:vAlign w:val="bottom"/>
            <w:tcBorders>
              <w:bottom w:val="single" w:sz="8" w:color="EBE1D2"/>
            </w:tcBorders>
            <w:shd w:val="clear" w:color="auto" w:fill="EBE1D2"/>
          </w:tcPr>
          <w:p>
            <w:pPr>
              <w:jc w:val="right"/>
              <w:spacing w:after="0"/>
              <w:rPr>
                <w:sz w:val="20"/>
                <w:szCs w:val="20"/>
                <w:color w:val="auto"/>
              </w:rPr>
            </w:pPr>
            <w:r>
              <w:rPr>
                <w:rFonts w:ascii="Arial" w:cs="Arial" w:eastAsia="Arial" w:hAnsi="Arial"/>
                <w:sz w:val="13"/>
                <w:szCs w:val="13"/>
                <w:color w:val="001641"/>
              </w:rPr>
              <w:t>1,975,000</w:t>
            </w:r>
          </w:p>
        </w:tc>
        <w:tc>
          <w:tcPr>
            <w:tcW w:w="100" w:type="dxa"/>
            <w:vAlign w:val="bottom"/>
            <w:tcBorders>
              <w:bottom w:val="single" w:sz="8" w:color="EBE1D2"/>
            </w:tcBorders>
            <w:shd w:val="clear" w:color="auto" w:fill="EBE1D2"/>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EBE1D2"/>
            </w:tcBorders>
            <w:shd w:val="clear" w:color="auto" w:fill="EBE1D2"/>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Borders>
              <w:top w:val="single" w:sz="8" w:color="BFA071"/>
              <w:bottom w:val="single" w:sz="8" w:color="BFA071"/>
            </w:tcBorders>
          </w:tcPr>
          <w:p>
            <w:pPr>
              <w:jc w:val="right"/>
              <w:ind w:right="57"/>
              <w:spacing w:after="0"/>
              <w:rPr>
                <w:sz w:val="20"/>
                <w:szCs w:val="20"/>
                <w:color w:val="auto"/>
              </w:rPr>
            </w:pPr>
            <w:r>
              <w:rPr>
                <w:rFonts w:ascii="Arial" w:cs="Arial" w:eastAsia="Arial" w:hAnsi="Arial"/>
                <w:sz w:val="13"/>
                <w:szCs w:val="13"/>
                <w:color w:val="001641"/>
                <w:w w:val="91"/>
              </w:rPr>
              <w:t>08/15/2025</w:t>
            </w:r>
            <w:r>
              <w:rPr>
                <w:rFonts w:ascii="Arial" w:cs="Arial" w:eastAsia="Arial" w:hAnsi="Arial"/>
                <w:sz w:val="20"/>
                <w:szCs w:val="20"/>
                <w:color w:val="001641"/>
                <w:w w:val="91"/>
                <w:vertAlign w:val="superscript"/>
              </w:rPr>
              <w:t>3</w:t>
            </w:r>
          </w:p>
        </w:tc>
        <w:tc>
          <w:tcPr>
            <w:tcW w:w="120" w:type="dxa"/>
            <w:vAlign w:val="bottom"/>
            <w:tcBorders>
              <w:top w:val="single" w:sz="8" w:color="BFA071"/>
              <w:bottom w:val="single" w:sz="8" w:color="BFA071"/>
            </w:tcBorders>
            <w:shd w:val="clear" w:color="auto" w:fill="EBE1D2"/>
          </w:tcPr>
          <w:p>
            <w:pPr>
              <w:spacing w:after="0"/>
              <w:rPr>
                <w:sz w:val="24"/>
                <w:szCs w:val="24"/>
                <w:color w:val="auto"/>
              </w:rPr>
            </w:pPr>
          </w:p>
        </w:tc>
        <w:tc>
          <w:tcPr>
            <w:tcW w:w="780" w:type="dxa"/>
            <w:vAlign w:val="bottom"/>
            <w:tcBorders>
              <w:top w:val="single" w:sz="8" w:color="BFA071"/>
              <w:bottom w:val="single" w:sz="8" w:color="BFA071"/>
            </w:tcBorders>
            <w:shd w:val="clear" w:color="auto" w:fill="EBE1D2"/>
          </w:tcPr>
          <w:p>
            <w:pPr>
              <w:spacing w:after="0"/>
              <w:rPr>
                <w:sz w:val="24"/>
                <w:szCs w:val="24"/>
                <w:color w:val="auto"/>
              </w:rPr>
            </w:pPr>
          </w:p>
        </w:tc>
        <w:tc>
          <w:tcPr>
            <w:tcW w:w="780" w:type="dxa"/>
            <w:vAlign w:val="bottom"/>
            <w:tcBorders>
              <w:top w:val="single" w:sz="8" w:color="BFA071"/>
              <w:bottom w:val="single" w:sz="8" w:color="BFA071"/>
            </w:tcBorders>
            <w:shd w:val="clear" w:color="auto" w:fill="EBE1D2"/>
          </w:tcPr>
          <w:p>
            <w:pPr>
              <w:spacing w:after="0"/>
              <w:rPr>
                <w:sz w:val="24"/>
                <w:szCs w:val="24"/>
                <w:color w:val="auto"/>
              </w:rPr>
            </w:pPr>
          </w:p>
        </w:tc>
        <w:tc>
          <w:tcPr>
            <w:tcW w:w="760" w:type="dxa"/>
            <w:vAlign w:val="bottom"/>
            <w:tcBorders>
              <w:top w:val="single" w:sz="8" w:color="BFA071"/>
              <w:bottom w:val="single" w:sz="8" w:color="BFA071"/>
            </w:tcBorders>
            <w:shd w:val="clear" w:color="auto" w:fill="EBE1D2"/>
          </w:tcPr>
          <w:p>
            <w:pPr>
              <w:spacing w:after="0"/>
              <w:rPr>
                <w:sz w:val="24"/>
                <w:szCs w:val="24"/>
                <w:color w:val="auto"/>
              </w:rPr>
            </w:pPr>
          </w:p>
        </w:tc>
        <w:tc>
          <w:tcPr>
            <w:tcW w:w="100" w:type="dxa"/>
            <w:vAlign w:val="bottom"/>
            <w:tcBorders>
              <w:top w:val="single" w:sz="8" w:color="BFA071"/>
              <w:bottom w:val="single" w:sz="8" w:color="BFA071"/>
            </w:tcBorders>
            <w:shd w:val="clear" w:color="auto" w:fill="EBE1D2"/>
          </w:tcPr>
          <w:p>
            <w:pPr>
              <w:spacing w:after="0"/>
              <w:rPr>
                <w:sz w:val="24"/>
                <w:szCs w:val="24"/>
                <w:color w:val="auto"/>
              </w:rPr>
            </w:pPr>
          </w:p>
        </w:tc>
        <w:tc>
          <w:tcPr>
            <w:tcW w:w="920" w:type="dxa"/>
            <w:vAlign w:val="bottom"/>
            <w:tcBorders>
              <w:top w:val="single" w:sz="8" w:color="BFA071"/>
              <w:bottom w:val="single" w:sz="8" w:color="BFA071"/>
            </w:tcBorders>
            <w:gridSpan w:val="2"/>
          </w:tcPr>
          <w:p>
            <w:pPr>
              <w:jc w:val="right"/>
              <w:ind w:right="157"/>
              <w:spacing w:after="0"/>
              <w:rPr>
                <w:sz w:val="20"/>
                <w:szCs w:val="20"/>
                <w:color w:val="auto"/>
              </w:rPr>
            </w:pPr>
            <w:r>
              <w:rPr>
                <w:rFonts w:ascii="Arial" w:cs="Arial" w:eastAsia="Arial" w:hAnsi="Arial"/>
                <w:sz w:val="13"/>
                <w:szCs w:val="13"/>
                <w:color w:val="001641"/>
              </w:rPr>
              <w:t>518</w:t>
            </w:r>
          </w:p>
        </w:tc>
        <w:tc>
          <w:tcPr>
            <w:tcW w:w="660" w:type="dxa"/>
            <w:vAlign w:val="bottom"/>
            <w:tcBorders>
              <w:top w:val="single" w:sz="8" w:color="BFA071"/>
              <w:bottom w:val="single" w:sz="8" w:color="BFA071"/>
            </w:tcBorders>
          </w:tcPr>
          <w:p>
            <w:pPr>
              <w:jc w:val="right"/>
              <w:ind w:right="77"/>
              <w:spacing w:after="0"/>
              <w:rPr>
                <w:sz w:val="20"/>
                <w:szCs w:val="20"/>
                <w:color w:val="auto"/>
              </w:rPr>
            </w:pPr>
            <w:r>
              <w:rPr>
                <w:rFonts w:ascii="Arial" w:cs="Arial" w:eastAsia="Arial" w:hAnsi="Arial"/>
                <w:sz w:val="13"/>
                <w:szCs w:val="13"/>
                <w:color w:val="001641"/>
              </w:rPr>
              <w:t>1,035</w:t>
            </w:r>
          </w:p>
        </w:tc>
        <w:tc>
          <w:tcPr>
            <w:tcW w:w="740" w:type="dxa"/>
            <w:vAlign w:val="bottom"/>
            <w:tcBorders>
              <w:top w:val="single" w:sz="8" w:color="BFA071"/>
              <w:bottom w:val="single" w:sz="8" w:color="BFA071"/>
            </w:tcBorders>
          </w:tcPr>
          <w:p>
            <w:pPr>
              <w:jc w:val="right"/>
              <w:spacing w:after="0"/>
              <w:rPr>
                <w:sz w:val="20"/>
                <w:szCs w:val="20"/>
                <w:color w:val="auto"/>
              </w:rPr>
            </w:pPr>
            <w:r>
              <w:rPr>
                <w:rFonts w:ascii="Arial" w:cs="Arial" w:eastAsia="Arial" w:hAnsi="Arial"/>
                <w:sz w:val="13"/>
                <w:szCs w:val="13"/>
                <w:color w:val="001641"/>
              </w:rPr>
              <w:t>2,070</w:t>
            </w:r>
          </w:p>
        </w:tc>
        <w:tc>
          <w:tcPr>
            <w:tcW w:w="120" w:type="dxa"/>
            <w:vAlign w:val="bottom"/>
            <w:tcBorders>
              <w:top w:val="single" w:sz="8" w:color="BFA071"/>
              <w:bottom w:val="single" w:sz="8" w:color="BFA071"/>
            </w:tcBorders>
          </w:tcPr>
          <w:p>
            <w:pPr>
              <w:spacing w:after="0"/>
              <w:rPr>
                <w:sz w:val="24"/>
                <w:szCs w:val="24"/>
                <w:color w:val="auto"/>
              </w:rPr>
            </w:pPr>
          </w:p>
        </w:tc>
        <w:tc>
          <w:tcPr>
            <w:tcW w:w="880" w:type="dxa"/>
            <w:vAlign w:val="bottom"/>
            <w:tcBorders>
              <w:top w:val="single" w:sz="8" w:color="BFA071"/>
              <w:bottom w:val="single" w:sz="8" w:color="BFA071"/>
            </w:tcBorders>
            <w:shd w:val="clear" w:color="auto" w:fill="EBE1D2"/>
          </w:tcPr>
          <w:p>
            <w:pPr>
              <w:spacing w:after="0"/>
              <w:rPr>
                <w:sz w:val="24"/>
                <w:szCs w:val="24"/>
                <w:color w:val="auto"/>
              </w:rPr>
            </w:pPr>
          </w:p>
        </w:tc>
        <w:tc>
          <w:tcPr>
            <w:tcW w:w="940" w:type="dxa"/>
            <w:vAlign w:val="bottom"/>
            <w:tcBorders>
              <w:top w:val="single" w:sz="8" w:color="BFA071"/>
              <w:bottom w:val="single" w:sz="8" w:color="BFA071"/>
            </w:tcBorders>
            <w:gridSpan w:val="2"/>
          </w:tcPr>
          <w:p>
            <w:pPr>
              <w:jc w:val="right"/>
              <w:ind w:right="117"/>
              <w:spacing w:after="0"/>
              <w:rPr>
                <w:sz w:val="20"/>
                <w:szCs w:val="20"/>
                <w:color w:val="auto"/>
              </w:rPr>
            </w:pPr>
            <w:r>
              <w:rPr>
                <w:rFonts w:ascii="Arial" w:cs="Arial" w:eastAsia="Arial" w:hAnsi="Arial"/>
                <w:sz w:val="13"/>
                <w:szCs w:val="13"/>
                <w:color w:val="001641"/>
              </w:rPr>
              <w:t>$279.56</w:t>
            </w:r>
          </w:p>
        </w:tc>
        <w:tc>
          <w:tcPr>
            <w:tcW w:w="800" w:type="dxa"/>
            <w:vAlign w:val="bottom"/>
            <w:tcBorders>
              <w:top w:val="single" w:sz="8" w:color="BFA071"/>
              <w:bottom w:val="single" w:sz="8" w:color="BFA071"/>
            </w:tcBorders>
          </w:tcPr>
          <w:p>
            <w:pPr>
              <w:jc w:val="right"/>
              <w:ind w:right="37"/>
              <w:spacing w:after="0"/>
              <w:rPr>
                <w:sz w:val="20"/>
                <w:szCs w:val="20"/>
                <w:color w:val="auto"/>
              </w:rPr>
            </w:pPr>
            <w:r>
              <w:rPr>
                <w:rFonts w:ascii="Arial" w:cs="Arial" w:eastAsia="Arial" w:hAnsi="Arial"/>
                <w:sz w:val="13"/>
                <w:szCs w:val="13"/>
                <w:color w:val="001641"/>
              </w:rPr>
              <w:t>289,345</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Borders>
              <w:bottom w:val="single" w:sz="8" w:color="BFA071"/>
            </w:tcBorders>
          </w:tcPr>
          <w:p>
            <w:pPr>
              <w:jc w:val="right"/>
              <w:ind w:right="57"/>
              <w:spacing w:after="0"/>
              <w:rPr>
                <w:sz w:val="20"/>
                <w:szCs w:val="20"/>
                <w:color w:val="auto"/>
              </w:rPr>
            </w:pPr>
            <w:r>
              <w:rPr>
                <w:rFonts w:ascii="Arial" w:cs="Arial" w:eastAsia="Arial" w:hAnsi="Arial"/>
                <w:sz w:val="13"/>
                <w:szCs w:val="13"/>
                <w:color w:val="001641"/>
                <w:w w:val="91"/>
              </w:rPr>
              <w:t>08/15/2025</w:t>
            </w:r>
            <w:r>
              <w:rPr>
                <w:rFonts w:ascii="Arial" w:cs="Arial" w:eastAsia="Arial" w:hAnsi="Arial"/>
                <w:sz w:val="20"/>
                <w:szCs w:val="20"/>
                <w:color w:val="001641"/>
                <w:w w:val="91"/>
                <w:vertAlign w:val="superscript"/>
              </w:rPr>
              <w:t>4</w:t>
            </w:r>
          </w:p>
        </w:tc>
        <w:tc>
          <w:tcPr>
            <w:tcW w:w="12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80" w:type="dxa"/>
            <w:vAlign w:val="bottom"/>
            <w:tcBorders>
              <w:bottom w:val="single" w:sz="8" w:color="BFA071"/>
            </w:tcBorders>
            <w:shd w:val="clear" w:color="auto" w:fill="EBE1D2"/>
          </w:tcPr>
          <w:p>
            <w:pPr>
              <w:spacing w:after="0"/>
              <w:rPr>
                <w:sz w:val="24"/>
                <w:szCs w:val="24"/>
                <w:color w:val="auto"/>
              </w:rPr>
            </w:pPr>
          </w:p>
        </w:tc>
        <w:tc>
          <w:tcPr>
            <w:tcW w:w="760" w:type="dxa"/>
            <w:vAlign w:val="bottom"/>
            <w:tcBorders>
              <w:bottom w:val="single" w:sz="8" w:color="BFA071"/>
            </w:tcBorders>
            <w:shd w:val="clear" w:color="auto" w:fill="EBE1D2"/>
          </w:tcPr>
          <w:p>
            <w:pPr>
              <w:spacing w:after="0"/>
              <w:rPr>
                <w:sz w:val="24"/>
                <w:szCs w:val="24"/>
                <w:color w:val="auto"/>
              </w:rPr>
            </w:pPr>
          </w:p>
        </w:tc>
        <w:tc>
          <w:tcPr>
            <w:tcW w:w="100" w:type="dxa"/>
            <w:vAlign w:val="bottom"/>
            <w:tcBorders>
              <w:bottom w:val="single" w:sz="8" w:color="BFA071"/>
            </w:tcBorders>
            <w:shd w:val="clear" w:color="auto" w:fill="EBE1D2"/>
          </w:tcPr>
          <w:p>
            <w:pPr>
              <w:spacing w:after="0"/>
              <w:rPr>
                <w:sz w:val="24"/>
                <w:szCs w:val="24"/>
                <w:color w:val="auto"/>
              </w:rPr>
            </w:pPr>
          </w:p>
        </w:tc>
        <w:tc>
          <w:tcPr>
            <w:tcW w:w="920" w:type="dxa"/>
            <w:vAlign w:val="bottom"/>
            <w:tcBorders>
              <w:bottom w:val="single" w:sz="8" w:color="BFA071"/>
            </w:tcBorders>
            <w:gridSpan w:val="2"/>
          </w:tcPr>
          <w:p>
            <w:pPr>
              <w:jc w:val="right"/>
              <w:ind w:right="157"/>
              <w:spacing w:after="0"/>
              <w:rPr>
                <w:sz w:val="20"/>
                <w:szCs w:val="20"/>
                <w:color w:val="auto"/>
              </w:rPr>
            </w:pPr>
            <w:r>
              <w:rPr>
                <w:rFonts w:ascii="Arial" w:cs="Arial" w:eastAsia="Arial" w:hAnsi="Arial"/>
                <w:sz w:val="13"/>
                <w:szCs w:val="13"/>
                <w:color w:val="001641"/>
              </w:rPr>
              <w:t>349</w:t>
            </w:r>
          </w:p>
        </w:tc>
        <w:tc>
          <w:tcPr>
            <w:tcW w:w="660" w:type="dxa"/>
            <w:vAlign w:val="bottom"/>
            <w:tcBorders>
              <w:bottom w:val="single" w:sz="8" w:color="BFA071"/>
            </w:tcBorders>
          </w:tcPr>
          <w:p>
            <w:pPr>
              <w:jc w:val="right"/>
              <w:ind w:right="57"/>
              <w:spacing w:after="0"/>
              <w:rPr>
                <w:sz w:val="20"/>
                <w:szCs w:val="20"/>
                <w:color w:val="auto"/>
              </w:rPr>
            </w:pPr>
            <w:r>
              <w:rPr>
                <w:rFonts w:ascii="Arial" w:cs="Arial" w:eastAsia="Arial" w:hAnsi="Arial"/>
                <w:sz w:val="13"/>
                <w:szCs w:val="13"/>
                <w:color w:val="001641"/>
              </w:rPr>
              <w:t>697</w:t>
            </w:r>
          </w:p>
        </w:tc>
        <w:tc>
          <w:tcPr>
            <w:tcW w:w="740" w:type="dxa"/>
            <w:vAlign w:val="bottom"/>
            <w:tcBorders>
              <w:bottom w:val="single" w:sz="8" w:color="BFA071"/>
            </w:tcBorders>
          </w:tcPr>
          <w:p>
            <w:pPr>
              <w:jc w:val="right"/>
              <w:spacing w:after="0"/>
              <w:rPr>
                <w:sz w:val="20"/>
                <w:szCs w:val="20"/>
                <w:color w:val="auto"/>
              </w:rPr>
            </w:pPr>
            <w:r>
              <w:rPr>
                <w:rFonts w:ascii="Arial" w:cs="Arial" w:eastAsia="Arial" w:hAnsi="Arial"/>
                <w:sz w:val="13"/>
                <w:szCs w:val="13"/>
                <w:color w:val="001641"/>
              </w:rPr>
              <w:t>1,394</w:t>
            </w:r>
          </w:p>
        </w:tc>
        <w:tc>
          <w:tcPr>
            <w:tcW w:w="120" w:type="dxa"/>
            <w:vAlign w:val="bottom"/>
            <w:tcBorders>
              <w:bottom w:val="single" w:sz="8" w:color="BFA071"/>
            </w:tcBorders>
          </w:tcPr>
          <w:p>
            <w:pPr>
              <w:spacing w:after="0"/>
              <w:rPr>
                <w:sz w:val="24"/>
                <w:szCs w:val="24"/>
                <w:color w:val="auto"/>
              </w:rPr>
            </w:pPr>
          </w:p>
        </w:tc>
        <w:tc>
          <w:tcPr>
            <w:tcW w:w="880" w:type="dxa"/>
            <w:vAlign w:val="bottom"/>
            <w:tcBorders>
              <w:bottom w:val="single" w:sz="8" w:color="BFA071"/>
            </w:tcBorders>
            <w:shd w:val="clear" w:color="auto" w:fill="EBE1D2"/>
          </w:tcPr>
          <w:p>
            <w:pPr>
              <w:spacing w:after="0"/>
              <w:rPr>
                <w:sz w:val="24"/>
                <w:szCs w:val="24"/>
                <w:color w:val="auto"/>
              </w:rPr>
            </w:pPr>
          </w:p>
        </w:tc>
        <w:tc>
          <w:tcPr>
            <w:tcW w:w="940" w:type="dxa"/>
            <w:vAlign w:val="bottom"/>
            <w:tcBorders>
              <w:bottom w:val="single" w:sz="8" w:color="BFA071"/>
            </w:tcBorders>
            <w:gridSpan w:val="2"/>
          </w:tcPr>
          <w:p>
            <w:pPr>
              <w:jc w:val="right"/>
              <w:ind w:right="117"/>
              <w:spacing w:after="0"/>
              <w:rPr>
                <w:sz w:val="20"/>
                <w:szCs w:val="20"/>
                <w:color w:val="auto"/>
              </w:rPr>
            </w:pPr>
            <w:r>
              <w:rPr>
                <w:rFonts w:ascii="Arial" w:cs="Arial" w:eastAsia="Arial" w:hAnsi="Arial"/>
                <w:sz w:val="13"/>
                <w:szCs w:val="13"/>
                <w:color w:val="001641"/>
              </w:rPr>
              <w:t>$430.64</w:t>
            </w:r>
          </w:p>
        </w:tc>
        <w:tc>
          <w:tcPr>
            <w:tcW w:w="800" w:type="dxa"/>
            <w:vAlign w:val="bottom"/>
            <w:tcBorders>
              <w:bottom w:val="single" w:sz="8" w:color="BFA071"/>
            </w:tcBorders>
          </w:tcPr>
          <w:p>
            <w:pPr>
              <w:jc w:val="right"/>
              <w:ind w:right="37"/>
              <w:spacing w:after="0"/>
              <w:rPr>
                <w:sz w:val="20"/>
                <w:szCs w:val="20"/>
                <w:color w:val="auto"/>
              </w:rPr>
            </w:pPr>
            <w:r>
              <w:rPr>
                <w:rFonts w:ascii="Arial" w:cs="Arial" w:eastAsia="Arial" w:hAnsi="Arial"/>
                <w:sz w:val="13"/>
                <w:szCs w:val="13"/>
                <w:color w:val="001641"/>
              </w:rPr>
              <w:t>300,156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001641"/>
                <w:w w:val="91"/>
              </w:rPr>
              <w:t>08/15/2025</w:t>
            </w:r>
            <w:r>
              <w:rPr>
                <w:rFonts w:ascii="Arial" w:cs="Arial" w:eastAsia="Arial" w:hAnsi="Arial"/>
                <w:sz w:val="20"/>
                <w:szCs w:val="20"/>
                <w:color w:val="001641"/>
                <w:w w:val="91"/>
                <w:vertAlign w:val="superscript"/>
              </w:rPr>
              <w:t>5</w:t>
            </w:r>
          </w:p>
        </w:tc>
        <w:tc>
          <w:tcPr>
            <w:tcW w:w="120" w:type="dxa"/>
            <w:vAlign w:val="bottom"/>
            <w:tcBorders>
              <w:bottom w:val="single" w:sz="8" w:color="EBE1D2"/>
            </w:tcBorders>
            <w:shd w:val="clear" w:color="auto" w:fill="EBE1D2"/>
          </w:tcPr>
          <w:p>
            <w:pPr>
              <w:spacing w:after="0"/>
              <w:rPr>
                <w:sz w:val="21"/>
                <w:szCs w:val="21"/>
                <w:color w:val="auto"/>
              </w:rPr>
            </w:pPr>
          </w:p>
        </w:tc>
        <w:tc>
          <w:tcPr>
            <w:tcW w:w="780" w:type="dxa"/>
            <w:vAlign w:val="bottom"/>
            <w:tcBorders>
              <w:bottom w:val="single" w:sz="8" w:color="EBE1D2"/>
            </w:tcBorders>
            <w:shd w:val="clear" w:color="auto" w:fill="EBE1D2"/>
          </w:tcPr>
          <w:p>
            <w:pPr>
              <w:spacing w:after="0"/>
              <w:rPr>
                <w:sz w:val="21"/>
                <w:szCs w:val="21"/>
                <w:color w:val="auto"/>
              </w:rPr>
            </w:pPr>
          </w:p>
        </w:tc>
        <w:tc>
          <w:tcPr>
            <w:tcW w:w="780" w:type="dxa"/>
            <w:vAlign w:val="bottom"/>
            <w:tcBorders>
              <w:bottom w:val="single" w:sz="8" w:color="EBE1D2"/>
            </w:tcBorders>
            <w:shd w:val="clear" w:color="auto" w:fill="EBE1D2"/>
          </w:tcPr>
          <w:p>
            <w:pPr>
              <w:spacing w:after="0"/>
              <w:rPr>
                <w:sz w:val="21"/>
                <w:szCs w:val="21"/>
                <w:color w:val="auto"/>
              </w:rPr>
            </w:pPr>
          </w:p>
        </w:tc>
        <w:tc>
          <w:tcPr>
            <w:tcW w:w="760" w:type="dxa"/>
            <w:vAlign w:val="bottom"/>
            <w:tcBorders>
              <w:bottom w:val="single" w:sz="8" w:color="EBE1D2"/>
            </w:tcBorders>
            <w:shd w:val="clear" w:color="auto" w:fill="EBE1D2"/>
          </w:tcPr>
          <w:p>
            <w:pPr>
              <w:spacing w:after="0"/>
              <w:rPr>
                <w:sz w:val="21"/>
                <w:szCs w:val="21"/>
                <w:color w:val="auto"/>
              </w:rPr>
            </w:pPr>
          </w:p>
        </w:tc>
        <w:tc>
          <w:tcPr>
            <w:tcW w:w="100" w:type="dxa"/>
            <w:vAlign w:val="bottom"/>
            <w:tcBorders>
              <w:bottom w:val="single" w:sz="8" w:color="EBE1D2"/>
            </w:tcBorders>
            <w:shd w:val="clear" w:color="auto" w:fill="EBE1D2"/>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bottom w:val="single" w:sz="8" w:color="EBE1D2"/>
            </w:tcBorders>
            <w:shd w:val="clear" w:color="auto" w:fill="EBE1D2"/>
          </w:tcPr>
          <w:p>
            <w:pPr>
              <w:jc w:val="right"/>
              <w:ind w:right="97"/>
              <w:spacing w:after="0"/>
              <w:rPr>
                <w:sz w:val="20"/>
                <w:szCs w:val="20"/>
                <w:color w:val="auto"/>
              </w:rPr>
            </w:pPr>
            <w:r>
              <w:rPr>
                <w:rFonts w:ascii="Arial" w:cs="Arial" w:eastAsia="Arial" w:hAnsi="Arial"/>
                <w:sz w:val="13"/>
                <w:szCs w:val="13"/>
                <w:color w:val="001641"/>
              </w:rPr>
              <w:t>2,070</w:t>
            </w: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001641"/>
              </w:rPr>
              <w:t>$282.84</w:t>
            </w:r>
          </w:p>
        </w:tc>
        <w:tc>
          <w:tcPr>
            <w:tcW w:w="800" w:type="dxa"/>
            <w:vAlign w:val="bottom"/>
          </w:tcPr>
          <w:p>
            <w:pPr>
              <w:jc w:val="right"/>
              <w:ind w:right="37"/>
              <w:spacing w:after="0"/>
              <w:rPr>
                <w:sz w:val="20"/>
                <w:szCs w:val="20"/>
                <w:color w:val="auto"/>
              </w:rPr>
            </w:pPr>
            <w:r>
              <w:rPr>
                <w:rFonts w:ascii="Arial" w:cs="Arial" w:eastAsia="Arial" w:hAnsi="Arial"/>
                <w:sz w:val="13"/>
                <w:szCs w:val="13"/>
                <w:color w:val="001641"/>
              </w:rPr>
              <w:t>585,479</w:t>
            </w:r>
          </w:p>
        </w:tc>
        <w:tc>
          <w:tcPr>
            <w:tcW w:w="0" w:type="dxa"/>
            <w:vAlign w:val="bottom"/>
          </w:tcPr>
          <w:p>
            <w:pPr>
              <w:spacing w:after="0"/>
              <w:rPr>
                <w:sz w:val="1"/>
                <w:szCs w:val="1"/>
                <w:color w:val="auto"/>
              </w:rPr>
            </w:pPr>
          </w:p>
        </w:tc>
      </w:tr>
      <w:tr>
        <w:trPr>
          <w:trHeight w:val="20"/>
        </w:trPr>
        <w:tc>
          <w:tcPr>
            <w:tcW w:w="60" w:type="dxa"/>
            <w:vAlign w:val="bottom"/>
            <w:shd w:val="clear" w:color="auto" w:fill="001641"/>
          </w:tcPr>
          <w:p>
            <w:pPr>
              <w:spacing w:after="0" w:line="20" w:lineRule="exact"/>
              <w:rPr>
                <w:sz w:val="1"/>
                <w:szCs w:val="1"/>
                <w:color w:val="auto"/>
              </w:rPr>
            </w:pPr>
          </w:p>
        </w:tc>
        <w:tc>
          <w:tcPr>
            <w:tcW w:w="1040" w:type="dxa"/>
            <w:vAlign w:val="bottom"/>
            <w:shd w:val="clear" w:color="auto" w:fill="001641"/>
          </w:tcPr>
          <w:p>
            <w:pPr>
              <w:spacing w:after="0" w:line="20" w:lineRule="exact"/>
              <w:rPr>
                <w:sz w:val="1"/>
                <w:szCs w:val="1"/>
                <w:color w:val="auto"/>
              </w:rPr>
            </w:pPr>
          </w:p>
        </w:tc>
        <w:tc>
          <w:tcPr>
            <w:tcW w:w="800" w:type="dxa"/>
            <w:vAlign w:val="bottom"/>
            <w:shd w:val="clear" w:color="auto" w:fill="001641"/>
          </w:tcPr>
          <w:p>
            <w:pPr>
              <w:spacing w:after="0" w:line="20" w:lineRule="exact"/>
              <w:rPr>
                <w:sz w:val="1"/>
                <w:szCs w:val="1"/>
                <w:color w:val="auto"/>
              </w:rPr>
            </w:pPr>
          </w:p>
        </w:tc>
        <w:tc>
          <w:tcPr>
            <w:tcW w:w="120" w:type="dxa"/>
            <w:vAlign w:val="bottom"/>
            <w:shd w:val="clear" w:color="auto" w:fill="001641"/>
          </w:tcPr>
          <w:p>
            <w:pPr>
              <w:spacing w:after="0" w:line="20" w:lineRule="exact"/>
              <w:rPr>
                <w:sz w:val="1"/>
                <w:szCs w:val="1"/>
                <w:color w:val="auto"/>
              </w:rPr>
            </w:pPr>
          </w:p>
        </w:tc>
        <w:tc>
          <w:tcPr>
            <w:tcW w:w="780" w:type="dxa"/>
            <w:vAlign w:val="bottom"/>
            <w:shd w:val="clear" w:color="auto" w:fill="001641"/>
          </w:tcPr>
          <w:p>
            <w:pPr>
              <w:spacing w:after="0" w:line="20" w:lineRule="exact"/>
              <w:rPr>
                <w:sz w:val="1"/>
                <w:szCs w:val="1"/>
                <w:color w:val="auto"/>
              </w:rPr>
            </w:pPr>
          </w:p>
        </w:tc>
        <w:tc>
          <w:tcPr>
            <w:tcW w:w="780" w:type="dxa"/>
            <w:vAlign w:val="bottom"/>
            <w:shd w:val="clear" w:color="auto" w:fill="001641"/>
          </w:tcPr>
          <w:p>
            <w:pPr>
              <w:spacing w:after="0" w:line="20" w:lineRule="exact"/>
              <w:rPr>
                <w:sz w:val="1"/>
                <w:szCs w:val="1"/>
                <w:color w:val="auto"/>
              </w:rPr>
            </w:pPr>
          </w:p>
        </w:tc>
        <w:tc>
          <w:tcPr>
            <w:tcW w:w="760" w:type="dxa"/>
            <w:vAlign w:val="bottom"/>
            <w:shd w:val="clear" w:color="auto" w:fill="001641"/>
          </w:tcPr>
          <w:p>
            <w:pPr>
              <w:spacing w:after="0" w:line="20" w:lineRule="exact"/>
              <w:rPr>
                <w:sz w:val="1"/>
                <w:szCs w:val="1"/>
                <w:color w:val="auto"/>
              </w:rPr>
            </w:pPr>
          </w:p>
        </w:tc>
        <w:tc>
          <w:tcPr>
            <w:tcW w:w="100" w:type="dxa"/>
            <w:vAlign w:val="bottom"/>
            <w:shd w:val="clear" w:color="auto" w:fill="001641"/>
          </w:tcPr>
          <w:p>
            <w:pPr>
              <w:spacing w:after="0" w:line="20" w:lineRule="exact"/>
              <w:rPr>
                <w:sz w:val="1"/>
                <w:szCs w:val="1"/>
                <w:color w:val="auto"/>
              </w:rPr>
            </w:pPr>
          </w:p>
        </w:tc>
        <w:tc>
          <w:tcPr>
            <w:tcW w:w="120" w:type="dxa"/>
            <w:vAlign w:val="bottom"/>
            <w:shd w:val="clear" w:color="auto" w:fill="001641"/>
          </w:tcPr>
          <w:p>
            <w:pPr>
              <w:spacing w:after="0" w:line="20" w:lineRule="exact"/>
              <w:rPr>
                <w:sz w:val="1"/>
                <w:szCs w:val="1"/>
                <w:color w:val="auto"/>
              </w:rPr>
            </w:pPr>
          </w:p>
        </w:tc>
        <w:tc>
          <w:tcPr>
            <w:tcW w:w="800" w:type="dxa"/>
            <w:vAlign w:val="bottom"/>
            <w:shd w:val="clear" w:color="auto" w:fill="001641"/>
          </w:tcPr>
          <w:p>
            <w:pPr>
              <w:spacing w:after="0" w:line="20" w:lineRule="exact"/>
              <w:rPr>
                <w:sz w:val="1"/>
                <w:szCs w:val="1"/>
                <w:color w:val="auto"/>
              </w:rPr>
            </w:pPr>
          </w:p>
        </w:tc>
        <w:tc>
          <w:tcPr>
            <w:tcW w:w="660" w:type="dxa"/>
            <w:vAlign w:val="bottom"/>
            <w:shd w:val="clear" w:color="auto" w:fill="001641"/>
          </w:tcPr>
          <w:p>
            <w:pPr>
              <w:spacing w:after="0" w:line="20" w:lineRule="exact"/>
              <w:rPr>
                <w:sz w:val="1"/>
                <w:szCs w:val="1"/>
                <w:color w:val="auto"/>
              </w:rPr>
            </w:pPr>
          </w:p>
        </w:tc>
        <w:tc>
          <w:tcPr>
            <w:tcW w:w="740" w:type="dxa"/>
            <w:vAlign w:val="bottom"/>
            <w:shd w:val="clear" w:color="auto" w:fill="001641"/>
          </w:tcPr>
          <w:p>
            <w:pPr>
              <w:spacing w:after="0" w:line="20" w:lineRule="exact"/>
              <w:rPr>
                <w:sz w:val="1"/>
                <w:szCs w:val="1"/>
                <w:color w:val="auto"/>
              </w:rPr>
            </w:pPr>
          </w:p>
        </w:tc>
        <w:tc>
          <w:tcPr>
            <w:tcW w:w="120" w:type="dxa"/>
            <w:vAlign w:val="bottom"/>
            <w:shd w:val="clear" w:color="auto" w:fill="001641"/>
          </w:tcPr>
          <w:p>
            <w:pPr>
              <w:spacing w:after="0" w:line="20" w:lineRule="exact"/>
              <w:rPr>
                <w:sz w:val="1"/>
                <w:szCs w:val="1"/>
                <w:color w:val="auto"/>
              </w:rPr>
            </w:pPr>
          </w:p>
        </w:tc>
        <w:tc>
          <w:tcPr>
            <w:tcW w:w="880" w:type="dxa"/>
            <w:vAlign w:val="bottom"/>
            <w:shd w:val="clear" w:color="auto" w:fill="001641"/>
          </w:tcPr>
          <w:p>
            <w:pPr>
              <w:spacing w:after="0" w:line="20" w:lineRule="exact"/>
              <w:rPr>
                <w:sz w:val="1"/>
                <w:szCs w:val="1"/>
                <w:color w:val="auto"/>
              </w:rPr>
            </w:pPr>
          </w:p>
        </w:tc>
        <w:tc>
          <w:tcPr>
            <w:tcW w:w="120" w:type="dxa"/>
            <w:vAlign w:val="bottom"/>
            <w:shd w:val="clear" w:color="auto" w:fill="001641"/>
          </w:tcPr>
          <w:p>
            <w:pPr>
              <w:spacing w:after="0" w:line="20" w:lineRule="exact"/>
              <w:rPr>
                <w:sz w:val="1"/>
                <w:szCs w:val="1"/>
                <w:color w:val="auto"/>
              </w:rPr>
            </w:pPr>
          </w:p>
        </w:tc>
        <w:tc>
          <w:tcPr>
            <w:tcW w:w="820" w:type="dxa"/>
            <w:vAlign w:val="bottom"/>
            <w:shd w:val="clear" w:color="auto" w:fill="001641"/>
          </w:tcPr>
          <w:p>
            <w:pPr>
              <w:spacing w:after="0" w:line="20" w:lineRule="exact"/>
              <w:rPr>
                <w:sz w:val="1"/>
                <w:szCs w:val="1"/>
                <w:color w:val="auto"/>
              </w:rPr>
            </w:pPr>
          </w:p>
        </w:tc>
        <w:tc>
          <w:tcPr>
            <w:tcW w:w="800" w:type="dxa"/>
            <w:vAlign w:val="bottom"/>
            <w:shd w:val="clear" w:color="auto" w:fill="00164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1280795</wp:posOffset>
            </wp:positionH>
            <wp:positionV relativeFrom="paragraph">
              <wp:posOffset>-5013960</wp:posOffset>
            </wp:positionV>
            <wp:extent cx="301752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65" w:lineRule="exact"/>
        <w:rPr>
          <w:sz w:val="20"/>
          <w:szCs w:val="20"/>
          <w:color w:val="auto"/>
        </w:rPr>
      </w:pPr>
    </w:p>
    <w:p>
      <w:pPr>
        <w:jc w:val="both"/>
        <w:ind w:left="400" w:right="420" w:hanging="246"/>
        <w:spacing w:after="0" w:line="263" w:lineRule="auto"/>
        <w:tabs>
          <w:tab w:leader="none" w:pos="400" w:val="left"/>
        </w:tabs>
        <w:numPr>
          <w:ilvl w:val="0"/>
          <w:numId w:val="74"/>
        </w:numPr>
        <w:rPr>
          <w:rFonts w:ascii="Arial" w:cs="Arial" w:eastAsia="Arial" w:hAnsi="Arial"/>
          <w:sz w:val="14"/>
          <w:szCs w:val="14"/>
          <w:color w:val="4C4C4C"/>
        </w:rPr>
      </w:pPr>
      <w:r>
        <w:rPr>
          <w:rFonts w:ascii="Arial" w:cs="Arial" w:eastAsia="Arial" w:hAnsi="Arial"/>
          <w:sz w:val="14"/>
          <w:szCs w:val="14"/>
          <w:color w:val="4C4C4C"/>
        </w:rPr>
        <w:t>Represents grants of incentive awards under the Company’s EOAIP. See “Compensation Discussion and Analysis – Key Components of Executive Compensation – Compensation Element: Short-Term Annual Incentive Awards” for a description of the material terms of these awards.</w:t>
      </w:r>
    </w:p>
    <w:p>
      <w:pPr>
        <w:spacing w:after="0" w:line="10" w:lineRule="exact"/>
        <w:rPr>
          <w:rFonts w:ascii="Arial" w:cs="Arial" w:eastAsia="Arial" w:hAnsi="Arial"/>
          <w:sz w:val="14"/>
          <w:szCs w:val="14"/>
          <w:color w:val="4C4C4C"/>
        </w:rPr>
      </w:pPr>
    </w:p>
    <w:p>
      <w:pPr>
        <w:ind w:left="400" w:right="320" w:hanging="246"/>
        <w:spacing w:after="0" w:line="263" w:lineRule="auto"/>
        <w:tabs>
          <w:tab w:leader="none" w:pos="400" w:val="left"/>
        </w:tabs>
        <w:numPr>
          <w:ilvl w:val="0"/>
          <w:numId w:val="74"/>
        </w:numPr>
        <w:rPr>
          <w:rFonts w:ascii="Arial" w:cs="Arial" w:eastAsia="Arial" w:hAnsi="Arial"/>
          <w:sz w:val="14"/>
          <w:szCs w:val="14"/>
          <w:color w:val="4C4C4C"/>
        </w:rPr>
      </w:pPr>
      <w:r>
        <w:rPr>
          <w:rFonts w:ascii="Arial" w:cs="Arial" w:eastAsia="Arial" w:hAnsi="Arial"/>
          <w:sz w:val="14"/>
          <w:szCs w:val="14"/>
          <w:color w:val="4C4C4C"/>
        </w:rPr>
        <w:t>Represents the number of PSUs-Adjusted ROIC and PSUs-Relative TSR that were granted in Fiscal 2026 under our 2019 Stock Incentive Plan. See “Compensation Discussion and Analysis-Key Components of Executive Compensation-Compensation Element: Long-Term Equity-Based Incentives-Fiscal 2026” for a description of the material terms of these awards.</w:t>
      </w:r>
    </w:p>
    <w:p>
      <w:pPr>
        <w:spacing w:after="0" w:line="10" w:lineRule="exact"/>
        <w:rPr>
          <w:rFonts w:ascii="Arial" w:cs="Arial" w:eastAsia="Arial" w:hAnsi="Arial"/>
          <w:sz w:val="14"/>
          <w:szCs w:val="14"/>
          <w:color w:val="4C4C4C"/>
        </w:rPr>
      </w:pPr>
    </w:p>
    <w:p>
      <w:pPr>
        <w:ind w:left="400" w:hanging="246"/>
        <w:spacing w:after="0"/>
        <w:tabs>
          <w:tab w:leader="none" w:pos="400" w:val="left"/>
        </w:tabs>
        <w:numPr>
          <w:ilvl w:val="0"/>
          <w:numId w:val="74"/>
        </w:numPr>
        <w:rPr>
          <w:rFonts w:ascii="Arial" w:cs="Arial" w:eastAsia="Arial" w:hAnsi="Arial"/>
          <w:sz w:val="14"/>
          <w:szCs w:val="14"/>
          <w:color w:val="4C4C4C"/>
        </w:rPr>
      </w:pPr>
      <w:r>
        <w:rPr>
          <w:rFonts w:ascii="Arial" w:cs="Arial" w:eastAsia="Arial" w:hAnsi="Arial"/>
          <w:sz w:val="14"/>
          <w:szCs w:val="14"/>
          <w:color w:val="4C4C4C"/>
        </w:rPr>
        <w:t>Represents a PSU grant where performance is based on Adjusted ROIC.</w:t>
      </w:r>
    </w:p>
    <w:p>
      <w:pPr>
        <w:spacing w:after="0" w:line="55" w:lineRule="exact"/>
        <w:rPr>
          <w:rFonts w:ascii="Arial" w:cs="Arial" w:eastAsia="Arial" w:hAnsi="Arial"/>
          <w:sz w:val="14"/>
          <w:szCs w:val="14"/>
          <w:color w:val="4C4C4C"/>
        </w:rPr>
      </w:pPr>
    </w:p>
    <w:p>
      <w:pPr>
        <w:ind w:left="400" w:hanging="246"/>
        <w:spacing w:after="0"/>
        <w:tabs>
          <w:tab w:leader="none" w:pos="400" w:val="left"/>
        </w:tabs>
        <w:numPr>
          <w:ilvl w:val="0"/>
          <w:numId w:val="74"/>
        </w:numPr>
        <w:rPr>
          <w:rFonts w:ascii="Arial" w:cs="Arial" w:eastAsia="Arial" w:hAnsi="Arial"/>
          <w:sz w:val="14"/>
          <w:szCs w:val="14"/>
          <w:color w:val="4C4C4C"/>
        </w:rPr>
      </w:pPr>
      <w:r>
        <w:rPr>
          <w:rFonts w:ascii="Arial" w:cs="Arial" w:eastAsia="Arial" w:hAnsi="Arial"/>
          <w:sz w:val="14"/>
          <w:szCs w:val="14"/>
          <w:color w:val="4C4C4C"/>
        </w:rPr>
        <w:t>Represents a PSU grant where performance is based on Relative TSR.</w:t>
      </w:r>
    </w:p>
    <w:p>
      <w:pPr>
        <w:spacing w:after="0" w:line="55" w:lineRule="exact"/>
        <w:rPr>
          <w:rFonts w:ascii="Arial" w:cs="Arial" w:eastAsia="Arial" w:hAnsi="Arial"/>
          <w:sz w:val="14"/>
          <w:szCs w:val="14"/>
          <w:color w:val="4C4C4C"/>
        </w:rPr>
      </w:pPr>
    </w:p>
    <w:p>
      <w:pPr>
        <w:ind w:left="400" w:hanging="246"/>
        <w:spacing w:after="0"/>
        <w:tabs>
          <w:tab w:leader="none" w:pos="400" w:val="left"/>
        </w:tabs>
        <w:numPr>
          <w:ilvl w:val="0"/>
          <w:numId w:val="74"/>
        </w:numPr>
        <w:rPr>
          <w:rFonts w:ascii="Arial" w:cs="Arial" w:eastAsia="Arial" w:hAnsi="Arial"/>
          <w:sz w:val="14"/>
          <w:szCs w:val="14"/>
          <w:color w:val="4C4C4C"/>
        </w:rPr>
      </w:pPr>
      <w:r>
        <w:rPr>
          <w:rFonts w:ascii="Arial" w:cs="Arial" w:eastAsia="Arial" w:hAnsi="Arial"/>
          <w:sz w:val="14"/>
          <w:szCs w:val="14"/>
          <w:color w:val="4C4C4C"/>
        </w:rPr>
        <w:t>Represents an RSU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143510</wp:posOffset>
            </wp:positionV>
            <wp:extent cx="582930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280670</wp:posOffset>
            </wp:positionV>
            <wp:extent cx="128905" cy="11112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6700"/>
        <w:spacing w:after="0"/>
        <w:tabs>
          <w:tab w:leader="none" w:pos="916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126365</wp:posOffset>
            </wp:positionV>
            <wp:extent cx="6995160"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14" w:right="1199" w:bottom="1440" w:gutter="0" w:footer="0" w:header="0"/>
        </w:sectPr>
      </w:pPr>
    </w:p>
    <w:bookmarkStart w:id="98" w:name="page99"/>
    <w:bookmarkEnd w:id="9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EXECUTIVE EMPLOYMENT AGREEMENTS AND COMPENSATORY ARRANGEMENTS</w:t>
      </w:r>
    </w:p>
    <w:p>
      <w:pPr>
        <w:spacing w:after="0" w:line="153" w:lineRule="exact"/>
        <w:rPr>
          <w:sz w:val="20"/>
          <w:szCs w:val="20"/>
          <w:color w:val="auto"/>
        </w:rPr>
      </w:pPr>
    </w:p>
    <w:p>
      <w:pPr>
        <w:ind w:left="6" w:right="20"/>
        <w:spacing w:after="0" w:line="259" w:lineRule="auto"/>
        <w:rPr>
          <w:sz w:val="20"/>
          <w:szCs w:val="20"/>
          <w:color w:val="auto"/>
        </w:rPr>
      </w:pPr>
      <w:r>
        <w:rPr>
          <w:rFonts w:ascii="Arial" w:cs="Arial" w:eastAsia="Arial" w:hAnsi="Arial"/>
          <w:sz w:val="16"/>
          <w:szCs w:val="16"/>
          <w:b w:val="1"/>
          <w:bCs w:val="1"/>
          <w:color w:val="auto"/>
        </w:rPr>
        <w:t xml:space="preserve">Ralph Lauren’s Employment Agreement. </w:t>
      </w:r>
      <w:r>
        <w:rPr>
          <w:rFonts w:ascii="Arial" w:cs="Arial" w:eastAsia="Arial" w:hAnsi="Arial"/>
          <w:sz w:val="16"/>
          <w:szCs w:val="16"/>
          <w:color w:val="auto"/>
        </w:rPr>
        <w:t>During Fiscal 2026, Ralph Lauren was employed as our Executive Chairman and</w:t>
      </w:r>
      <w:r>
        <w:rPr>
          <w:rFonts w:ascii="Arial" w:cs="Arial" w:eastAsia="Arial" w:hAnsi="Arial"/>
          <w:sz w:val="16"/>
          <w:szCs w:val="16"/>
          <w:b w:val="1"/>
          <w:bCs w:val="1"/>
          <w:color w:val="auto"/>
        </w:rPr>
        <w:t xml:space="preserve"> </w:t>
      </w:r>
      <w:r>
        <w:rPr>
          <w:rFonts w:ascii="Arial" w:cs="Arial" w:eastAsia="Arial" w:hAnsi="Arial"/>
          <w:sz w:val="16"/>
          <w:szCs w:val="16"/>
          <w:color w:val="auto"/>
        </w:rPr>
        <w:t>Chief Creative Officer pursuant to an employment agreement made effective as of April 2, 2017, as amended June 16, 2020, and again on June 16, 2021 (the “R. Lauren Employment Agreement”). The key terms of the R. Lauren Employment Agreement are indicated below:</w:t>
      </w:r>
    </w:p>
    <w:p>
      <w:pPr>
        <w:spacing w:after="0" w:line="124" w:lineRule="exact"/>
        <w:rPr>
          <w:sz w:val="20"/>
          <w:szCs w:val="20"/>
          <w:color w:val="auto"/>
        </w:rPr>
      </w:pPr>
    </w:p>
    <w:p>
      <w:pPr>
        <w:ind w:left="166" w:right="300" w:hanging="166"/>
        <w:spacing w:after="0" w:line="286" w:lineRule="auto"/>
        <w:tabs>
          <w:tab w:leader="none" w:pos="166"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R. Lauren Employment Agreement provides for his employment through April 3, 2027, the last day of our 2027</w:t>
      </w:r>
      <w:r>
        <w:rPr>
          <w:rFonts w:ascii="Arial" w:cs="Arial" w:eastAsia="Arial" w:hAnsi="Arial"/>
          <w:sz w:val="16"/>
          <w:szCs w:val="16"/>
          <w:b w:val="1"/>
          <w:bCs w:val="1"/>
          <w:color w:val="auto"/>
        </w:rPr>
        <w:t xml:space="preserve"> </w:t>
      </w:r>
      <w:r>
        <w:rPr>
          <w:rFonts w:ascii="Arial" w:cs="Arial" w:eastAsia="Arial" w:hAnsi="Arial"/>
          <w:sz w:val="16"/>
          <w:szCs w:val="16"/>
          <w:color w:val="auto"/>
        </w:rPr>
        <w:t>fiscal year.</w:t>
      </w:r>
    </w:p>
    <w:p>
      <w:pPr>
        <w:spacing w:after="0" w:line="61" w:lineRule="exact"/>
        <w:rPr>
          <w:rFonts w:ascii="Arial" w:cs="Arial" w:eastAsia="Arial" w:hAnsi="Arial"/>
          <w:sz w:val="16"/>
          <w:szCs w:val="16"/>
          <w:color w:val="auto"/>
        </w:rPr>
      </w:pPr>
    </w:p>
    <w:p>
      <w:pPr>
        <w:ind w:left="166" w:hanging="166"/>
        <w:spacing w:after="0"/>
        <w:tabs>
          <w:tab w:leader="none" w:pos="166"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Salary: </w:t>
      </w:r>
      <w:r>
        <w:rPr>
          <w:rFonts w:ascii="Arial" w:cs="Arial" w:eastAsia="Arial" w:hAnsi="Arial"/>
          <w:sz w:val="16"/>
          <w:szCs w:val="16"/>
          <w:color w:val="auto"/>
        </w:rPr>
        <w:t>He is entitled to an annual base salary of not less than $1.75 million.</w:t>
      </w:r>
    </w:p>
    <w:p>
      <w:pPr>
        <w:spacing w:after="0" w:line="140" w:lineRule="exact"/>
        <w:rPr>
          <w:rFonts w:ascii="Arial" w:cs="Arial" w:eastAsia="Arial" w:hAnsi="Arial"/>
          <w:sz w:val="16"/>
          <w:szCs w:val="16"/>
          <w:color w:val="auto"/>
        </w:rPr>
      </w:pPr>
    </w:p>
    <w:p>
      <w:pPr>
        <w:ind w:left="166" w:right="440" w:hanging="166"/>
        <w:spacing w:after="0" w:line="286" w:lineRule="auto"/>
        <w:tabs>
          <w:tab w:leader="none" w:pos="166"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Bonus: </w:t>
      </w:r>
      <w:r>
        <w:rPr>
          <w:rFonts w:ascii="Arial" w:cs="Arial" w:eastAsia="Arial" w:hAnsi="Arial"/>
          <w:sz w:val="16"/>
          <w:szCs w:val="16"/>
          <w:color w:val="auto"/>
        </w:rPr>
        <w:t>His target bonus is in the amount of $6 million for each of the fiscal years during the term of his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maximum bonus provided for under his agreement in any fiscal year is 200% of that fiscal year’s target bonus.</w:t>
      </w:r>
    </w:p>
    <w:p>
      <w:pPr>
        <w:spacing w:after="0" w:line="61" w:lineRule="exact"/>
        <w:rPr>
          <w:rFonts w:ascii="Arial" w:cs="Arial" w:eastAsia="Arial" w:hAnsi="Arial"/>
          <w:sz w:val="16"/>
          <w:szCs w:val="16"/>
          <w:color w:val="auto"/>
        </w:rPr>
      </w:pPr>
    </w:p>
    <w:p>
      <w:pPr>
        <w:ind w:left="166" w:right="20" w:hanging="166"/>
        <w:spacing w:after="0" w:line="249" w:lineRule="auto"/>
        <w:tabs>
          <w:tab w:leader="none" w:pos="166"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Equity Awards: </w:t>
      </w:r>
      <w:r>
        <w:rPr>
          <w:rFonts w:ascii="Arial" w:cs="Arial" w:eastAsia="Arial" w:hAnsi="Arial"/>
          <w:sz w:val="16"/>
          <w:szCs w:val="16"/>
          <w:color w:val="auto"/>
        </w:rPr>
        <w:t>He receives an annual stock award grant with an aggregate target grant date fair market value of $11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each fiscal year during the term of the agreement. PSUs make up 100% of the awards, except in the case of Fiscal 2021 pursuant to the R. Lauren Amendment, as noted below. Each PSU award vests at the end of a three-year performance period, subject to his continued employment with us and our achievement of our performance goals (except in certain circumstances subject to accelerated vesting upon the termination of his employment as discussed below in “Potential Payments Upon Termination or Change in Control — Ralph Lauren”). Three levels of achievement are used to determine vesting: threshold, target, and maximum. The threshold level must be achieved in order for any PSUs to vest and be provided to him at the end of the applicable vesting period. If performance is at the threshold level, 75% of Mr. R. Lauren’s target shares plus accrued dividends will vest and be paid out. If performance is at the target level, then his target shares plus accrued dividends will vest and be paid out. If performance is at the maximum level, then 150% of the target shares plus accrued dividends will vest and be paid out. Vesting with respect to his PSUs shall be interpolated for performance between the threshold and maximum goals and none of his PSUs shall vest for performance below threshold goal(s). The aforementioned PSU award are subject to different performance conditions as set by the Talent Committee during any fiscal year that must be no less favorable than those applicable to PSUs granted to any other Named Executive Officers in respect of such fiscal year.</w:t>
      </w:r>
    </w:p>
    <w:p>
      <w:pPr>
        <w:spacing w:after="0" w:line="284" w:lineRule="exact"/>
        <w:rPr>
          <w:rFonts w:ascii="Arial" w:cs="Arial" w:eastAsia="Arial" w:hAnsi="Arial"/>
          <w:sz w:val="16"/>
          <w:szCs w:val="16"/>
          <w:color w:val="auto"/>
        </w:rPr>
      </w:pPr>
    </w:p>
    <w:p>
      <w:pPr>
        <w:ind w:left="166" w:hanging="166"/>
        <w:spacing w:after="0" w:line="256" w:lineRule="auto"/>
        <w:tabs>
          <w:tab w:leader="none" w:pos="166"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Other Benefits: </w:t>
      </w:r>
      <w:r>
        <w:rPr>
          <w:rFonts w:ascii="Arial" w:cs="Arial" w:eastAsia="Arial" w:hAnsi="Arial"/>
          <w:sz w:val="16"/>
          <w:szCs w:val="16"/>
          <w:color w:val="auto"/>
        </w:rPr>
        <w:t>He is required for security purposes to use his or other acceptable private aircraft for any travel. In addition to</w:t>
      </w:r>
      <w:r>
        <w:rPr>
          <w:rFonts w:ascii="Arial" w:cs="Arial" w:eastAsia="Arial" w:hAnsi="Arial"/>
          <w:sz w:val="16"/>
          <w:szCs w:val="16"/>
          <w:b w:val="1"/>
          <w:bCs w:val="1"/>
          <w:color w:val="auto"/>
        </w:rPr>
        <w:t xml:space="preserve"> </w:t>
      </w:r>
      <w:r>
        <w:rPr>
          <w:rFonts w:ascii="Arial" w:cs="Arial" w:eastAsia="Arial" w:hAnsi="Arial"/>
          <w:sz w:val="16"/>
          <w:szCs w:val="16"/>
          <w:color w:val="auto"/>
        </w:rPr>
        <w:t>being entitled to reimbursement for any aircraft travel expenses he incurs which were business-related, he is also entitled to reimbursement for any personal aircraft travel expenses which he incurs, without any tax gross-up, up to a maximum aggregate amount of $200,000 per fiscal year. Mr. R. Lauren is also entitled to a car and driver paid by us, and is eligible to participate in all employee benefit plans and arrangements made available to our senior executive officers.</w:t>
      </w:r>
    </w:p>
    <w:p>
      <w:pPr>
        <w:spacing w:after="0" w:line="98" w:lineRule="exact"/>
        <w:rPr>
          <w:rFonts w:ascii="Arial" w:cs="Arial" w:eastAsia="Arial" w:hAnsi="Arial"/>
          <w:sz w:val="16"/>
          <w:szCs w:val="16"/>
          <w:color w:val="auto"/>
        </w:rPr>
      </w:pPr>
    </w:p>
    <w:p>
      <w:pPr>
        <w:ind w:left="166" w:right="240" w:hanging="166"/>
        <w:spacing w:after="0" w:line="286" w:lineRule="auto"/>
        <w:tabs>
          <w:tab w:leader="none" w:pos="166"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Non-compete: </w:t>
      </w:r>
      <w:r>
        <w:rPr>
          <w:rFonts w:ascii="Arial" w:cs="Arial" w:eastAsia="Arial" w:hAnsi="Arial"/>
          <w:sz w:val="16"/>
          <w:szCs w:val="16"/>
          <w:color w:val="auto"/>
        </w:rPr>
        <w:t>He is prohibited from competing with us anywhere in the world during the term of his employment and for a</w:t>
      </w:r>
      <w:r>
        <w:rPr>
          <w:rFonts w:ascii="Arial" w:cs="Arial" w:eastAsia="Arial" w:hAnsi="Arial"/>
          <w:sz w:val="16"/>
          <w:szCs w:val="16"/>
          <w:b w:val="1"/>
          <w:bCs w:val="1"/>
          <w:color w:val="auto"/>
        </w:rPr>
        <w:t xml:space="preserve"> </w:t>
      </w:r>
      <w:r>
        <w:rPr>
          <w:rFonts w:ascii="Arial" w:cs="Arial" w:eastAsia="Arial" w:hAnsi="Arial"/>
          <w:sz w:val="16"/>
          <w:szCs w:val="16"/>
          <w:color w:val="auto"/>
        </w:rPr>
        <w:t>period of two years after the termination of his employment, for any reason.</w:t>
      </w:r>
    </w:p>
    <w:p>
      <w:pPr>
        <w:spacing w:after="0" w:line="102" w:lineRule="exact"/>
        <w:rPr>
          <w:sz w:val="20"/>
          <w:szCs w:val="20"/>
          <w:color w:val="auto"/>
        </w:rPr>
      </w:pPr>
    </w:p>
    <w:p>
      <w:pPr>
        <w:ind w:left="6"/>
        <w:spacing w:after="0" w:line="286" w:lineRule="auto"/>
        <w:rPr>
          <w:sz w:val="20"/>
          <w:szCs w:val="20"/>
          <w:color w:val="auto"/>
        </w:rPr>
      </w:pPr>
      <w:r>
        <w:rPr>
          <w:rFonts w:ascii="Arial" w:cs="Arial" w:eastAsia="Arial" w:hAnsi="Arial"/>
          <w:sz w:val="16"/>
          <w:szCs w:val="16"/>
          <w:color w:val="auto"/>
        </w:rPr>
        <w:t>See “Potential Payments Upon Termination or Change in Control” for a discussion of severance and change in control payments payable to Mr. R. Lauren under the Lauren Employment Agreement, as modified by the R. Lauren Amendment.</w:t>
      </w:r>
    </w:p>
    <w:p>
      <w:pPr>
        <w:spacing w:after="0" w:line="102" w:lineRule="exact"/>
        <w:rPr>
          <w:sz w:val="20"/>
          <w:szCs w:val="20"/>
          <w:color w:val="auto"/>
        </w:rPr>
      </w:pPr>
    </w:p>
    <w:p>
      <w:pPr>
        <w:ind w:left="6"/>
        <w:spacing w:after="0" w:line="259" w:lineRule="auto"/>
        <w:rPr>
          <w:sz w:val="20"/>
          <w:szCs w:val="20"/>
          <w:color w:val="auto"/>
        </w:rPr>
      </w:pPr>
      <w:r>
        <w:rPr>
          <w:rFonts w:ascii="Arial" w:cs="Arial" w:eastAsia="Arial" w:hAnsi="Arial"/>
          <w:sz w:val="16"/>
          <w:szCs w:val="16"/>
          <w:b w:val="1"/>
          <w:bCs w:val="1"/>
          <w:color w:val="auto"/>
        </w:rPr>
        <w:t xml:space="preserve">Patrice Louvet’s Employment Agreement. </w:t>
      </w:r>
      <w:r>
        <w:rPr>
          <w:rFonts w:ascii="Arial" w:cs="Arial" w:eastAsia="Arial" w:hAnsi="Arial"/>
          <w:sz w:val="16"/>
          <w:szCs w:val="16"/>
          <w:color w:val="auto"/>
        </w:rPr>
        <w:t>During Fiscal 2026, we employed Mr. Louvet as our President and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pursuant to an employment agreement dated May 11, 2017, and made effective as of July 3, 2017, and amended as of June 10, 2017, June 17, 2020, August 1, 2021, August 4, 2023, and August 4, 2025 (the “Louvet Employment Agreement”). The key terms of the Louvet Employment Agreement are indicated below:</w:t>
      </w:r>
    </w:p>
    <w:p>
      <w:pPr>
        <w:spacing w:after="0" w:line="124" w:lineRule="exact"/>
        <w:rPr>
          <w:sz w:val="20"/>
          <w:szCs w:val="20"/>
          <w:color w:val="auto"/>
        </w:rPr>
      </w:pPr>
    </w:p>
    <w:p>
      <w:pPr>
        <w:ind w:left="166" w:right="100" w:hanging="166"/>
        <w:spacing w:after="0" w:line="286" w:lineRule="auto"/>
        <w:tabs>
          <w:tab w:leader="none" w:pos="166"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Louvet Employment Agreement provides that Mr. Louvet will remain employed until such time as he is terminated</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the terms of the Louvet Employment Agreement.</w:t>
      </w:r>
    </w:p>
    <w:p>
      <w:pPr>
        <w:spacing w:after="0" w:line="61" w:lineRule="exact"/>
        <w:rPr>
          <w:rFonts w:ascii="Arial" w:cs="Arial" w:eastAsia="Arial" w:hAnsi="Arial"/>
          <w:sz w:val="16"/>
          <w:szCs w:val="16"/>
          <w:color w:val="auto"/>
        </w:rPr>
      </w:pPr>
    </w:p>
    <w:p>
      <w:pPr>
        <w:ind w:left="166" w:hanging="166"/>
        <w:spacing w:after="0"/>
        <w:tabs>
          <w:tab w:leader="none" w:pos="166"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Salary: </w:t>
      </w:r>
      <w:r>
        <w:rPr>
          <w:rFonts w:ascii="Arial" w:cs="Arial" w:eastAsia="Arial" w:hAnsi="Arial"/>
          <w:sz w:val="16"/>
          <w:szCs w:val="16"/>
          <w:color w:val="auto"/>
        </w:rPr>
        <w:t>He is entitled to a base salary of not less than $1.35 million.</w:t>
      </w:r>
    </w:p>
    <w:p>
      <w:pPr>
        <w:spacing w:after="0" w:line="126" w:lineRule="exact"/>
        <w:rPr>
          <w:rFonts w:ascii="Arial" w:cs="Arial" w:eastAsia="Arial" w:hAnsi="Arial"/>
          <w:sz w:val="16"/>
          <w:szCs w:val="16"/>
          <w:color w:val="auto"/>
        </w:rPr>
      </w:pPr>
    </w:p>
    <w:p>
      <w:pPr>
        <w:ind w:left="166" w:right="80" w:hanging="166"/>
        <w:spacing w:after="0" w:line="286" w:lineRule="auto"/>
        <w:tabs>
          <w:tab w:leader="none" w:pos="166"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Bonus: </w:t>
      </w:r>
      <w:r>
        <w:rPr>
          <w:rFonts w:ascii="Arial" w:cs="Arial" w:eastAsia="Arial" w:hAnsi="Arial"/>
          <w:sz w:val="16"/>
          <w:szCs w:val="16"/>
          <w:color w:val="auto"/>
        </w:rPr>
        <w:t>He is entitled to an annual incentive bonus opportunity under the terms of the EOAIP, with a target bonus of 300% of</w:t>
      </w:r>
      <w:r>
        <w:rPr>
          <w:rFonts w:ascii="Arial" w:cs="Arial" w:eastAsia="Arial" w:hAnsi="Arial"/>
          <w:sz w:val="16"/>
          <w:szCs w:val="16"/>
          <w:b w:val="1"/>
          <w:bCs w:val="1"/>
          <w:color w:val="auto"/>
        </w:rPr>
        <w:t xml:space="preserve"> </w:t>
      </w:r>
      <w:r>
        <w:rPr>
          <w:rFonts w:ascii="Arial" w:cs="Arial" w:eastAsia="Arial" w:hAnsi="Arial"/>
          <w:sz w:val="16"/>
          <w:szCs w:val="16"/>
          <w:color w:val="auto"/>
        </w:rPr>
        <w:t>annual base salary and a maximum of 600% of annual base salary.</w:t>
      </w:r>
    </w:p>
    <w:p>
      <w:pPr>
        <w:spacing w:after="0" w:line="74" w:lineRule="exact"/>
        <w:rPr>
          <w:rFonts w:ascii="Arial" w:cs="Arial" w:eastAsia="Arial" w:hAnsi="Arial"/>
          <w:sz w:val="16"/>
          <w:szCs w:val="16"/>
          <w:color w:val="auto"/>
        </w:rPr>
      </w:pPr>
    </w:p>
    <w:p>
      <w:pPr>
        <w:ind w:left="166" w:right="260" w:hanging="166"/>
        <w:spacing w:after="0" w:line="286" w:lineRule="auto"/>
        <w:tabs>
          <w:tab w:leader="none" w:pos="166"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Equity Awards: </w:t>
      </w:r>
      <w:r>
        <w:rPr>
          <w:rFonts w:ascii="Arial" w:cs="Arial" w:eastAsia="Arial" w:hAnsi="Arial"/>
          <w:sz w:val="16"/>
          <w:szCs w:val="16"/>
          <w:color w:val="auto"/>
        </w:rPr>
        <w:t>Mr. Louvet is eligible to receive annual equity awards pursuant to the terms of the Company’s 2019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Plan with an aggregate target value of $14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66"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88</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760"/>
            <wp:effectExtent l="0" t="0" r="0" b="0"/>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99" w:name="page100"/>
    <w:bookmarkEnd w:id="9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jc w:val="both"/>
        <w:ind w:left="166" w:right="380" w:hanging="166"/>
        <w:spacing w:after="0" w:line="266" w:lineRule="auto"/>
        <w:tabs>
          <w:tab w:leader="none" w:pos="166"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 xml:space="preserve">Other Benefits: </w:t>
      </w:r>
      <w:r>
        <w:rPr>
          <w:rFonts w:ascii="Arial" w:cs="Arial" w:eastAsia="Arial" w:hAnsi="Arial"/>
          <w:sz w:val="16"/>
          <w:szCs w:val="16"/>
          <w:color w:val="auto"/>
        </w:rPr>
        <w:t>He is eligible to participate in all employee benefit plans and arrangements made available to our senior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and receives pay for his travel to and from the Company offices pursuant to a Company-approved car service.</w:t>
      </w:r>
    </w:p>
    <w:p>
      <w:pPr>
        <w:spacing w:after="0" w:line="76" w:lineRule="exact"/>
        <w:rPr>
          <w:rFonts w:ascii="Arial" w:cs="Arial" w:eastAsia="Arial" w:hAnsi="Arial"/>
          <w:sz w:val="16"/>
          <w:szCs w:val="16"/>
          <w:color w:val="auto"/>
        </w:rPr>
      </w:pPr>
    </w:p>
    <w:p>
      <w:pPr>
        <w:ind w:left="166" w:right="420" w:hanging="166"/>
        <w:spacing w:after="0" w:line="286" w:lineRule="auto"/>
        <w:tabs>
          <w:tab w:leader="none" w:pos="166"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 xml:space="preserve">Non-compete: </w:t>
      </w:r>
      <w:r>
        <w:rPr>
          <w:rFonts w:ascii="Arial" w:cs="Arial" w:eastAsia="Arial" w:hAnsi="Arial"/>
          <w:sz w:val="16"/>
          <w:szCs w:val="16"/>
          <w:color w:val="auto"/>
        </w:rPr>
        <w:t>If Mr. Louvet’s employment terminates for any reason, he may not compete with us for one year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his employment.</w:t>
      </w:r>
    </w:p>
    <w:p>
      <w:pPr>
        <w:spacing w:after="0" w:line="102" w:lineRule="exact"/>
        <w:rPr>
          <w:sz w:val="20"/>
          <w:szCs w:val="20"/>
          <w:color w:val="auto"/>
        </w:rPr>
      </w:pPr>
    </w:p>
    <w:p>
      <w:pPr>
        <w:ind w:left="6" w:right="20"/>
        <w:spacing w:after="0" w:line="286" w:lineRule="auto"/>
        <w:rPr>
          <w:sz w:val="20"/>
          <w:szCs w:val="20"/>
          <w:color w:val="auto"/>
        </w:rPr>
      </w:pPr>
      <w:r>
        <w:rPr>
          <w:rFonts w:ascii="Arial" w:cs="Arial" w:eastAsia="Arial" w:hAnsi="Arial"/>
          <w:sz w:val="16"/>
          <w:szCs w:val="16"/>
          <w:color w:val="auto"/>
        </w:rPr>
        <w:t>See “Potential Payments Upon Termination or Change in Control” for a discussion of severance and change in control payments payable to Mr. Louvet under his employment agreement.</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Robert Ranftl’s Employment Agreement.</w:t>
      </w:r>
    </w:p>
    <w:p>
      <w:pPr>
        <w:spacing w:after="0" w:line="167" w:lineRule="exact"/>
        <w:rPr>
          <w:sz w:val="20"/>
          <w:szCs w:val="20"/>
          <w:color w:val="auto"/>
        </w:rPr>
      </w:pPr>
    </w:p>
    <w:p>
      <w:pPr>
        <w:ind w:left="6" w:right="320"/>
        <w:spacing w:after="0" w:line="266" w:lineRule="auto"/>
        <w:rPr>
          <w:sz w:val="20"/>
          <w:szCs w:val="20"/>
          <w:color w:val="auto"/>
        </w:rPr>
      </w:pPr>
      <w:r>
        <w:rPr>
          <w:rFonts w:ascii="Arial" w:cs="Arial" w:eastAsia="Arial" w:hAnsi="Arial"/>
          <w:sz w:val="16"/>
          <w:szCs w:val="16"/>
          <w:color w:val="auto"/>
        </w:rPr>
        <w:t>During Fiscal 2026, we employed Mr. Ranftl as our Chief Operating Officer pursuant to an employment agreement made effective as of May 30, 2025 (the “Ranftl Employment Agreement”). The key terms of the Ranftl Employment Agreement are indicated below:</w:t>
      </w:r>
    </w:p>
    <w:p>
      <w:pPr>
        <w:spacing w:after="0" w:line="117" w:lineRule="exact"/>
        <w:rPr>
          <w:sz w:val="20"/>
          <w:szCs w:val="20"/>
          <w:color w:val="auto"/>
        </w:rPr>
      </w:pPr>
    </w:p>
    <w:p>
      <w:pPr>
        <w:ind w:left="166" w:right="80" w:hanging="166"/>
        <w:spacing w:after="0" w:line="286" w:lineRule="auto"/>
        <w:tabs>
          <w:tab w:leader="none" w:pos="166"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Ranftl Employment Agreement provides that Mr. Ranftl will remain employed until such time as he is terminated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terms of the Ranftl Employment Agreement.</w:t>
      </w:r>
    </w:p>
    <w:p>
      <w:pPr>
        <w:spacing w:after="0" w:line="101" w:lineRule="exact"/>
        <w:rPr>
          <w:rFonts w:ascii="Arial" w:cs="Arial" w:eastAsia="Arial" w:hAnsi="Arial"/>
          <w:sz w:val="16"/>
          <w:szCs w:val="16"/>
          <w:color w:val="auto"/>
        </w:rPr>
      </w:pPr>
    </w:p>
    <w:p>
      <w:pPr>
        <w:ind w:left="166" w:hanging="166"/>
        <w:spacing w:after="0"/>
        <w:tabs>
          <w:tab w:leader="none" w:pos="166"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Salary: </w:t>
      </w:r>
      <w:r>
        <w:rPr>
          <w:rFonts w:ascii="Arial" w:cs="Arial" w:eastAsia="Arial" w:hAnsi="Arial"/>
          <w:sz w:val="16"/>
          <w:szCs w:val="16"/>
          <w:color w:val="auto"/>
        </w:rPr>
        <w:t>He is entitled to an annual base salary of not less than $1,000,000.</w:t>
      </w:r>
    </w:p>
    <w:p>
      <w:pPr>
        <w:spacing w:after="0" w:line="167" w:lineRule="exact"/>
        <w:rPr>
          <w:rFonts w:ascii="Arial" w:cs="Arial" w:eastAsia="Arial" w:hAnsi="Arial"/>
          <w:sz w:val="16"/>
          <w:szCs w:val="16"/>
          <w:color w:val="auto"/>
        </w:rPr>
      </w:pPr>
    </w:p>
    <w:p>
      <w:pPr>
        <w:ind w:left="166" w:right="60" w:hanging="166"/>
        <w:spacing w:after="0" w:line="286" w:lineRule="auto"/>
        <w:tabs>
          <w:tab w:leader="none" w:pos="166"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Bonus: </w:t>
      </w:r>
      <w:r>
        <w:rPr>
          <w:rFonts w:ascii="Arial" w:cs="Arial" w:eastAsia="Arial" w:hAnsi="Arial"/>
          <w:sz w:val="16"/>
          <w:szCs w:val="16"/>
          <w:color w:val="auto"/>
        </w:rPr>
        <w:t>He is eligible for an annual incentive bonus opportunity under the terms of the EOAIP, with a target bonus of 100% of</w:t>
      </w:r>
      <w:r>
        <w:rPr>
          <w:rFonts w:ascii="Arial" w:cs="Arial" w:eastAsia="Arial" w:hAnsi="Arial"/>
          <w:sz w:val="16"/>
          <w:szCs w:val="16"/>
          <w:b w:val="1"/>
          <w:bCs w:val="1"/>
          <w:color w:val="auto"/>
        </w:rPr>
        <w:t xml:space="preserve"> </w:t>
      </w:r>
      <w:r>
        <w:rPr>
          <w:rFonts w:ascii="Arial" w:cs="Arial" w:eastAsia="Arial" w:hAnsi="Arial"/>
          <w:sz w:val="16"/>
          <w:szCs w:val="16"/>
          <w:color w:val="auto"/>
        </w:rPr>
        <w:t>annual base salary and a maximum of 200% of annual base salary.</w:t>
      </w:r>
    </w:p>
    <w:p>
      <w:pPr>
        <w:spacing w:after="0" w:line="101" w:lineRule="exact"/>
        <w:rPr>
          <w:rFonts w:ascii="Arial" w:cs="Arial" w:eastAsia="Arial" w:hAnsi="Arial"/>
          <w:sz w:val="16"/>
          <w:szCs w:val="16"/>
          <w:color w:val="auto"/>
        </w:rPr>
      </w:pPr>
    </w:p>
    <w:p>
      <w:pPr>
        <w:ind w:left="166" w:right="340" w:hanging="166"/>
        <w:spacing w:after="0" w:line="286" w:lineRule="auto"/>
        <w:tabs>
          <w:tab w:leader="none" w:pos="166"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Equity Awards: </w:t>
      </w:r>
      <w:r>
        <w:rPr>
          <w:rFonts w:ascii="Arial" w:cs="Arial" w:eastAsia="Arial" w:hAnsi="Arial"/>
          <w:sz w:val="16"/>
          <w:szCs w:val="16"/>
          <w:color w:val="auto"/>
        </w:rPr>
        <w:t>Mr. Ranftl is eligible to receive annual equity awards pursuant to the terms of the Company’s 2019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Plan with an aggregate target value of $2.25 million.</w:t>
      </w:r>
    </w:p>
    <w:p>
      <w:pPr>
        <w:spacing w:after="0" w:line="101" w:lineRule="exact"/>
        <w:rPr>
          <w:rFonts w:ascii="Arial" w:cs="Arial" w:eastAsia="Arial" w:hAnsi="Arial"/>
          <w:sz w:val="16"/>
          <w:szCs w:val="16"/>
          <w:color w:val="auto"/>
        </w:rPr>
      </w:pPr>
    </w:p>
    <w:p>
      <w:pPr>
        <w:ind w:left="166" w:right="380" w:hanging="166"/>
        <w:spacing w:after="0" w:line="286" w:lineRule="auto"/>
        <w:tabs>
          <w:tab w:leader="none" w:pos="166"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Other Benefits: </w:t>
      </w:r>
      <w:r>
        <w:rPr>
          <w:rFonts w:ascii="Arial" w:cs="Arial" w:eastAsia="Arial" w:hAnsi="Arial"/>
          <w:sz w:val="16"/>
          <w:szCs w:val="16"/>
          <w:color w:val="auto"/>
        </w:rPr>
        <w:t>He is eligible to participate in all employee benefit plans and arrangements made available to our senior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and receives a yearly car allowance of $18,000.</w:t>
      </w:r>
    </w:p>
    <w:p>
      <w:pPr>
        <w:spacing w:after="0" w:line="101" w:lineRule="exact"/>
        <w:rPr>
          <w:rFonts w:ascii="Arial" w:cs="Arial" w:eastAsia="Arial" w:hAnsi="Arial"/>
          <w:sz w:val="16"/>
          <w:szCs w:val="16"/>
          <w:color w:val="auto"/>
        </w:rPr>
      </w:pPr>
    </w:p>
    <w:p>
      <w:pPr>
        <w:ind w:left="166" w:right="100" w:hanging="166"/>
        <w:spacing w:after="0" w:line="286" w:lineRule="auto"/>
        <w:tabs>
          <w:tab w:leader="none" w:pos="166"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Non-compete: </w:t>
      </w:r>
      <w:r>
        <w:rPr>
          <w:rFonts w:ascii="Arial" w:cs="Arial" w:eastAsia="Arial" w:hAnsi="Arial"/>
          <w:sz w:val="16"/>
          <w:szCs w:val="16"/>
          <w:color w:val="auto"/>
        </w:rPr>
        <w:t>If Mr. Ranftl resigns without Good Reason, as defined in the Ranftl Agreement, or if he is terminated for</w:t>
      </w:r>
      <w:r>
        <w:rPr>
          <w:rFonts w:ascii="Arial" w:cs="Arial" w:eastAsia="Arial" w:hAnsi="Arial"/>
          <w:sz w:val="16"/>
          <w:szCs w:val="16"/>
          <w:b w:val="1"/>
          <w:bCs w:val="1"/>
          <w:color w:val="auto"/>
        </w:rPr>
        <w:t xml:space="preserve"> </w:t>
      </w:r>
      <w:r>
        <w:rPr>
          <w:rFonts w:ascii="Arial" w:cs="Arial" w:eastAsia="Arial" w:hAnsi="Arial"/>
          <w:sz w:val="16"/>
          <w:szCs w:val="16"/>
          <w:color w:val="auto"/>
        </w:rPr>
        <w:t>cause, as defined in the Ranftl Agreement, he may not compete with us for one year after the termination of his employment.</w:t>
      </w:r>
    </w:p>
    <w:p>
      <w:pPr>
        <w:spacing w:after="0" w:line="102" w:lineRule="exact"/>
        <w:rPr>
          <w:sz w:val="20"/>
          <w:szCs w:val="20"/>
          <w:color w:val="auto"/>
        </w:rPr>
      </w:pPr>
    </w:p>
    <w:p>
      <w:pPr>
        <w:ind w:left="6" w:right="20"/>
        <w:spacing w:after="0" w:line="286" w:lineRule="auto"/>
        <w:rPr>
          <w:sz w:val="20"/>
          <w:szCs w:val="20"/>
          <w:color w:val="auto"/>
        </w:rPr>
      </w:pPr>
      <w:r>
        <w:rPr>
          <w:rFonts w:ascii="Arial" w:cs="Arial" w:eastAsia="Arial" w:hAnsi="Arial"/>
          <w:sz w:val="16"/>
          <w:szCs w:val="16"/>
          <w:color w:val="auto"/>
        </w:rPr>
        <w:t>See “Potential Payments Upon Termination or Change in Control” for a discussion of severance and change in control payments payable to Mr. Ranftl under the Ranftl Employment Agreement.</w:t>
      </w:r>
    </w:p>
    <w:p>
      <w:pPr>
        <w:spacing w:after="0" w:line="102" w:lineRule="exact"/>
        <w:rPr>
          <w:sz w:val="20"/>
          <w:szCs w:val="20"/>
          <w:color w:val="auto"/>
        </w:rPr>
      </w:pPr>
    </w:p>
    <w:p>
      <w:pPr>
        <w:ind w:left="6" w:right="40"/>
        <w:spacing w:after="0" w:line="266" w:lineRule="auto"/>
        <w:rPr>
          <w:sz w:val="20"/>
          <w:szCs w:val="20"/>
          <w:color w:val="auto"/>
        </w:rPr>
      </w:pPr>
      <w:r>
        <w:rPr>
          <w:rFonts w:ascii="Arial" w:cs="Arial" w:eastAsia="Arial" w:hAnsi="Arial"/>
          <w:sz w:val="16"/>
          <w:szCs w:val="16"/>
          <w:b w:val="1"/>
          <w:bCs w:val="1"/>
          <w:color w:val="auto"/>
        </w:rPr>
        <w:t xml:space="preserve">Justin Picicci’s Employment Agreement. </w:t>
      </w:r>
      <w:r>
        <w:rPr>
          <w:rFonts w:ascii="Arial" w:cs="Arial" w:eastAsia="Arial" w:hAnsi="Arial"/>
          <w:sz w:val="16"/>
          <w:szCs w:val="16"/>
          <w:color w:val="auto"/>
        </w:rPr>
        <w:t>During Fiscal 2026, we employed Mr. Picicci as our Chief Financial Officer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an employment agreement made effective as of May 23, 2024 (the “Picicci Employment Agreement”). The key terms of the Picicci Employment Agreement are indicated below:</w:t>
      </w:r>
    </w:p>
    <w:p>
      <w:pPr>
        <w:spacing w:after="0" w:line="117" w:lineRule="exact"/>
        <w:rPr>
          <w:sz w:val="20"/>
          <w:szCs w:val="20"/>
          <w:color w:val="auto"/>
        </w:rPr>
      </w:pPr>
    </w:p>
    <w:p>
      <w:pPr>
        <w:ind w:left="166" w:right="180" w:hanging="166"/>
        <w:spacing w:after="0" w:line="286" w:lineRule="auto"/>
        <w:tabs>
          <w:tab w:leader="none" w:pos="166"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Picicci Employment Agreement provides that Mr. Picicci will remain employed until such time as he is terminated</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the terms of the Picicci Employment Agreement.</w:t>
      </w:r>
    </w:p>
    <w:p>
      <w:pPr>
        <w:spacing w:after="0" w:line="74" w:lineRule="exact"/>
        <w:rPr>
          <w:rFonts w:ascii="Arial" w:cs="Arial" w:eastAsia="Arial" w:hAnsi="Arial"/>
          <w:sz w:val="16"/>
          <w:szCs w:val="16"/>
          <w:color w:val="auto"/>
        </w:rPr>
      </w:pPr>
    </w:p>
    <w:p>
      <w:pPr>
        <w:ind w:left="166" w:hanging="166"/>
        <w:spacing w:after="0"/>
        <w:tabs>
          <w:tab w:leader="none" w:pos="166"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Salary: </w:t>
      </w:r>
      <w:r>
        <w:rPr>
          <w:rFonts w:ascii="Arial" w:cs="Arial" w:eastAsia="Arial" w:hAnsi="Arial"/>
          <w:sz w:val="16"/>
          <w:szCs w:val="16"/>
          <w:color w:val="auto"/>
        </w:rPr>
        <w:t>He is entitled to an annual base salary of not less than $700,000.</w:t>
      </w:r>
    </w:p>
    <w:p>
      <w:pPr>
        <w:spacing w:after="0" w:line="126" w:lineRule="exact"/>
        <w:rPr>
          <w:rFonts w:ascii="Arial" w:cs="Arial" w:eastAsia="Arial" w:hAnsi="Arial"/>
          <w:sz w:val="16"/>
          <w:szCs w:val="16"/>
          <w:color w:val="auto"/>
        </w:rPr>
      </w:pPr>
    </w:p>
    <w:p>
      <w:pPr>
        <w:ind w:left="166" w:right="60" w:hanging="166"/>
        <w:spacing w:after="0" w:line="286" w:lineRule="auto"/>
        <w:tabs>
          <w:tab w:leader="none" w:pos="166"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Bonus: </w:t>
      </w:r>
      <w:r>
        <w:rPr>
          <w:rFonts w:ascii="Arial" w:cs="Arial" w:eastAsia="Arial" w:hAnsi="Arial"/>
          <w:sz w:val="16"/>
          <w:szCs w:val="16"/>
          <w:color w:val="auto"/>
        </w:rPr>
        <w:t>He is eligible for an annual incentive bonus opportunity under the terms of the EOAIP, with a target bonus of 100% of</w:t>
      </w:r>
      <w:r>
        <w:rPr>
          <w:rFonts w:ascii="Arial" w:cs="Arial" w:eastAsia="Arial" w:hAnsi="Arial"/>
          <w:sz w:val="16"/>
          <w:szCs w:val="16"/>
          <w:b w:val="1"/>
          <w:bCs w:val="1"/>
          <w:color w:val="auto"/>
        </w:rPr>
        <w:t xml:space="preserve"> </w:t>
      </w:r>
      <w:r>
        <w:rPr>
          <w:rFonts w:ascii="Arial" w:cs="Arial" w:eastAsia="Arial" w:hAnsi="Arial"/>
          <w:sz w:val="16"/>
          <w:szCs w:val="16"/>
          <w:color w:val="auto"/>
        </w:rPr>
        <w:t>annual base salary and a maximum of 200% of annual base salary.</w:t>
      </w:r>
    </w:p>
    <w:p>
      <w:pPr>
        <w:spacing w:after="0" w:line="61" w:lineRule="exact"/>
        <w:rPr>
          <w:rFonts w:ascii="Arial" w:cs="Arial" w:eastAsia="Arial" w:hAnsi="Arial"/>
          <w:sz w:val="16"/>
          <w:szCs w:val="16"/>
          <w:color w:val="auto"/>
        </w:rPr>
      </w:pPr>
    </w:p>
    <w:p>
      <w:pPr>
        <w:ind w:left="166" w:right="300" w:hanging="166"/>
        <w:spacing w:after="0" w:line="286" w:lineRule="auto"/>
        <w:tabs>
          <w:tab w:leader="none" w:pos="166"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Equity Awards: </w:t>
      </w:r>
      <w:r>
        <w:rPr>
          <w:rFonts w:ascii="Arial" w:cs="Arial" w:eastAsia="Arial" w:hAnsi="Arial"/>
          <w:sz w:val="16"/>
          <w:szCs w:val="16"/>
          <w:color w:val="auto"/>
        </w:rPr>
        <w:t>Mr. Picicci is eligible to receive annual equity awards pursuant to the terms of the Company’s 2019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Plan with an aggregate target value of $1.2 million.</w:t>
      </w:r>
    </w:p>
    <w:p>
      <w:pPr>
        <w:spacing w:after="0" w:line="74" w:lineRule="exact"/>
        <w:rPr>
          <w:rFonts w:ascii="Arial" w:cs="Arial" w:eastAsia="Arial" w:hAnsi="Arial"/>
          <w:sz w:val="16"/>
          <w:szCs w:val="16"/>
          <w:color w:val="auto"/>
        </w:rPr>
      </w:pPr>
    </w:p>
    <w:p>
      <w:pPr>
        <w:ind w:left="166" w:right="380" w:hanging="166"/>
        <w:spacing w:after="0" w:line="286" w:lineRule="auto"/>
        <w:tabs>
          <w:tab w:leader="none" w:pos="166"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Other Benefits: </w:t>
      </w:r>
      <w:r>
        <w:rPr>
          <w:rFonts w:ascii="Arial" w:cs="Arial" w:eastAsia="Arial" w:hAnsi="Arial"/>
          <w:sz w:val="16"/>
          <w:szCs w:val="16"/>
          <w:color w:val="auto"/>
        </w:rPr>
        <w:t>He is eligible to participate in all employee benefit plans and arrangements made available to our senior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and receives a yearly car allowance of $18,000.</w:t>
      </w:r>
    </w:p>
    <w:p>
      <w:pPr>
        <w:spacing w:after="0" w:line="61" w:lineRule="exact"/>
        <w:rPr>
          <w:rFonts w:ascii="Arial" w:cs="Arial" w:eastAsia="Arial" w:hAnsi="Arial"/>
          <w:sz w:val="16"/>
          <w:szCs w:val="16"/>
          <w:color w:val="auto"/>
        </w:rPr>
      </w:pPr>
    </w:p>
    <w:p>
      <w:pPr>
        <w:ind w:left="166" w:right="60" w:hanging="166"/>
        <w:spacing w:after="0" w:line="286" w:lineRule="auto"/>
        <w:tabs>
          <w:tab w:leader="none" w:pos="166"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Non-compete: </w:t>
      </w:r>
      <w:r>
        <w:rPr>
          <w:rFonts w:ascii="Arial" w:cs="Arial" w:eastAsia="Arial" w:hAnsi="Arial"/>
          <w:sz w:val="16"/>
          <w:szCs w:val="16"/>
          <w:color w:val="auto"/>
        </w:rPr>
        <w:t>If Mr. Picicci resigns without Good Reason, as defined in the Picicci Agreement, or if he is terminated for</w:t>
      </w:r>
      <w:r>
        <w:rPr>
          <w:rFonts w:ascii="Arial" w:cs="Arial" w:eastAsia="Arial" w:hAnsi="Arial"/>
          <w:sz w:val="16"/>
          <w:szCs w:val="16"/>
          <w:b w:val="1"/>
          <w:bCs w:val="1"/>
          <w:color w:val="auto"/>
        </w:rPr>
        <w:t xml:space="preserve"> </w:t>
      </w:r>
      <w:r>
        <w:rPr>
          <w:rFonts w:ascii="Arial" w:cs="Arial" w:eastAsia="Arial" w:hAnsi="Arial"/>
          <w:sz w:val="16"/>
          <w:szCs w:val="16"/>
          <w:color w:val="auto"/>
        </w:rPr>
        <w:t>cause, as defined in the Picicci Agreement, he may not compete with us for one year after the termination of his employment.</w:t>
      </w:r>
    </w:p>
    <w:p>
      <w:pPr>
        <w:spacing w:after="0" w:line="102" w:lineRule="exact"/>
        <w:rPr>
          <w:sz w:val="20"/>
          <w:szCs w:val="20"/>
          <w:color w:val="auto"/>
        </w:rPr>
      </w:pPr>
    </w:p>
    <w:p>
      <w:pPr>
        <w:ind w:left="6" w:right="20"/>
        <w:spacing w:after="0" w:line="286" w:lineRule="auto"/>
        <w:rPr>
          <w:sz w:val="20"/>
          <w:szCs w:val="20"/>
          <w:color w:val="auto"/>
        </w:rPr>
      </w:pPr>
      <w:r>
        <w:rPr>
          <w:rFonts w:ascii="Arial" w:cs="Arial" w:eastAsia="Arial" w:hAnsi="Arial"/>
          <w:sz w:val="16"/>
          <w:szCs w:val="16"/>
          <w:color w:val="auto"/>
        </w:rPr>
        <w:t>See “Potential Payments Upon Termination or Change in Control” for a discussion of severance and change in control payments payable to Mr. Picicci under the Picicci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245110</wp:posOffset>
            </wp:positionV>
            <wp:extent cx="128905" cy="11176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37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00" w:name="page101"/>
    <w:bookmarkEnd w:id="10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left="6"/>
        <w:spacing w:after="0" w:line="257" w:lineRule="auto"/>
        <w:rPr>
          <w:sz w:val="20"/>
          <w:szCs w:val="20"/>
          <w:color w:val="auto"/>
        </w:rPr>
      </w:pPr>
      <w:r>
        <w:rPr>
          <w:rFonts w:ascii="Arial" w:cs="Arial" w:eastAsia="Arial" w:hAnsi="Arial"/>
          <w:sz w:val="16"/>
          <w:szCs w:val="16"/>
          <w:b w:val="1"/>
          <w:bCs w:val="1"/>
          <w:color w:val="auto"/>
        </w:rPr>
        <w:t xml:space="preserve">David Lauren’s Employment Terms. </w:t>
      </w:r>
      <w:r>
        <w:rPr>
          <w:rFonts w:ascii="Arial" w:cs="Arial" w:eastAsia="Arial" w:hAnsi="Arial"/>
          <w:sz w:val="16"/>
          <w:szCs w:val="16"/>
          <w:color w:val="auto"/>
        </w:rPr>
        <w:t>During Fiscal 2026, David Lauren was employed on an at-will basis as our Chief</w:t>
      </w:r>
      <w:r>
        <w:rPr>
          <w:rFonts w:ascii="Arial" w:cs="Arial" w:eastAsia="Arial" w:hAnsi="Arial"/>
          <w:sz w:val="16"/>
          <w:szCs w:val="16"/>
          <w:b w:val="1"/>
          <w:bCs w:val="1"/>
          <w:color w:val="auto"/>
        </w:rPr>
        <w:t xml:space="preserve"> </w:t>
      </w:r>
      <w:r>
        <w:rPr>
          <w:rFonts w:ascii="Arial" w:cs="Arial" w:eastAsia="Arial" w:hAnsi="Arial"/>
          <w:sz w:val="16"/>
          <w:szCs w:val="16"/>
          <w:color w:val="auto"/>
        </w:rPr>
        <w:t>Branding and Innovation Officer, Vice Chairman of the Board, Strategic Advisor to the CEO and President of The Ralph Lauren Corporate Foundation. Mr. D. Lauren does not have an employment agreement, and the terms of his compensation arrangement were reviewed and approved by the Talent Committee. The key terms of Mr. D. Lauren’s employment arrangement are as follows:</w:t>
      </w:r>
    </w:p>
    <w:p>
      <w:pPr>
        <w:spacing w:after="0" w:line="319" w:lineRule="exact"/>
        <w:rPr>
          <w:sz w:val="20"/>
          <w:szCs w:val="20"/>
          <w:color w:val="auto"/>
        </w:rPr>
      </w:pPr>
    </w:p>
    <w:p>
      <w:pPr>
        <w:ind w:left="166" w:hanging="166"/>
        <w:spacing w:after="0"/>
        <w:tabs>
          <w:tab w:leader="none" w:pos="166"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Salary: </w:t>
      </w:r>
      <w:r>
        <w:rPr>
          <w:rFonts w:ascii="Arial" w:cs="Arial" w:eastAsia="Arial" w:hAnsi="Arial"/>
          <w:sz w:val="16"/>
          <w:szCs w:val="16"/>
          <w:color w:val="auto"/>
        </w:rPr>
        <w:t>Mr. D. Lauren’s base salary was $1.0 million in Fiscal 2026.</w:t>
      </w:r>
    </w:p>
    <w:p>
      <w:pPr>
        <w:spacing w:after="0" w:line="126" w:lineRule="exact"/>
        <w:rPr>
          <w:rFonts w:ascii="Arial" w:cs="Arial" w:eastAsia="Arial" w:hAnsi="Arial"/>
          <w:sz w:val="16"/>
          <w:szCs w:val="16"/>
          <w:color w:val="auto"/>
        </w:rPr>
      </w:pPr>
    </w:p>
    <w:p>
      <w:pPr>
        <w:ind w:left="166" w:right="40" w:hanging="166"/>
        <w:spacing w:after="0" w:line="286" w:lineRule="auto"/>
        <w:tabs>
          <w:tab w:leader="none" w:pos="166"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Bonus: </w:t>
      </w:r>
      <w:r>
        <w:rPr>
          <w:rFonts w:ascii="Arial" w:cs="Arial" w:eastAsia="Arial" w:hAnsi="Arial"/>
          <w:sz w:val="16"/>
          <w:szCs w:val="16"/>
          <w:color w:val="auto"/>
        </w:rPr>
        <w:t>He is eligible for an annual incentive bonus opportunity under the terms of the EOAIP, with a target bonus of 100% of</w:t>
      </w:r>
      <w:r>
        <w:rPr>
          <w:rFonts w:ascii="Arial" w:cs="Arial" w:eastAsia="Arial" w:hAnsi="Arial"/>
          <w:sz w:val="16"/>
          <w:szCs w:val="16"/>
          <w:b w:val="1"/>
          <w:bCs w:val="1"/>
          <w:color w:val="auto"/>
        </w:rPr>
        <w:t xml:space="preserve"> </w:t>
      </w:r>
      <w:r>
        <w:rPr>
          <w:rFonts w:ascii="Arial" w:cs="Arial" w:eastAsia="Arial" w:hAnsi="Arial"/>
          <w:sz w:val="16"/>
          <w:szCs w:val="16"/>
          <w:color w:val="auto"/>
        </w:rPr>
        <w:t>annual base salary and a maximum of 200% of annual base salary.</w:t>
      </w:r>
    </w:p>
    <w:p>
      <w:pPr>
        <w:spacing w:after="0" w:line="61" w:lineRule="exact"/>
        <w:rPr>
          <w:rFonts w:ascii="Arial" w:cs="Arial" w:eastAsia="Arial" w:hAnsi="Arial"/>
          <w:sz w:val="16"/>
          <w:szCs w:val="16"/>
          <w:color w:val="auto"/>
        </w:rPr>
      </w:pPr>
    </w:p>
    <w:p>
      <w:pPr>
        <w:ind w:left="166" w:right="640" w:hanging="166"/>
        <w:spacing w:after="0" w:line="286" w:lineRule="auto"/>
        <w:tabs>
          <w:tab w:leader="none" w:pos="166"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Equity Awards: </w:t>
      </w:r>
      <w:r>
        <w:rPr>
          <w:rFonts w:ascii="Arial" w:cs="Arial" w:eastAsia="Arial" w:hAnsi="Arial"/>
          <w:sz w:val="16"/>
          <w:szCs w:val="16"/>
          <w:color w:val="auto"/>
        </w:rPr>
        <w:t>He was eligible to receive annual equity awards pursuant to the terms of the Company’s 2019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Plan with an aggregate target value of $1.2 million in Fiscal 2026.</w:t>
      </w:r>
    </w:p>
    <w:p>
      <w:pPr>
        <w:spacing w:after="0" w:line="74" w:lineRule="exact"/>
        <w:rPr>
          <w:rFonts w:ascii="Arial" w:cs="Arial" w:eastAsia="Arial" w:hAnsi="Arial"/>
          <w:sz w:val="16"/>
          <w:szCs w:val="16"/>
          <w:color w:val="auto"/>
        </w:rPr>
      </w:pPr>
    </w:p>
    <w:p>
      <w:pPr>
        <w:ind w:left="166" w:right="360" w:hanging="166"/>
        <w:spacing w:after="0" w:line="286" w:lineRule="auto"/>
        <w:tabs>
          <w:tab w:leader="none" w:pos="166"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Other Benefits: </w:t>
      </w:r>
      <w:r>
        <w:rPr>
          <w:rFonts w:ascii="Arial" w:cs="Arial" w:eastAsia="Arial" w:hAnsi="Arial"/>
          <w:sz w:val="16"/>
          <w:szCs w:val="16"/>
          <w:color w:val="auto"/>
        </w:rPr>
        <w:t>He is eligible to participate in all employee benefit plans and arrangements made available to our senior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and receives a monthly car allowance of $1,500.</w:t>
      </w:r>
    </w:p>
    <w:p>
      <w:pPr>
        <w:spacing w:after="0" w:line="102" w:lineRule="exact"/>
        <w:rPr>
          <w:sz w:val="20"/>
          <w:szCs w:val="20"/>
          <w:color w:val="auto"/>
        </w:rPr>
      </w:pPr>
    </w:p>
    <w:p>
      <w:pPr>
        <w:ind w:left="6"/>
        <w:spacing w:after="0" w:line="286" w:lineRule="auto"/>
        <w:rPr>
          <w:sz w:val="20"/>
          <w:szCs w:val="20"/>
          <w:color w:val="auto"/>
        </w:rPr>
      </w:pPr>
      <w:r>
        <w:rPr>
          <w:rFonts w:ascii="Arial" w:cs="Arial" w:eastAsia="Arial" w:hAnsi="Arial"/>
          <w:sz w:val="16"/>
          <w:szCs w:val="16"/>
          <w:color w:val="auto"/>
        </w:rPr>
        <w:t>See “Potential Payments Upon Termination or Change in Control” for a discussion of severance and change in control payments payable to Mr. D. Lauren under the terms of his employment.</w:t>
      </w:r>
    </w:p>
    <w:p>
      <w:pPr>
        <w:spacing w:after="0" w:line="115" w:lineRule="exact"/>
        <w:rPr>
          <w:sz w:val="20"/>
          <w:szCs w:val="20"/>
          <w:color w:val="auto"/>
        </w:rPr>
      </w:pPr>
    </w:p>
    <w:p>
      <w:pPr>
        <w:ind w:left="6" w:right="280"/>
        <w:spacing w:after="0" w:line="306" w:lineRule="auto"/>
        <w:rPr>
          <w:sz w:val="20"/>
          <w:szCs w:val="20"/>
          <w:color w:val="auto"/>
        </w:rPr>
      </w:pPr>
      <w:r>
        <w:rPr>
          <w:rFonts w:ascii="Arial" w:cs="Arial" w:eastAsia="Arial" w:hAnsi="Arial"/>
          <w:sz w:val="16"/>
          <w:szCs w:val="16"/>
          <w:b w:val="1"/>
          <w:bCs w:val="1"/>
          <w:color w:val="auto"/>
        </w:rPr>
        <w:t xml:space="preserve">Halide Alagoz’s Employment Agreement. </w:t>
      </w:r>
      <w:r>
        <w:rPr>
          <w:rFonts w:ascii="Arial" w:cs="Arial" w:eastAsia="Arial" w:hAnsi="Arial"/>
          <w:sz w:val="16"/>
          <w:szCs w:val="16"/>
          <w:color w:val="auto"/>
        </w:rPr>
        <w:t>During Fiscal 2026, we employed Ms. Alagoz as our Chief Product &amp;</w:t>
      </w:r>
      <w:r>
        <w:rPr>
          <w:rFonts w:ascii="Arial" w:cs="Arial" w:eastAsia="Arial" w:hAnsi="Arial"/>
          <w:sz w:val="16"/>
          <w:szCs w:val="16"/>
          <w:b w:val="1"/>
          <w:bCs w:val="1"/>
          <w:color w:val="auto"/>
        </w:rPr>
        <w:t xml:space="preserve"> </w:t>
      </w:r>
      <w:r>
        <w:rPr>
          <w:rFonts w:ascii="Arial" w:cs="Arial" w:eastAsia="Arial" w:hAnsi="Arial"/>
          <w:sz w:val="16"/>
          <w:szCs w:val="16"/>
          <w:color w:val="auto"/>
        </w:rPr>
        <w:t>Merchandising Officer pursuant to an employment agreement made effective February 14, 2021, as amended as of April 10, 2022 and March 30, 2025 (the “Alagoz Employment Agreement”). The key terms of the Alagoz Employment Agreement are indicated below:</w:t>
      </w:r>
    </w:p>
    <w:p>
      <w:pPr>
        <w:spacing w:after="0" w:line="101" w:lineRule="exact"/>
        <w:rPr>
          <w:sz w:val="20"/>
          <w:szCs w:val="20"/>
          <w:color w:val="auto"/>
        </w:rPr>
      </w:pPr>
    </w:p>
    <w:p>
      <w:pPr>
        <w:ind w:left="166" w:right="780" w:hanging="166"/>
        <w:spacing w:after="0" w:line="286" w:lineRule="auto"/>
        <w:tabs>
          <w:tab w:leader="none" w:pos="166"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Alagoz Employment Agreement provides that Ms. Alagoz will remain employed until such time as she is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in accordance with the terms of the Alagoz Employment Agreement.</w:t>
      </w:r>
    </w:p>
    <w:p>
      <w:pPr>
        <w:spacing w:after="0" w:line="74" w:lineRule="exact"/>
        <w:rPr>
          <w:rFonts w:ascii="Arial" w:cs="Arial" w:eastAsia="Arial" w:hAnsi="Arial"/>
          <w:sz w:val="16"/>
          <w:szCs w:val="16"/>
          <w:color w:val="auto"/>
        </w:rPr>
      </w:pPr>
    </w:p>
    <w:p>
      <w:pPr>
        <w:ind w:left="166" w:hanging="166"/>
        <w:spacing w:after="0"/>
        <w:tabs>
          <w:tab w:leader="none" w:pos="166"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Salary: </w:t>
      </w:r>
      <w:r>
        <w:rPr>
          <w:rFonts w:ascii="Arial" w:cs="Arial" w:eastAsia="Arial" w:hAnsi="Arial"/>
          <w:sz w:val="16"/>
          <w:szCs w:val="16"/>
          <w:color w:val="auto"/>
        </w:rPr>
        <w:t>Ms. Alagoz is entitled to a base salary of not less than $1.0 million.</w:t>
      </w:r>
    </w:p>
    <w:p>
      <w:pPr>
        <w:spacing w:after="0" w:line="126" w:lineRule="exact"/>
        <w:rPr>
          <w:rFonts w:ascii="Arial" w:cs="Arial" w:eastAsia="Arial" w:hAnsi="Arial"/>
          <w:sz w:val="16"/>
          <w:szCs w:val="16"/>
          <w:color w:val="auto"/>
        </w:rPr>
      </w:pPr>
    </w:p>
    <w:p>
      <w:pPr>
        <w:ind w:left="166" w:hanging="166"/>
        <w:spacing w:after="0" w:line="286" w:lineRule="auto"/>
        <w:tabs>
          <w:tab w:leader="none" w:pos="166"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Bonus: </w:t>
      </w:r>
      <w:r>
        <w:rPr>
          <w:rFonts w:ascii="Arial" w:cs="Arial" w:eastAsia="Arial" w:hAnsi="Arial"/>
          <w:sz w:val="16"/>
          <w:szCs w:val="16"/>
          <w:color w:val="auto"/>
        </w:rPr>
        <w:t>She is entitled to an annual incentive bonus opportunity under the terms of the EOAIP, with a target bonus of 100% of</w:t>
      </w:r>
      <w:r>
        <w:rPr>
          <w:rFonts w:ascii="Arial" w:cs="Arial" w:eastAsia="Arial" w:hAnsi="Arial"/>
          <w:sz w:val="16"/>
          <w:szCs w:val="16"/>
          <w:b w:val="1"/>
          <w:bCs w:val="1"/>
          <w:color w:val="auto"/>
        </w:rPr>
        <w:t xml:space="preserve"> </w:t>
      </w:r>
      <w:r>
        <w:rPr>
          <w:rFonts w:ascii="Arial" w:cs="Arial" w:eastAsia="Arial" w:hAnsi="Arial"/>
          <w:sz w:val="16"/>
          <w:szCs w:val="16"/>
          <w:color w:val="auto"/>
        </w:rPr>
        <w:t>annual base salary and a maximum of 200% of annual base salary.</w:t>
      </w:r>
    </w:p>
    <w:p>
      <w:pPr>
        <w:spacing w:after="0" w:line="61" w:lineRule="exact"/>
        <w:rPr>
          <w:rFonts w:ascii="Arial" w:cs="Arial" w:eastAsia="Arial" w:hAnsi="Arial"/>
          <w:sz w:val="16"/>
          <w:szCs w:val="16"/>
          <w:color w:val="auto"/>
        </w:rPr>
      </w:pPr>
    </w:p>
    <w:p>
      <w:pPr>
        <w:ind w:left="166" w:right="220" w:hanging="166"/>
        <w:spacing w:after="0" w:line="286" w:lineRule="auto"/>
        <w:tabs>
          <w:tab w:leader="none" w:pos="166"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Equity Awards: </w:t>
      </w:r>
      <w:r>
        <w:rPr>
          <w:rFonts w:ascii="Arial" w:cs="Arial" w:eastAsia="Arial" w:hAnsi="Arial"/>
          <w:sz w:val="16"/>
          <w:szCs w:val="16"/>
          <w:color w:val="auto"/>
        </w:rPr>
        <w:t>Ms. Alagoz is eligible to receive annual equity awards pursuant to the terms of the Company’s 2019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Plan with an aggregate target value of $2 million.</w:t>
      </w:r>
    </w:p>
    <w:p>
      <w:pPr>
        <w:spacing w:after="0" w:line="74" w:lineRule="exact"/>
        <w:rPr>
          <w:rFonts w:ascii="Arial" w:cs="Arial" w:eastAsia="Arial" w:hAnsi="Arial"/>
          <w:sz w:val="16"/>
          <w:szCs w:val="16"/>
          <w:color w:val="auto"/>
        </w:rPr>
      </w:pPr>
    </w:p>
    <w:p>
      <w:pPr>
        <w:ind w:left="166" w:right="280" w:hanging="166"/>
        <w:spacing w:after="0" w:line="286" w:lineRule="auto"/>
        <w:tabs>
          <w:tab w:leader="none" w:pos="166"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Other Benefits: </w:t>
      </w:r>
      <w:r>
        <w:rPr>
          <w:rFonts w:ascii="Arial" w:cs="Arial" w:eastAsia="Arial" w:hAnsi="Arial"/>
          <w:sz w:val="16"/>
          <w:szCs w:val="16"/>
          <w:color w:val="auto"/>
        </w:rPr>
        <w:t>She is eligible to participate in all employee benefit plans and arrangements made available to our senior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and receives a monthly car allowance of $1,500.</w:t>
      </w:r>
    </w:p>
    <w:p>
      <w:pPr>
        <w:spacing w:after="0" w:line="61" w:lineRule="exact"/>
        <w:rPr>
          <w:rFonts w:ascii="Arial" w:cs="Arial" w:eastAsia="Arial" w:hAnsi="Arial"/>
          <w:sz w:val="16"/>
          <w:szCs w:val="16"/>
          <w:color w:val="auto"/>
        </w:rPr>
      </w:pPr>
    </w:p>
    <w:p>
      <w:pPr>
        <w:ind w:left="166" w:right="240" w:hanging="166"/>
        <w:spacing w:after="0" w:line="266" w:lineRule="auto"/>
        <w:tabs>
          <w:tab w:leader="none" w:pos="166"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Non-compete: </w:t>
      </w:r>
      <w:r>
        <w:rPr>
          <w:rFonts w:ascii="Arial" w:cs="Arial" w:eastAsia="Arial" w:hAnsi="Arial"/>
          <w:sz w:val="16"/>
          <w:szCs w:val="16"/>
          <w:color w:val="auto"/>
        </w:rPr>
        <w:t>If Ms. Alagoz resigns without Good Reason, as defined in the Alagoz Agreement, or if she is terminated for</w:t>
      </w:r>
      <w:r>
        <w:rPr>
          <w:rFonts w:ascii="Arial" w:cs="Arial" w:eastAsia="Arial" w:hAnsi="Arial"/>
          <w:sz w:val="16"/>
          <w:szCs w:val="16"/>
          <w:b w:val="1"/>
          <w:bCs w:val="1"/>
          <w:color w:val="auto"/>
        </w:rPr>
        <w:t xml:space="preserve"> </w:t>
      </w:r>
      <w:r>
        <w:rPr>
          <w:rFonts w:ascii="Arial" w:cs="Arial" w:eastAsia="Arial" w:hAnsi="Arial"/>
          <w:sz w:val="16"/>
          <w:szCs w:val="16"/>
          <w:color w:val="auto"/>
        </w:rPr>
        <w:t>cause, as defined in the Alagoz Agreement, she may not compete with us for one year after the termination of her employment.</w:t>
      </w:r>
    </w:p>
    <w:p>
      <w:pPr>
        <w:spacing w:after="0" w:line="117" w:lineRule="exact"/>
        <w:rPr>
          <w:sz w:val="20"/>
          <w:szCs w:val="20"/>
          <w:color w:val="auto"/>
        </w:rPr>
      </w:pPr>
    </w:p>
    <w:p>
      <w:pPr>
        <w:ind w:left="6"/>
        <w:spacing w:after="0" w:line="286" w:lineRule="auto"/>
        <w:rPr>
          <w:sz w:val="20"/>
          <w:szCs w:val="20"/>
          <w:color w:val="auto"/>
        </w:rPr>
      </w:pPr>
      <w:r>
        <w:rPr>
          <w:rFonts w:ascii="Arial" w:cs="Arial" w:eastAsia="Arial" w:hAnsi="Arial"/>
          <w:sz w:val="16"/>
          <w:szCs w:val="16"/>
          <w:color w:val="auto"/>
        </w:rPr>
        <w:t>See “Potential Payments Upon Termination or Change in Control” for a discussion of severance and change in control payments payable to Ms. Alagoz under her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66"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90</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OUTSTANDING EQUITY AWARDS AT FISCAL YEAR-END</w:t>
      </w:r>
    </w:p>
    <w:p>
      <w:pPr>
        <w:spacing w:after="0" w:line="18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following table provides information concerning the unvested stock awards for each of our NEOs as of the end of Fiscal 2026.</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1780" w:type="dxa"/>
            <w:vAlign w:val="bottom"/>
            <w:shd w:val="clear" w:color="auto" w:fill="001641"/>
          </w:tcPr>
          <w:p>
            <w:pPr>
              <w:spacing w:after="0"/>
              <w:rPr>
                <w:sz w:val="24"/>
                <w:szCs w:val="24"/>
                <w:color w:val="auto"/>
              </w:rPr>
            </w:pPr>
          </w:p>
        </w:tc>
        <w:tc>
          <w:tcPr>
            <w:tcW w:w="1500" w:type="dxa"/>
            <w:vAlign w:val="bottom"/>
            <w:shd w:val="clear" w:color="auto" w:fill="BFA071"/>
          </w:tcPr>
          <w:p>
            <w:pPr>
              <w:spacing w:after="0"/>
              <w:rPr>
                <w:sz w:val="24"/>
                <w:szCs w:val="24"/>
                <w:color w:val="auto"/>
              </w:rPr>
            </w:pPr>
          </w:p>
        </w:tc>
        <w:tc>
          <w:tcPr>
            <w:tcW w:w="520" w:type="dxa"/>
            <w:vAlign w:val="bottom"/>
            <w:shd w:val="clear" w:color="auto" w:fill="BFA071"/>
          </w:tcPr>
          <w:p>
            <w:pPr>
              <w:spacing w:after="0"/>
              <w:rPr>
                <w:sz w:val="24"/>
                <w:szCs w:val="24"/>
                <w:color w:val="auto"/>
              </w:rPr>
            </w:pPr>
          </w:p>
        </w:tc>
        <w:tc>
          <w:tcPr>
            <w:tcW w:w="980" w:type="dxa"/>
            <w:vAlign w:val="bottom"/>
            <w:shd w:val="clear" w:color="auto" w:fill="BFA071"/>
          </w:tcPr>
          <w:p>
            <w:pPr>
              <w:spacing w:after="0"/>
              <w:rPr>
                <w:sz w:val="24"/>
                <w:szCs w:val="24"/>
                <w:color w:val="auto"/>
              </w:rPr>
            </w:pPr>
          </w:p>
        </w:tc>
        <w:tc>
          <w:tcPr>
            <w:tcW w:w="2180" w:type="dxa"/>
            <w:vAlign w:val="bottom"/>
            <w:shd w:val="clear" w:color="auto" w:fill="BFA071"/>
          </w:tcPr>
          <w:p>
            <w:pPr>
              <w:jc w:val="right"/>
              <w:ind w:right="868"/>
              <w:spacing w:after="0"/>
              <w:rPr>
                <w:sz w:val="20"/>
                <w:szCs w:val="20"/>
                <w:color w:val="auto"/>
              </w:rPr>
            </w:pPr>
            <w:r>
              <w:rPr>
                <w:rFonts w:ascii="Arial" w:cs="Arial" w:eastAsia="Arial" w:hAnsi="Arial"/>
                <w:sz w:val="14"/>
                <w:szCs w:val="14"/>
                <w:b w:val="1"/>
                <w:bCs w:val="1"/>
                <w:color w:val="FFFFFF"/>
              </w:rPr>
              <w:t>Stock Awards</w:t>
            </w:r>
          </w:p>
        </w:tc>
        <w:tc>
          <w:tcPr>
            <w:tcW w:w="1200" w:type="dxa"/>
            <w:vAlign w:val="bottom"/>
            <w:shd w:val="clear" w:color="auto" w:fill="BFA071"/>
          </w:tcPr>
          <w:p>
            <w:pPr>
              <w:spacing w:after="0"/>
              <w:rPr>
                <w:sz w:val="24"/>
                <w:szCs w:val="24"/>
                <w:color w:val="auto"/>
              </w:rPr>
            </w:pPr>
          </w:p>
        </w:tc>
        <w:tc>
          <w:tcPr>
            <w:tcW w:w="1020" w:type="dxa"/>
            <w:vAlign w:val="bottom"/>
            <w:shd w:val="clear" w:color="auto" w:fill="BFA071"/>
          </w:tcPr>
          <w:p>
            <w:pPr>
              <w:spacing w:after="0"/>
              <w:rPr>
                <w:sz w:val="24"/>
                <w:szCs w:val="24"/>
                <w:color w:val="auto"/>
              </w:rPr>
            </w:pPr>
          </w:p>
        </w:tc>
      </w:tr>
      <w:tr>
        <w:trPr>
          <w:trHeight w:val="209"/>
        </w:trPr>
        <w:tc>
          <w:tcPr>
            <w:tcW w:w="1780" w:type="dxa"/>
            <w:vAlign w:val="bottom"/>
            <w:shd w:val="clear" w:color="auto" w:fill="001641"/>
          </w:tcPr>
          <w:p>
            <w:pPr>
              <w:spacing w:after="0"/>
              <w:rPr>
                <w:sz w:val="18"/>
                <w:szCs w:val="18"/>
                <w:color w:val="auto"/>
              </w:rPr>
            </w:pPr>
          </w:p>
        </w:tc>
        <w:tc>
          <w:tcPr>
            <w:tcW w:w="1500" w:type="dxa"/>
            <w:vAlign w:val="bottom"/>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Number of</w:t>
            </w:r>
          </w:p>
        </w:tc>
        <w:tc>
          <w:tcPr>
            <w:tcW w:w="1500" w:type="dxa"/>
            <w:vAlign w:val="bottom"/>
            <w:gridSpan w:val="2"/>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Market Value</w:t>
            </w:r>
          </w:p>
        </w:tc>
        <w:tc>
          <w:tcPr>
            <w:tcW w:w="2180" w:type="dxa"/>
            <w:vAlign w:val="bottom"/>
            <w:shd w:val="clear" w:color="auto" w:fill="BFA071"/>
          </w:tcPr>
          <w:p>
            <w:pPr>
              <w:jc w:val="right"/>
              <w:ind w:right="228"/>
              <w:spacing w:after="0"/>
              <w:rPr>
                <w:sz w:val="20"/>
                <w:szCs w:val="20"/>
                <w:color w:val="auto"/>
              </w:rPr>
            </w:pPr>
            <w:r>
              <w:rPr>
                <w:rFonts w:ascii="Arial" w:cs="Arial" w:eastAsia="Arial" w:hAnsi="Arial"/>
                <w:sz w:val="14"/>
                <w:szCs w:val="14"/>
                <w:b w:val="1"/>
                <w:bCs w:val="1"/>
                <w:color w:val="FFFFFF"/>
              </w:rPr>
              <w:t>Equity Incentive Plan</w:t>
            </w:r>
          </w:p>
        </w:tc>
        <w:tc>
          <w:tcPr>
            <w:tcW w:w="2220" w:type="dxa"/>
            <w:vAlign w:val="bottom"/>
            <w:gridSpan w:val="2"/>
            <w:shd w:val="clear" w:color="auto" w:fill="BFA071"/>
          </w:tcPr>
          <w:p>
            <w:pPr>
              <w:jc w:val="right"/>
              <w:ind w:right="68"/>
              <w:spacing w:after="0"/>
              <w:rPr>
                <w:sz w:val="20"/>
                <w:szCs w:val="20"/>
                <w:color w:val="auto"/>
              </w:rPr>
            </w:pPr>
            <w:r>
              <w:rPr>
                <w:rFonts w:ascii="Arial" w:cs="Arial" w:eastAsia="Arial" w:hAnsi="Arial"/>
                <w:sz w:val="14"/>
                <w:szCs w:val="14"/>
                <w:b w:val="1"/>
                <w:bCs w:val="1"/>
                <w:color w:val="FFFFFF"/>
              </w:rPr>
              <w:t>Equity Incentive Plan</w:t>
            </w:r>
          </w:p>
        </w:tc>
      </w:tr>
      <w:tr>
        <w:trPr>
          <w:trHeight w:val="162"/>
        </w:trPr>
        <w:tc>
          <w:tcPr>
            <w:tcW w:w="1780" w:type="dxa"/>
            <w:vAlign w:val="bottom"/>
            <w:shd w:val="clear" w:color="auto" w:fill="001641"/>
          </w:tcPr>
          <w:p>
            <w:pPr>
              <w:spacing w:after="0"/>
              <w:rPr>
                <w:sz w:val="14"/>
                <w:szCs w:val="14"/>
                <w:color w:val="auto"/>
              </w:rPr>
            </w:pPr>
          </w:p>
        </w:tc>
        <w:tc>
          <w:tcPr>
            <w:tcW w:w="1500" w:type="dxa"/>
            <w:vAlign w:val="bottom"/>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Shares or</w:t>
            </w:r>
          </w:p>
        </w:tc>
        <w:tc>
          <w:tcPr>
            <w:tcW w:w="1500" w:type="dxa"/>
            <w:vAlign w:val="bottom"/>
            <w:gridSpan w:val="2"/>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of Shares or</w:t>
            </w:r>
          </w:p>
        </w:tc>
        <w:tc>
          <w:tcPr>
            <w:tcW w:w="2180" w:type="dxa"/>
            <w:vAlign w:val="bottom"/>
            <w:shd w:val="clear" w:color="auto" w:fill="BFA071"/>
          </w:tcPr>
          <w:p>
            <w:pPr>
              <w:jc w:val="right"/>
              <w:ind w:right="228"/>
              <w:spacing w:after="0"/>
              <w:rPr>
                <w:sz w:val="20"/>
                <w:szCs w:val="20"/>
                <w:color w:val="auto"/>
              </w:rPr>
            </w:pPr>
            <w:r>
              <w:rPr>
                <w:rFonts w:ascii="Arial" w:cs="Arial" w:eastAsia="Arial" w:hAnsi="Arial"/>
                <w:sz w:val="14"/>
                <w:szCs w:val="14"/>
                <w:b w:val="1"/>
                <w:bCs w:val="1"/>
                <w:color w:val="FFFFFF"/>
              </w:rPr>
              <w:t>Awards: Number of</w:t>
            </w:r>
          </w:p>
        </w:tc>
        <w:tc>
          <w:tcPr>
            <w:tcW w:w="2220" w:type="dxa"/>
            <w:vAlign w:val="bottom"/>
            <w:gridSpan w:val="2"/>
            <w:shd w:val="clear" w:color="auto" w:fill="BFA071"/>
          </w:tcPr>
          <w:p>
            <w:pPr>
              <w:jc w:val="right"/>
              <w:ind w:right="68"/>
              <w:spacing w:after="0"/>
              <w:rPr>
                <w:sz w:val="20"/>
                <w:szCs w:val="20"/>
                <w:color w:val="auto"/>
              </w:rPr>
            </w:pPr>
            <w:r>
              <w:rPr>
                <w:rFonts w:ascii="Arial" w:cs="Arial" w:eastAsia="Arial" w:hAnsi="Arial"/>
                <w:sz w:val="14"/>
                <w:szCs w:val="14"/>
                <w:b w:val="1"/>
                <w:bCs w:val="1"/>
                <w:color w:val="FFFFFF"/>
              </w:rPr>
              <w:t>Awards: Market or Payout</w:t>
            </w:r>
          </w:p>
        </w:tc>
      </w:tr>
      <w:tr>
        <w:trPr>
          <w:trHeight w:val="162"/>
        </w:trPr>
        <w:tc>
          <w:tcPr>
            <w:tcW w:w="1780" w:type="dxa"/>
            <w:vAlign w:val="bottom"/>
            <w:shd w:val="clear" w:color="auto" w:fill="001641"/>
          </w:tcPr>
          <w:p>
            <w:pPr>
              <w:spacing w:after="0"/>
              <w:rPr>
                <w:sz w:val="14"/>
                <w:szCs w:val="14"/>
                <w:color w:val="auto"/>
              </w:rPr>
            </w:pPr>
          </w:p>
        </w:tc>
        <w:tc>
          <w:tcPr>
            <w:tcW w:w="1500" w:type="dxa"/>
            <w:vAlign w:val="bottom"/>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Units of Stock</w:t>
            </w:r>
          </w:p>
        </w:tc>
        <w:tc>
          <w:tcPr>
            <w:tcW w:w="1500" w:type="dxa"/>
            <w:vAlign w:val="bottom"/>
            <w:gridSpan w:val="2"/>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Units of Stock</w:t>
            </w:r>
          </w:p>
        </w:tc>
        <w:tc>
          <w:tcPr>
            <w:tcW w:w="2180" w:type="dxa"/>
            <w:vAlign w:val="bottom"/>
            <w:shd w:val="clear" w:color="auto" w:fill="BFA071"/>
          </w:tcPr>
          <w:p>
            <w:pPr>
              <w:jc w:val="right"/>
              <w:ind w:right="228"/>
              <w:spacing w:after="0"/>
              <w:rPr>
                <w:sz w:val="20"/>
                <w:szCs w:val="20"/>
                <w:color w:val="auto"/>
              </w:rPr>
            </w:pPr>
            <w:r>
              <w:rPr>
                <w:rFonts w:ascii="Arial" w:cs="Arial" w:eastAsia="Arial" w:hAnsi="Arial"/>
                <w:sz w:val="14"/>
                <w:szCs w:val="14"/>
                <w:b w:val="1"/>
                <w:bCs w:val="1"/>
                <w:color w:val="FFFFFF"/>
              </w:rPr>
              <w:t>Unearned Shares, Units</w:t>
            </w:r>
          </w:p>
        </w:tc>
        <w:tc>
          <w:tcPr>
            <w:tcW w:w="2220" w:type="dxa"/>
            <w:vAlign w:val="bottom"/>
            <w:gridSpan w:val="2"/>
            <w:shd w:val="clear" w:color="auto" w:fill="BFA071"/>
          </w:tcPr>
          <w:p>
            <w:pPr>
              <w:jc w:val="right"/>
              <w:ind w:right="68"/>
              <w:spacing w:after="0"/>
              <w:rPr>
                <w:sz w:val="20"/>
                <w:szCs w:val="20"/>
                <w:color w:val="auto"/>
              </w:rPr>
            </w:pPr>
            <w:r>
              <w:rPr>
                <w:rFonts w:ascii="Arial" w:cs="Arial" w:eastAsia="Arial" w:hAnsi="Arial"/>
                <w:sz w:val="14"/>
                <w:szCs w:val="14"/>
                <w:b w:val="1"/>
                <w:bCs w:val="1"/>
                <w:color w:val="FFFFFF"/>
              </w:rPr>
              <w:t>Value of Unearned Shares,</w:t>
            </w:r>
          </w:p>
        </w:tc>
      </w:tr>
      <w:tr>
        <w:trPr>
          <w:trHeight w:val="162"/>
        </w:trPr>
        <w:tc>
          <w:tcPr>
            <w:tcW w:w="1780" w:type="dxa"/>
            <w:vAlign w:val="bottom"/>
            <w:shd w:val="clear" w:color="auto" w:fill="001641"/>
          </w:tcPr>
          <w:p>
            <w:pPr>
              <w:spacing w:after="0"/>
              <w:rPr>
                <w:sz w:val="14"/>
                <w:szCs w:val="14"/>
                <w:color w:val="auto"/>
              </w:rPr>
            </w:pPr>
          </w:p>
        </w:tc>
        <w:tc>
          <w:tcPr>
            <w:tcW w:w="1500" w:type="dxa"/>
            <w:vAlign w:val="bottom"/>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That Have Not</w:t>
            </w:r>
          </w:p>
        </w:tc>
        <w:tc>
          <w:tcPr>
            <w:tcW w:w="1500" w:type="dxa"/>
            <w:vAlign w:val="bottom"/>
            <w:gridSpan w:val="2"/>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That Have Not</w:t>
            </w:r>
          </w:p>
        </w:tc>
        <w:tc>
          <w:tcPr>
            <w:tcW w:w="2180" w:type="dxa"/>
            <w:vAlign w:val="bottom"/>
            <w:shd w:val="clear" w:color="auto" w:fill="BFA071"/>
          </w:tcPr>
          <w:p>
            <w:pPr>
              <w:jc w:val="right"/>
              <w:ind w:right="228"/>
              <w:spacing w:after="0"/>
              <w:rPr>
                <w:sz w:val="20"/>
                <w:szCs w:val="20"/>
                <w:color w:val="auto"/>
              </w:rPr>
            </w:pPr>
            <w:r>
              <w:rPr>
                <w:rFonts w:ascii="Arial" w:cs="Arial" w:eastAsia="Arial" w:hAnsi="Arial"/>
                <w:sz w:val="14"/>
                <w:szCs w:val="14"/>
                <w:b w:val="1"/>
                <w:bCs w:val="1"/>
                <w:color w:val="FFFFFF"/>
              </w:rPr>
              <w:t>or Other Rights That</w:t>
            </w:r>
          </w:p>
        </w:tc>
        <w:tc>
          <w:tcPr>
            <w:tcW w:w="2220" w:type="dxa"/>
            <w:vAlign w:val="bottom"/>
            <w:gridSpan w:val="2"/>
            <w:shd w:val="clear" w:color="auto" w:fill="BFA071"/>
          </w:tcPr>
          <w:p>
            <w:pPr>
              <w:jc w:val="right"/>
              <w:ind w:right="68"/>
              <w:spacing w:after="0"/>
              <w:rPr>
                <w:sz w:val="20"/>
                <w:szCs w:val="20"/>
                <w:color w:val="auto"/>
              </w:rPr>
            </w:pPr>
            <w:r>
              <w:rPr>
                <w:rFonts w:ascii="Arial" w:cs="Arial" w:eastAsia="Arial" w:hAnsi="Arial"/>
                <w:sz w:val="14"/>
                <w:szCs w:val="14"/>
                <w:b w:val="1"/>
                <w:bCs w:val="1"/>
                <w:color w:val="FFFFFF"/>
              </w:rPr>
              <w:t>Units or Other Rights That</w:t>
            </w:r>
          </w:p>
        </w:tc>
      </w:tr>
      <w:tr>
        <w:trPr>
          <w:trHeight w:val="162"/>
        </w:trPr>
        <w:tc>
          <w:tcPr>
            <w:tcW w:w="1780" w:type="dxa"/>
            <w:vAlign w:val="bottom"/>
            <w:shd w:val="clear" w:color="auto" w:fill="001641"/>
          </w:tcPr>
          <w:p>
            <w:pPr>
              <w:spacing w:after="0"/>
              <w:rPr>
                <w:sz w:val="14"/>
                <w:szCs w:val="14"/>
                <w:color w:val="auto"/>
              </w:rPr>
            </w:pPr>
          </w:p>
        </w:tc>
        <w:tc>
          <w:tcPr>
            <w:tcW w:w="1500" w:type="dxa"/>
            <w:vAlign w:val="bottom"/>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Vested</w:t>
            </w:r>
          </w:p>
        </w:tc>
        <w:tc>
          <w:tcPr>
            <w:tcW w:w="520" w:type="dxa"/>
            <w:vAlign w:val="bottom"/>
            <w:shd w:val="clear" w:color="auto" w:fill="BFA071"/>
          </w:tcPr>
          <w:p>
            <w:pPr>
              <w:spacing w:after="0"/>
              <w:rPr>
                <w:sz w:val="14"/>
                <w:szCs w:val="14"/>
                <w:color w:val="auto"/>
              </w:rPr>
            </w:pPr>
          </w:p>
        </w:tc>
        <w:tc>
          <w:tcPr>
            <w:tcW w:w="980" w:type="dxa"/>
            <w:vAlign w:val="bottom"/>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Vested</w:t>
            </w:r>
          </w:p>
        </w:tc>
        <w:tc>
          <w:tcPr>
            <w:tcW w:w="2180" w:type="dxa"/>
            <w:vAlign w:val="bottom"/>
            <w:shd w:val="clear" w:color="auto" w:fill="BFA071"/>
          </w:tcPr>
          <w:p>
            <w:pPr>
              <w:jc w:val="right"/>
              <w:ind w:right="228"/>
              <w:spacing w:after="0"/>
              <w:rPr>
                <w:sz w:val="20"/>
                <w:szCs w:val="20"/>
                <w:color w:val="auto"/>
              </w:rPr>
            </w:pPr>
            <w:r>
              <w:rPr>
                <w:rFonts w:ascii="Arial" w:cs="Arial" w:eastAsia="Arial" w:hAnsi="Arial"/>
                <w:sz w:val="14"/>
                <w:szCs w:val="14"/>
                <w:b w:val="1"/>
                <w:bCs w:val="1"/>
                <w:color w:val="FFFFFF"/>
              </w:rPr>
              <w:t>Have Not Vested</w:t>
            </w:r>
          </w:p>
        </w:tc>
        <w:tc>
          <w:tcPr>
            <w:tcW w:w="2220" w:type="dxa"/>
            <w:vAlign w:val="bottom"/>
            <w:gridSpan w:val="2"/>
            <w:shd w:val="clear" w:color="auto" w:fill="BFA071"/>
          </w:tcPr>
          <w:p>
            <w:pPr>
              <w:jc w:val="right"/>
              <w:ind w:right="68"/>
              <w:spacing w:after="0"/>
              <w:rPr>
                <w:sz w:val="20"/>
                <w:szCs w:val="20"/>
                <w:color w:val="auto"/>
              </w:rPr>
            </w:pPr>
            <w:r>
              <w:rPr>
                <w:rFonts w:ascii="Arial" w:cs="Arial" w:eastAsia="Arial" w:hAnsi="Arial"/>
                <w:sz w:val="14"/>
                <w:szCs w:val="14"/>
                <w:b w:val="1"/>
                <w:bCs w:val="1"/>
                <w:color w:val="FFFFFF"/>
              </w:rPr>
              <w:t>Have Not Vested</w:t>
            </w:r>
          </w:p>
        </w:tc>
      </w:tr>
      <w:tr>
        <w:trPr>
          <w:trHeight w:val="212"/>
        </w:trPr>
        <w:tc>
          <w:tcPr>
            <w:tcW w:w="1780" w:type="dxa"/>
            <w:vAlign w:val="bottom"/>
            <w:shd w:val="clear" w:color="auto" w:fill="001641"/>
          </w:tcPr>
          <w:p>
            <w:pPr>
              <w:ind w:left="120"/>
              <w:spacing w:after="0"/>
              <w:rPr>
                <w:sz w:val="20"/>
                <w:szCs w:val="20"/>
                <w:color w:val="auto"/>
              </w:rPr>
            </w:pPr>
            <w:r>
              <w:rPr>
                <w:rFonts w:ascii="Arial" w:cs="Arial" w:eastAsia="Arial" w:hAnsi="Arial"/>
                <w:sz w:val="14"/>
                <w:szCs w:val="14"/>
                <w:b w:val="1"/>
                <w:bCs w:val="1"/>
                <w:color w:val="FFFFFF"/>
              </w:rPr>
              <w:t>Name</w:t>
            </w:r>
          </w:p>
        </w:tc>
        <w:tc>
          <w:tcPr>
            <w:tcW w:w="1500" w:type="dxa"/>
            <w:vAlign w:val="bottom"/>
            <w:shd w:val="clear" w:color="auto" w:fill="BFA071"/>
          </w:tcPr>
          <w:p>
            <w:pPr>
              <w:jc w:val="right"/>
              <w:ind w:right="168"/>
              <w:spacing w:after="0"/>
              <w:rPr>
                <w:sz w:val="20"/>
                <w:szCs w:val="20"/>
                <w:color w:val="auto"/>
              </w:rPr>
            </w:pPr>
            <w:r>
              <w:rPr>
                <w:rFonts w:ascii="Arial" w:cs="Arial" w:eastAsia="Arial" w:hAnsi="Arial"/>
                <w:sz w:val="14"/>
                <w:szCs w:val="14"/>
                <w:b w:val="1"/>
                <w:bCs w:val="1"/>
                <w:color w:val="FFFFFF"/>
              </w:rPr>
              <w:t>(#)</w:t>
            </w:r>
          </w:p>
        </w:tc>
        <w:tc>
          <w:tcPr>
            <w:tcW w:w="520" w:type="dxa"/>
            <w:vAlign w:val="bottom"/>
            <w:shd w:val="clear" w:color="auto" w:fill="BFA071"/>
          </w:tcPr>
          <w:p>
            <w:pPr>
              <w:spacing w:after="0"/>
              <w:rPr>
                <w:sz w:val="18"/>
                <w:szCs w:val="18"/>
                <w:color w:val="auto"/>
              </w:rPr>
            </w:pPr>
          </w:p>
        </w:tc>
        <w:tc>
          <w:tcPr>
            <w:tcW w:w="980" w:type="dxa"/>
            <w:vAlign w:val="bottom"/>
            <w:shd w:val="clear" w:color="auto" w:fill="BFA071"/>
          </w:tcPr>
          <w:p>
            <w:pPr>
              <w:jc w:val="right"/>
              <w:ind w:right="168"/>
              <w:spacing w:after="0"/>
              <w:rPr>
                <w:sz w:val="20"/>
                <w:szCs w:val="20"/>
                <w:color w:val="auto"/>
              </w:rPr>
            </w:pPr>
            <w:r>
              <w:rPr>
                <w:rFonts w:ascii="Arial" w:cs="Arial" w:eastAsia="Arial" w:hAnsi="Arial"/>
                <w:sz w:val="14"/>
                <w:szCs w:val="14"/>
                <w:b w:val="1"/>
                <w:bCs w:val="1"/>
                <w:color w:val="FFFFFF"/>
              </w:rPr>
              <w:t>($)</w:t>
            </w:r>
          </w:p>
        </w:tc>
        <w:tc>
          <w:tcPr>
            <w:tcW w:w="2180" w:type="dxa"/>
            <w:vAlign w:val="bottom"/>
            <w:shd w:val="clear" w:color="auto" w:fill="BFA071"/>
          </w:tcPr>
          <w:p>
            <w:pPr>
              <w:jc w:val="right"/>
              <w:ind w:right="188"/>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BFA071"/>
          </w:tcPr>
          <w:p>
            <w:pPr>
              <w:spacing w:after="0"/>
              <w:rPr>
                <w:sz w:val="18"/>
                <w:szCs w:val="18"/>
                <w:color w:val="auto"/>
              </w:rPr>
            </w:pPr>
          </w:p>
        </w:tc>
        <w:tc>
          <w:tcPr>
            <w:tcW w:w="1020" w:type="dxa"/>
            <w:vAlign w:val="bottom"/>
            <w:shd w:val="clear" w:color="auto" w:fill="BFA071"/>
          </w:tcPr>
          <w:p>
            <w:pPr>
              <w:jc w:val="right"/>
              <w:ind w:right="28"/>
              <w:spacing w:after="0"/>
              <w:rPr>
                <w:sz w:val="20"/>
                <w:szCs w:val="20"/>
                <w:color w:val="auto"/>
              </w:rPr>
            </w:pPr>
            <w:r>
              <w:rPr>
                <w:rFonts w:ascii="Arial" w:cs="Arial" w:eastAsia="Arial" w:hAnsi="Arial"/>
                <w:sz w:val="14"/>
                <w:szCs w:val="14"/>
                <w:b w:val="1"/>
                <w:bCs w:val="1"/>
                <w:color w:val="FFFFFF"/>
              </w:rPr>
              <w:t>($)</w:t>
            </w:r>
          </w:p>
        </w:tc>
      </w:tr>
      <w:tr>
        <w:trPr>
          <w:trHeight w:val="237"/>
        </w:trPr>
        <w:tc>
          <w:tcPr>
            <w:tcW w:w="1780" w:type="dxa"/>
            <w:vAlign w:val="bottom"/>
          </w:tcPr>
          <w:p>
            <w:pPr>
              <w:ind w:left="120"/>
              <w:spacing w:after="0"/>
              <w:rPr>
                <w:sz w:val="20"/>
                <w:szCs w:val="20"/>
                <w:color w:val="auto"/>
              </w:rPr>
            </w:pPr>
            <w:r>
              <w:rPr>
                <w:rFonts w:ascii="Arial" w:cs="Arial" w:eastAsia="Arial" w:hAnsi="Arial"/>
                <w:sz w:val="14"/>
                <w:szCs w:val="14"/>
                <w:b w:val="1"/>
                <w:bCs w:val="1"/>
                <w:color w:val="001641"/>
              </w:rPr>
              <w:t>Ralph Lauren</w:t>
            </w:r>
          </w:p>
        </w:tc>
        <w:tc>
          <w:tcPr>
            <w:tcW w:w="1500" w:type="dxa"/>
            <w:vAlign w:val="bottom"/>
            <w:tcBorders>
              <w:bottom w:val="single" w:sz="8" w:color="BFA071"/>
            </w:tcBorders>
            <w:shd w:val="clear" w:color="auto" w:fill="EBE1D2"/>
          </w:tcPr>
          <w:p>
            <w:pPr>
              <w:spacing w:after="0"/>
              <w:rPr>
                <w:sz w:val="20"/>
                <w:szCs w:val="20"/>
                <w:color w:val="auto"/>
              </w:rPr>
            </w:pPr>
          </w:p>
        </w:tc>
        <w:tc>
          <w:tcPr>
            <w:tcW w:w="520" w:type="dxa"/>
            <w:vAlign w:val="bottom"/>
            <w:tcBorders>
              <w:bottom w:val="single" w:sz="8" w:color="BFA071"/>
            </w:tcBorders>
            <w:shd w:val="clear" w:color="auto" w:fill="EBE1D2"/>
          </w:tcPr>
          <w:p>
            <w:pPr>
              <w:spacing w:after="0"/>
              <w:rPr>
                <w:sz w:val="20"/>
                <w:szCs w:val="20"/>
                <w:color w:val="auto"/>
              </w:rPr>
            </w:pPr>
          </w:p>
        </w:tc>
        <w:tc>
          <w:tcPr>
            <w:tcW w:w="980" w:type="dxa"/>
            <w:vAlign w:val="bottom"/>
            <w:tcBorders>
              <w:bottom w:val="single" w:sz="8" w:color="BFA071"/>
            </w:tcBorders>
            <w:shd w:val="clear" w:color="auto" w:fill="EBE1D2"/>
          </w:tcPr>
          <w:p>
            <w:pPr>
              <w:spacing w:after="0"/>
              <w:rPr>
                <w:sz w:val="20"/>
                <w:szCs w:val="20"/>
                <w:color w:val="auto"/>
              </w:rPr>
            </w:pPr>
          </w:p>
        </w:tc>
        <w:tc>
          <w:tcPr>
            <w:tcW w:w="2180" w:type="dxa"/>
            <w:vAlign w:val="bottom"/>
            <w:tcBorders>
              <w:bottom w:val="single" w:sz="8" w:color="BFA071"/>
            </w:tcBorders>
            <w:shd w:val="clear" w:color="auto" w:fill="EBE1D2"/>
          </w:tcPr>
          <w:p>
            <w:pPr>
              <w:spacing w:after="0"/>
              <w:rPr>
                <w:sz w:val="20"/>
                <w:szCs w:val="20"/>
                <w:color w:val="auto"/>
              </w:rPr>
            </w:pPr>
          </w:p>
        </w:tc>
        <w:tc>
          <w:tcPr>
            <w:tcW w:w="1200" w:type="dxa"/>
            <w:vAlign w:val="bottom"/>
            <w:tcBorders>
              <w:bottom w:val="single" w:sz="8" w:color="BFA071"/>
            </w:tcBorders>
            <w:shd w:val="clear" w:color="auto" w:fill="EBE1D2"/>
          </w:tcPr>
          <w:p>
            <w:pPr>
              <w:spacing w:after="0"/>
              <w:rPr>
                <w:sz w:val="20"/>
                <w:szCs w:val="20"/>
                <w:color w:val="auto"/>
              </w:rPr>
            </w:pPr>
          </w:p>
        </w:tc>
        <w:tc>
          <w:tcPr>
            <w:tcW w:w="1020" w:type="dxa"/>
            <w:vAlign w:val="bottom"/>
            <w:tcBorders>
              <w:bottom w:val="single" w:sz="8" w:color="BFA071"/>
            </w:tcBorders>
            <w:shd w:val="clear" w:color="auto" w:fill="EBE1D2"/>
          </w:tcPr>
          <w:p>
            <w:pPr>
              <w:spacing w:after="0"/>
              <w:rPr>
                <w:sz w:val="20"/>
                <w:szCs w:val="20"/>
                <w:color w:val="auto"/>
              </w:rPr>
            </w:pPr>
          </w:p>
        </w:tc>
      </w:tr>
      <w:tr>
        <w:trPr>
          <w:trHeight w:val="257"/>
        </w:trPr>
        <w:tc>
          <w:tcPr>
            <w:tcW w:w="1780" w:type="dxa"/>
            <w:vAlign w:val="bottom"/>
          </w:tcPr>
          <w:p>
            <w:pPr>
              <w:spacing w:after="0"/>
              <w:rPr>
                <w:sz w:val="22"/>
                <w:szCs w:val="22"/>
                <w:color w:val="auto"/>
              </w:rPr>
            </w:pPr>
          </w:p>
        </w:tc>
        <w:tc>
          <w:tcPr>
            <w:tcW w:w="1500" w:type="dxa"/>
            <w:vAlign w:val="bottom"/>
            <w:tcBorders>
              <w:bottom w:val="single" w:sz="8" w:color="BFA071"/>
            </w:tcBorders>
            <w:shd w:val="clear" w:color="auto" w:fill="EBE1D2"/>
          </w:tcPr>
          <w:p>
            <w:pPr>
              <w:jc w:val="right"/>
              <w:ind w:right="288"/>
              <w:spacing w:after="0" w:line="256" w:lineRule="exact"/>
              <w:rPr>
                <w:sz w:val="20"/>
                <w:szCs w:val="20"/>
                <w:color w:val="auto"/>
              </w:rPr>
            </w:pPr>
            <w:r>
              <w:rPr>
                <w:rFonts w:ascii="Arial" w:cs="Arial" w:eastAsia="Arial" w:hAnsi="Arial"/>
                <w:sz w:val="14"/>
                <w:szCs w:val="14"/>
                <w:color w:val="001641"/>
              </w:rPr>
              <w:t>95,612</w:t>
            </w:r>
            <w:r>
              <w:rPr>
                <w:rFonts w:ascii="Arial" w:cs="Arial" w:eastAsia="Arial" w:hAnsi="Arial"/>
                <w:sz w:val="23"/>
                <w:szCs w:val="23"/>
                <w:color w:val="001641"/>
                <w:vertAlign w:val="superscript"/>
              </w:rPr>
              <w:t>1</w:t>
            </w:r>
          </w:p>
        </w:tc>
        <w:tc>
          <w:tcPr>
            <w:tcW w:w="1500" w:type="dxa"/>
            <w:vAlign w:val="bottom"/>
            <w:tcBorders>
              <w:bottom w:val="single" w:sz="8" w:color="BFA071"/>
            </w:tcBorders>
            <w:gridSpan w:val="2"/>
            <w:shd w:val="clear" w:color="auto" w:fill="EBE1D2"/>
          </w:tcPr>
          <w:p>
            <w:pPr>
              <w:ind w:left="400"/>
              <w:spacing w:after="0"/>
              <w:rPr>
                <w:sz w:val="20"/>
                <w:szCs w:val="20"/>
                <w:color w:val="auto"/>
              </w:rPr>
            </w:pPr>
            <w:r>
              <w:rPr>
                <w:rFonts w:ascii="Arial" w:cs="Arial" w:eastAsia="Arial" w:hAnsi="Arial"/>
                <w:sz w:val="14"/>
                <w:szCs w:val="14"/>
                <w:color w:val="001641"/>
              </w:rPr>
              <w:t>$31,343,526</w:t>
            </w:r>
          </w:p>
        </w:tc>
        <w:tc>
          <w:tcPr>
            <w:tcW w:w="2180" w:type="dxa"/>
            <w:vAlign w:val="bottom"/>
            <w:tcBorders>
              <w:bottom w:val="single" w:sz="8" w:color="BFA071"/>
            </w:tcBorders>
            <w:shd w:val="clear" w:color="auto" w:fill="EBE1D2"/>
          </w:tcPr>
          <w:p>
            <w:pPr>
              <w:spacing w:after="0"/>
              <w:rPr>
                <w:sz w:val="22"/>
                <w:szCs w:val="22"/>
                <w:color w:val="auto"/>
              </w:rPr>
            </w:pPr>
          </w:p>
        </w:tc>
        <w:tc>
          <w:tcPr>
            <w:tcW w:w="1200" w:type="dxa"/>
            <w:vAlign w:val="bottom"/>
            <w:tcBorders>
              <w:bottom w:val="single" w:sz="8" w:color="BFA071"/>
            </w:tcBorders>
            <w:shd w:val="clear" w:color="auto" w:fill="EBE1D2"/>
          </w:tcPr>
          <w:p>
            <w:pPr>
              <w:spacing w:after="0"/>
              <w:rPr>
                <w:sz w:val="22"/>
                <w:szCs w:val="22"/>
                <w:color w:val="auto"/>
              </w:rPr>
            </w:pPr>
          </w:p>
        </w:tc>
        <w:tc>
          <w:tcPr>
            <w:tcW w:w="1020" w:type="dxa"/>
            <w:vAlign w:val="bottom"/>
            <w:tcBorders>
              <w:bottom w:val="single" w:sz="8" w:color="BFA071"/>
            </w:tcBorders>
            <w:shd w:val="clear" w:color="auto" w:fill="EBE1D2"/>
          </w:tcPr>
          <w:p>
            <w:pPr>
              <w:spacing w:after="0"/>
              <w:rPr>
                <w:sz w:val="22"/>
                <w:szCs w:val="22"/>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66,636</w:t>
            </w:r>
            <w:r>
              <w:rPr>
                <w:rFonts w:ascii="Arial" w:cs="Arial" w:eastAsia="Arial" w:hAnsi="Arial"/>
                <w:sz w:val="23"/>
                <w:szCs w:val="23"/>
                <w:color w:val="001641"/>
                <w:vertAlign w:val="superscript"/>
              </w:rPr>
              <w:t>2</w:t>
            </w:r>
          </w:p>
        </w:tc>
        <w:tc>
          <w:tcPr>
            <w:tcW w:w="1500" w:type="dxa"/>
            <w:vAlign w:val="bottom"/>
            <w:tcBorders>
              <w:bottom w:val="single" w:sz="8" w:color="BFA071"/>
            </w:tcBorders>
            <w:gridSpan w:val="2"/>
            <w:shd w:val="clear" w:color="auto" w:fill="EBE1D2"/>
          </w:tcPr>
          <w:p>
            <w:pPr>
              <w:ind w:left="400"/>
              <w:spacing w:after="0"/>
              <w:rPr>
                <w:sz w:val="20"/>
                <w:szCs w:val="20"/>
                <w:color w:val="auto"/>
              </w:rPr>
            </w:pPr>
            <w:r>
              <w:rPr>
                <w:rFonts w:ascii="Arial" w:cs="Arial" w:eastAsia="Arial" w:hAnsi="Arial"/>
                <w:sz w:val="14"/>
                <w:szCs w:val="14"/>
                <w:color w:val="001641"/>
              </w:rPr>
              <w:t>$21,844,614</w:t>
            </w:r>
          </w:p>
        </w:tc>
        <w:tc>
          <w:tcPr>
            <w:tcW w:w="2180" w:type="dxa"/>
            <w:vAlign w:val="bottom"/>
            <w:tcBorders>
              <w:bottom w:val="single" w:sz="8" w:color="BFA071"/>
            </w:tcBorders>
            <w:shd w:val="clear" w:color="auto" w:fill="EBE1D2"/>
          </w:tcPr>
          <w:p>
            <w:pPr>
              <w:spacing w:after="0"/>
              <w:rPr>
                <w:sz w:val="21"/>
                <w:szCs w:val="21"/>
                <w:color w:val="auto"/>
              </w:rPr>
            </w:pPr>
          </w:p>
        </w:tc>
        <w:tc>
          <w:tcPr>
            <w:tcW w:w="1200" w:type="dxa"/>
            <w:vAlign w:val="bottom"/>
            <w:tcBorders>
              <w:bottom w:val="single" w:sz="8" w:color="BFA071"/>
            </w:tcBorders>
            <w:shd w:val="clear" w:color="auto" w:fill="EBE1D2"/>
          </w:tcPr>
          <w:p>
            <w:pPr>
              <w:spacing w:after="0"/>
              <w:rPr>
                <w:sz w:val="21"/>
                <w:szCs w:val="21"/>
                <w:color w:val="auto"/>
              </w:rPr>
            </w:pPr>
          </w:p>
        </w:tc>
        <w:tc>
          <w:tcPr>
            <w:tcW w:w="102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520" w:type="dxa"/>
            <w:vAlign w:val="bottom"/>
            <w:tcBorders>
              <w:bottom w:val="single" w:sz="8" w:color="BFA071"/>
            </w:tcBorders>
            <w:shd w:val="clear" w:color="auto" w:fill="EBE1D2"/>
          </w:tcPr>
          <w:p>
            <w:pPr>
              <w:spacing w:after="0"/>
              <w:rPr>
                <w:sz w:val="21"/>
                <w:szCs w:val="21"/>
                <w:color w:val="auto"/>
              </w:rPr>
            </w:pPr>
          </w:p>
        </w:tc>
        <w:tc>
          <w:tcPr>
            <w:tcW w:w="98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jc w:val="right"/>
              <w:ind w:right="428"/>
              <w:spacing w:after="0" w:line="250" w:lineRule="exact"/>
              <w:rPr>
                <w:sz w:val="20"/>
                <w:szCs w:val="20"/>
                <w:color w:val="auto"/>
              </w:rPr>
            </w:pPr>
            <w:r>
              <w:rPr>
                <w:rFonts w:ascii="Arial" w:cs="Arial" w:eastAsia="Arial" w:hAnsi="Arial"/>
                <w:sz w:val="14"/>
                <w:szCs w:val="14"/>
                <w:color w:val="001641"/>
              </w:rPr>
              <w:t>68,087</w:t>
            </w:r>
            <w:r>
              <w:rPr>
                <w:rFonts w:ascii="Arial" w:cs="Arial" w:eastAsia="Arial" w:hAnsi="Arial"/>
                <w:sz w:val="23"/>
                <w:szCs w:val="23"/>
                <w:color w:val="001641"/>
                <w:vertAlign w:val="superscript"/>
              </w:rPr>
              <w:t>6</w:t>
            </w:r>
          </w:p>
        </w:tc>
        <w:tc>
          <w:tcPr>
            <w:tcW w:w="2220" w:type="dxa"/>
            <w:vAlign w:val="bottom"/>
            <w:tcBorders>
              <w:bottom w:val="single" w:sz="8" w:color="BFA071"/>
            </w:tcBorders>
            <w:gridSpan w:val="2"/>
            <w:shd w:val="clear" w:color="auto" w:fill="EBE1D2"/>
          </w:tcPr>
          <w:p>
            <w:pPr>
              <w:ind w:left="1080"/>
              <w:spacing w:after="0"/>
              <w:rPr>
                <w:sz w:val="20"/>
                <w:szCs w:val="20"/>
                <w:color w:val="auto"/>
              </w:rPr>
            </w:pPr>
            <w:r>
              <w:rPr>
                <w:rFonts w:ascii="Arial" w:cs="Arial" w:eastAsia="Arial" w:hAnsi="Arial"/>
                <w:sz w:val="14"/>
                <w:szCs w:val="14"/>
                <w:color w:val="001641"/>
              </w:rPr>
              <w:t>$22,320,280</w:t>
            </w: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520" w:type="dxa"/>
            <w:vAlign w:val="bottom"/>
            <w:tcBorders>
              <w:bottom w:val="single" w:sz="8" w:color="BFA071"/>
            </w:tcBorders>
            <w:shd w:val="clear" w:color="auto" w:fill="EBE1D2"/>
          </w:tcPr>
          <w:p>
            <w:pPr>
              <w:spacing w:after="0"/>
              <w:rPr>
                <w:sz w:val="21"/>
                <w:szCs w:val="21"/>
                <w:color w:val="auto"/>
              </w:rPr>
            </w:pPr>
          </w:p>
        </w:tc>
        <w:tc>
          <w:tcPr>
            <w:tcW w:w="98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jc w:val="right"/>
              <w:ind w:right="428"/>
              <w:spacing w:after="0" w:line="250" w:lineRule="exact"/>
              <w:rPr>
                <w:sz w:val="20"/>
                <w:szCs w:val="20"/>
                <w:color w:val="auto"/>
              </w:rPr>
            </w:pPr>
            <w:r>
              <w:rPr>
                <w:rFonts w:ascii="Arial" w:cs="Arial" w:eastAsia="Arial" w:hAnsi="Arial"/>
                <w:sz w:val="14"/>
                <w:szCs w:val="14"/>
                <w:color w:val="001641"/>
              </w:rPr>
              <w:t>51,136</w:t>
            </w:r>
            <w:r>
              <w:rPr>
                <w:rFonts w:ascii="Arial" w:cs="Arial" w:eastAsia="Arial" w:hAnsi="Arial"/>
                <w:sz w:val="23"/>
                <w:szCs w:val="23"/>
                <w:color w:val="001641"/>
                <w:vertAlign w:val="superscript"/>
              </w:rPr>
              <w:t>7</w:t>
            </w:r>
          </w:p>
        </w:tc>
        <w:tc>
          <w:tcPr>
            <w:tcW w:w="2220" w:type="dxa"/>
            <w:vAlign w:val="bottom"/>
            <w:tcBorders>
              <w:bottom w:val="single" w:sz="8" w:color="BFA071"/>
            </w:tcBorders>
            <w:gridSpan w:val="2"/>
            <w:shd w:val="clear" w:color="auto" w:fill="EBE1D2"/>
          </w:tcPr>
          <w:p>
            <w:pPr>
              <w:ind w:left="1080"/>
              <w:spacing w:after="0"/>
              <w:rPr>
                <w:sz w:val="20"/>
                <w:szCs w:val="20"/>
                <w:color w:val="auto"/>
              </w:rPr>
            </w:pPr>
            <w:r>
              <w:rPr>
                <w:rFonts w:ascii="Arial" w:cs="Arial" w:eastAsia="Arial" w:hAnsi="Arial"/>
                <w:sz w:val="14"/>
                <w:szCs w:val="14"/>
                <w:color w:val="001641"/>
              </w:rPr>
              <w:t>$16,763,404</w:t>
            </w: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520" w:type="dxa"/>
            <w:vAlign w:val="bottom"/>
            <w:tcBorders>
              <w:bottom w:val="single" w:sz="8" w:color="BFA071"/>
            </w:tcBorders>
            <w:shd w:val="clear" w:color="auto" w:fill="EBE1D2"/>
          </w:tcPr>
          <w:p>
            <w:pPr>
              <w:spacing w:after="0"/>
              <w:rPr>
                <w:sz w:val="21"/>
                <w:szCs w:val="21"/>
                <w:color w:val="auto"/>
              </w:rPr>
            </w:pPr>
          </w:p>
        </w:tc>
        <w:tc>
          <w:tcPr>
            <w:tcW w:w="98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jc w:val="right"/>
              <w:ind w:right="428"/>
              <w:spacing w:after="0" w:line="250" w:lineRule="exact"/>
              <w:rPr>
                <w:sz w:val="20"/>
                <w:szCs w:val="20"/>
                <w:color w:val="auto"/>
              </w:rPr>
            </w:pPr>
            <w:r>
              <w:rPr>
                <w:rFonts w:ascii="Arial" w:cs="Arial" w:eastAsia="Arial" w:hAnsi="Arial"/>
                <w:sz w:val="14"/>
                <w:szCs w:val="14"/>
                <w:color w:val="001641"/>
              </w:rPr>
              <w:t>38,168</w:t>
            </w:r>
            <w:r>
              <w:rPr>
                <w:rFonts w:ascii="Arial" w:cs="Arial" w:eastAsia="Arial" w:hAnsi="Arial"/>
                <w:sz w:val="23"/>
                <w:szCs w:val="23"/>
                <w:color w:val="001641"/>
                <w:vertAlign w:val="superscript"/>
              </w:rPr>
              <w:t>8</w:t>
            </w:r>
          </w:p>
        </w:tc>
        <w:tc>
          <w:tcPr>
            <w:tcW w:w="2220" w:type="dxa"/>
            <w:vAlign w:val="bottom"/>
            <w:tcBorders>
              <w:bottom w:val="single" w:sz="8" w:color="BFA071"/>
            </w:tcBorders>
            <w:gridSpan w:val="2"/>
            <w:shd w:val="clear" w:color="auto" w:fill="EBE1D2"/>
          </w:tcPr>
          <w:p>
            <w:pPr>
              <w:ind w:left="1080"/>
              <w:spacing w:after="0"/>
              <w:rPr>
                <w:sz w:val="20"/>
                <w:szCs w:val="20"/>
                <w:color w:val="auto"/>
              </w:rPr>
            </w:pPr>
            <w:r>
              <w:rPr>
                <w:rFonts w:ascii="Arial" w:cs="Arial" w:eastAsia="Arial" w:hAnsi="Arial"/>
                <w:sz w:val="14"/>
                <w:szCs w:val="14"/>
                <w:color w:val="001641"/>
              </w:rPr>
              <w:t>$12,512,234</w:t>
            </w:r>
          </w:p>
        </w:tc>
      </w:tr>
      <w:tr>
        <w:trPr>
          <w:trHeight w:val="250"/>
        </w:trPr>
        <w:tc>
          <w:tcPr>
            <w:tcW w:w="1780" w:type="dxa"/>
            <w:vAlign w:val="bottom"/>
            <w:tcBorders>
              <w:bottom w:val="single" w:sz="8" w:color="BFA071"/>
            </w:tcBorders>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520" w:type="dxa"/>
            <w:vAlign w:val="bottom"/>
            <w:tcBorders>
              <w:bottom w:val="single" w:sz="8" w:color="BFA071"/>
            </w:tcBorders>
            <w:shd w:val="clear" w:color="auto" w:fill="EBE1D2"/>
          </w:tcPr>
          <w:p>
            <w:pPr>
              <w:spacing w:after="0"/>
              <w:rPr>
                <w:sz w:val="21"/>
                <w:szCs w:val="21"/>
                <w:color w:val="auto"/>
              </w:rPr>
            </w:pPr>
          </w:p>
        </w:tc>
        <w:tc>
          <w:tcPr>
            <w:tcW w:w="98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jc w:val="right"/>
              <w:ind w:right="428"/>
              <w:spacing w:after="0" w:line="250" w:lineRule="exact"/>
              <w:rPr>
                <w:sz w:val="20"/>
                <w:szCs w:val="20"/>
                <w:color w:val="auto"/>
              </w:rPr>
            </w:pPr>
            <w:r>
              <w:rPr>
                <w:rFonts w:ascii="Arial" w:cs="Arial" w:eastAsia="Arial" w:hAnsi="Arial"/>
                <w:sz w:val="14"/>
                <w:szCs w:val="14"/>
                <w:color w:val="001641"/>
              </w:rPr>
              <w:t>24,853</w:t>
            </w:r>
            <w:r>
              <w:rPr>
                <w:rFonts w:ascii="Arial" w:cs="Arial" w:eastAsia="Arial" w:hAnsi="Arial"/>
                <w:sz w:val="23"/>
                <w:szCs w:val="23"/>
                <w:color w:val="001641"/>
                <w:vertAlign w:val="superscript"/>
              </w:rPr>
              <w:t>9</w:t>
            </w:r>
          </w:p>
        </w:tc>
        <w:tc>
          <w:tcPr>
            <w:tcW w:w="1200" w:type="dxa"/>
            <w:vAlign w:val="bottom"/>
            <w:tcBorders>
              <w:bottom w:val="single" w:sz="8" w:color="BFA071"/>
            </w:tcBorders>
            <w:shd w:val="clear" w:color="auto" w:fill="EBE1D2"/>
          </w:tcPr>
          <w:p>
            <w:pPr>
              <w:ind w:left="1080"/>
              <w:spacing w:after="0"/>
              <w:rPr>
                <w:sz w:val="20"/>
                <w:szCs w:val="20"/>
                <w:color w:val="auto"/>
              </w:rPr>
            </w:pPr>
            <w:r>
              <w:rPr>
                <w:rFonts w:ascii="Arial" w:cs="Arial" w:eastAsia="Arial" w:hAnsi="Arial"/>
                <w:sz w:val="14"/>
                <w:szCs w:val="14"/>
                <w:color w:val="001641"/>
              </w:rPr>
              <w:t>$</w:t>
            </w:r>
          </w:p>
        </w:tc>
        <w:tc>
          <w:tcPr>
            <w:tcW w:w="1020" w:type="dxa"/>
            <w:vAlign w:val="bottom"/>
            <w:tcBorders>
              <w:bottom w:val="single" w:sz="8" w:color="BFA071"/>
            </w:tcBorders>
            <w:shd w:val="clear" w:color="auto" w:fill="EBE1D2"/>
          </w:tcPr>
          <w:p>
            <w:pPr>
              <w:jc w:val="right"/>
              <w:ind w:right="268"/>
              <w:spacing w:after="0"/>
              <w:rPr>
                <w:sz w:val="20"/>
                <w:szCs w:val="20"/>
                <w:color w:val="auto"/>
              </w:rPr>
            </w:pPr>
            <w:r>
              <w:rPr>
                <w:rFonts w:ascii="Arial" w:cs="Arial" w:eastAsia="Arial" w:hAnsi="Arial"/>
                <w:sz w:val="14"/>
                <w:szCs w:val="14"/>
                <w:color w:val="001641"/>
              </w:rPr>
              <w:t>8,147,310</w:t>
            </w:r>
          </w:p>
        </w:tc>
      </w:tr>
      <w:tr>
        <w:trPr>
          <w:trHeight w:val="217"/>
        </w:trPr>
        <w:tc>
          <w:tcPr>
            <w:tcW w:w="1780" w:type="dxa"/>
            <w:vAlign w:val="bottom"/>
          </w:tcPr>
          <w:p>
            <w:pPr>
              <w:ind w:left="120"/>
              <w:spacing w:after="0"/>
              <w:rPr>
                <w:sz w:val="20"/>
                <w:szCs w:val="20"/>
                <w:color w:val="auto"/>
              </w:rPr>
            </w:pPr>
            <w:r>
              <w:rPr>
                <w:rFonts w:ascii="Arial" w:cs="Arial" w:eastAsia="Arial" w:hAnsi="Arial"/>
                <w:sz w:val="14"/>
                <w:szCs w:val="14"/>
                <w:b w:val="1"/>
                <w:bCs w:val="1"/>
                <w:color w:val="001641"/>
              </w:rPr>
              <w:t>Patrice Louvet</w:t>
            </w:r>
          </w:p>
        </w:tc>
        <w:tc>
          <w:tcPr>
            <w:tcW w:w="1500" w:type="dxa"/>
            <w:vAlign w:val="bottom"/>
            <w:tcBorders>
              <w:bottom w:val="single" w:sz="8" w:color="BFA071"/>
            </w:tcBorders>
            <w:shd w:val="clear" w:color="auto" w:fill="EBE1D2"/>
          </w:tcPr>
          <w:p>
            <w:pPr>
              <w:spacing w:after="0"/>
              <w:rPr>
                <w:sz w:val="18"/>
                <w:szCs w:val="18"/>
                <w:color w:val="auto"/>
              </w:rPr>
            </w:pPr>
          </w:p>
        </w:tc>
        <w:tc>
          <w:tcPr>
            <w:tcW w:w="520" w:type="dxa"/>
            <w:vAlign w:val="bottom"/>
            <w:tcBorders>
              <w:bottom w:val="single" w:sz="8" w:color="BFA071"/>
            </w:tcBorders>
            <w:shd w:val="clear" w:color="auto" w:fill="EBE1D2"/>
          </w:tcPr>
          <w:p>
            <w:pPr>
              <w:spacing w:after="0"/>
              <w:rPr>
                <w:sz w:val="18"/>
                <w:szCs w:val="18"/>
                <w:color w:val="auto"/>
              </w:rPr>
            </w:pPr>
          </w:p>
        </w:tc>
        <w:tc>
          <w:tcPr>
            <w:tcW w:w="980" w:type="dxa"/>
            <w:vAlign w:val="bottom"/>
            <w:tcBorders>
              <w:bottom w:val="single" w:sz="8" w:color="BFA071"/>
            </w:tcBorders>
            <w:shd w:val="clear" w:color="auto" w:fill="EBE1D2"/>
          </w:tcPr>
          <w:p>
            <w:pPr>
              <w:spacing w:after="0"/>
              <w:rPr>
                <w:sz w:val="18"/>
                <w:szCs w:val="18"/>
                <w:color w:val="auto"/>
              </w:rPr>
            </w:pPr>
          </w:p>
        </w:tc>
        <w:tc>
          <w:tcPr>
            <w:tcW w:w="2180" w:type="dxa"/>
            <w:vAlign w:val="bottom"/>
            <w:tcBorders>
              <w:bottom w:val="single" w:sz="8" w:color="BFA071"/>
            </w:tcBorders>
            <w:shd w:val="clear" w:color="auto" w:fill="EBE1D2"/>
          </w:tcPr>
          <w:p>
            <w:pPr>
              <w:spacing w:after="0"/>
              <w:rPr>
                <w:sz w:val="18"/>
                <w:szCs w:val="18"/>
                <w:color w:val="auto"/>
              </w:rPr>
            </w:pPr>
          </w:p>
        </w:tc>
        <w:tc>
          <w:tcPr>
            <w:tcW w:w="1200" w:type="dxa"/>
            <w:vAlign w:val="bottom"/>
            <w:tcBorders>
              <w:bottom w:val="single" w:sz="8" w:color="BFA071"/>
            </w:tcBorders>
            <w:shd w:val="clear" w:color="auto" w:fill="EBE1D2"/>
          </w:tcPr>
          <w:p>
            <w:pPr>
              <w:spacing w:after="0"/>
              <w:rPr>
                <w:sz w:val="18"/>
                <w:szCs w:val="18"/>
                <w:color w:val="auto"/>
              </w:rPr>
            </w:pPr>
          </w:p>
        </w:tc>
        <w:tc>
          <w:tcPr>
            <w:tcW w:w="1020" w:type="dxa"/>
            <w:vAlign w:val="bottom"/>
            <w:tcBorders>
              <w:bottom w:val="single" w:sz="8" w:color="BFA071"/>
            </w:tcBorders>
            <w:shd w:val="clear" w:color="auto" w:fill="EBE1D2"/>
          </w:tcPr>
          <w:p>
            <w:pPr>
              <w:spacing w:after="0"/>
              <w:rPr>
                <w:sz w:val="18"/>
                <w:szCs w:val="18"/>
                <w:color w:val="auto"/>
              </w:rPr>
            </w:pPr>
          </w:p>
        </w:tc>
      </w:tr>
      <w:tr>
        <w:trPr>
          <w:trHeight w:val="256"/>
        </w:trPr>
        <w:tc>
          <w:tcPr>
            <w:tcW w:w="1780" w:type="dxa"/>
            <w:vAlign w:val="bottom"/>
          </w:tcPr>
          <w:p>
            <w:pPr>
              <w:spacing w:after="0"/>
              <w:rPr>
                <w:sz w:val="22"/>
                <w:szCs w:val="22"/>
                <w:color w:val="auto"/>
              </w:rPr>
            </w:pPr>
          </w:p>
        </w:tc>
        <w:tc>
          <w:tcPr>
            <w:tcW w:w="1500" w:type="dxa"/>
            <w:vAlign w:val="bottom"/>
            <w:tcBorders>
              <w:bottom w:val="single" w:sz="8" w:color="BFA071"/>
            </w:tcBorders>
            <w:shd w:val="clear" w:color="auto" w:fill="EBE1D2"/>
          </w:tcPr>
          <w:p>
            <w:pPr>
              <w:jc w:val="right"/>
              <w:ind w:right="288"/>
              <w:spacing w:after="0" w:line="256" w:lineRule="exact"/>
              <w:rPr>
                <w:sz w:val="20"/>
                <w:szCs w:val="20"/>
                <w:color w:val="auto"/>
              </w:rPr>
            </w:pPr>
            <w:r>
              <w:rPr>
                <w:rFonts w:ascii="Arial" w:cs="Arial" w:eastAsia="Arial" w:hAnsi="Arial"/>
                <w:sz w:val="14"/>
                <w:szCs w:val="14"/>
                <w:color w:val="001641"/>
              </w:rPr>
              <w:t>15,425</w:t>
            </w:r>
            <w:r>
              <w:rPr>
                <w:rFonts w:ascii="Arial" w:cs="Arial" w:eastAsia="Arial" w:hAnsi="Arial"/>
                <w:sz w:val="23"/>
                <w:szCs w:val="23"/>
                <w:color w:val="001641"/>
                <w:vertAlign w:val="superscript"/>
              </w:rPr>
              <w:t>3</w:t>
            </w:r>
          </w:p>
        </w:tc>
        <w:tc>
          <w:tcPr>
            <w:tcW w:w="520" w:type="dxa"/>
            <w:vAlign w:val="bottom"/>
            <w:tcBorders>
              <w:bottom w:val="single" w:sz="8" w:color="BFA071"/>
            </w:tcBorders>
            <w:shd w:val="clear" w:color="auto" w:fill="EBE1D2"/>
          </w:tcPr>
          <w:p>
            <w:pPr>
              <w:ind w:left="400"/>
              <w:spacing w:after="0"/>
              <w:rPr>
                <w:sz w:val="20"/>
                <w:szCs w:val="20"/>
                <w:color w:val="auto"/>
              </w:rPr>
            </w:pPr>
            <w:r>
              <w:rPr>
                <w:rFonts w:ascii="Arial" w:cs="Arial" w:eastAsia="Arial" w:hAnsi="Arial"/>
                <w:sz w:val="14"/>
                <w:szCs w:val="14"/>
                <w:color w:val="001641"/>
              </w:rPr>
              <w:t>$</w:t>
            </w:r>
          </w:p>
        </w:tc>
        <w:tc>
          <w:tcPr>
            <w:tcW w:w="9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5,056,624</w:t>
            </w:r>
          </w:p>
        </w:tc>
        <w:tc>
          <w:tcPr>
            <w:tcW w:w="2180" w:type="dxa"/>
            <w:vAlign w:val="bottom"/>
            <w:tcBorders>
              <w:bottom w:val="single" w:sz="8" w:color="BFA071"/>
            </w:tcBorders>
            <w:shd w:val="clear" w:color="auto" w:fill="EBE1D2"/>
          </w:tcPr>
          <w:p>
            <w:pPr>
              <w:spacing w:after="0"/>
              <w:rPr>
                <w:sz w:val="22"/>
                <w:szCs w:val="22"/>
                <w:color w:val="auto"/>
              </w:rPr>
            </w:pPr>
          </w:p>
        </w:tc>
        <w:tc>
          <w:tcPr>
            <w:tcW w:w="1200" w:type="dxa"/>
            <w:vAlign w:val="bottom"/>
            <w:tcBorders>
              <w:bottom w:val="single" w:sz="8" w:color="BFA071"/>
            </w:tcBorders>
            <w:shd w:val="clear" w:color="auto" w:fill="EBE1D2"/>
          </w:tcPr>
          <w:p>
            <w:pPr>
              <w:spacing w:after="0"/>
              <w:rPr>
                <w:sz w:val="22"/>
                <w:szCs w:val="22"/>
                <w:color w:val="auto"/>
              </w:rPr>
            </w:pPr>
          </w:p>
        </w:tc>
        <w:tc>
          <w:tcPr>
            <w:tcW w:w="1020" w:type="dxa"/>
            <w:vAlign w:val="bottom"/>
            <w:tcBorders>
              <w:bottom w:val="single" w:sz="8" w:color="BFA071"/>
            </w:tcBorders>
            <w:shd w:val="clear" w:color="auto" w:fill="EBE1D2"/>
          </w:tcPr>
          <w:p>
            <w:pPr>
              <w:spacing w:after="0"/>
              <w:rPr>
                <w:sz w:val="22"/>
                <w:szCs w:val="22"/>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46,276</w:t>
            </w:r>
            <w:r>
              <w:rPr>
                <w:rFonts w:ascii="Arial" w:cs="Arial" w:eastAsia="Arial" w:hAnsi="Arial"/>
                <w:sz w:val="23"/>
                <w:szCs w:val="23"/>
                <w:color w:val="001641"/>
                <w:vertAlign w:val="superscript"/>
              </w:rPr>
              <w:t>1</w:t>
            </w:r>
          </w:p>
        </w:tc>
        <w:tc>
          <w:tcPr>
            <w:tcW w:w="1500" w:type="dxa"/>
            <w:vAlign w:val="bottom"/>
            <w:tcBorders>
              <w:bottom w:val="single" w:sz="8" w:color="BFA071"/>
            </w:tcBorders>
            <w:gridSpan w:val="2"/>
            <w:shd w:val="clear" w:color="auto" w:fill="EBE1D2"/>
          </w:tcPr>
          <w:p>
            <w:pPr>
              <w:ind w:left="400"/>
              <w:spacing w:after="0"/>
              <w:rPr>
                <w:sz w:val="20"/>
                <w:szCs w:val="20"/>
                <w:color w:val="auto"/>
              </w:rPr>
            </w:pPr>
            <w:r>
              <w:rPr>
                <w:rFonts w:ascii="Arial" w:cs="Arial" w:eastAsia="Arial" w:hAnsi="Arial"/>
                <w:sz w:val="14"/>
                <w:szCs w:val="14"/>
                <w:color w:val="001641"/>
              </w:rPr>
              <w:t>$15,170,198</w:t>
            </w:r>
          </w:p>
        </w:tc>
        <w:tc>
          <w:tcPr>
            <w:tcW w:w="2180" w:type="dxa"/>
            <w:vAlign w:val="bottom"/>
            <w:tcBorders>
              <w:bottom w:val="single" w:sz="8" w:color="BFA071"/>
            </w:tcBorders>
            <w:shd w:val="clear" w:color="auto" w:fill="EBE1D2"/>
          </w:tcPr>
          <w:p>
            <w:pPr>
              <w:spacing w:after="0"/>
              <w:rPr>
                <w:sz w:val="21"/>
                <w:szCs w:val="21"/>
                <w:color w:val="auto"/>
              </w:rPr>
            </w:pPr>
          </w:p>
        </w:tc>
        <w:tc>
          <w:tcPr>
            <w:tcW w:w="1200" w:type="dxa"/>
            <w:vAlign w:val="bottom"/>
            <w:tcBorders>
              <w:bottom w:val="single" w:sz="8" w:color="BFA071"/>
            </w:tcBorders>
            <w:shd w:val="clear" w:color="auto" w:fill="EBE1D2"/>
          </w:tcPr>
          <w:p>
            <w:pPr>
              <w:spacing w:after="0"/>
              <w:rPr>
                <w:sz w:val="21"/>
                <w:szCs w:val="21"/>
                <w:color w:val="auto"/>
              </w:rPr>
            </w:pPr>
          </w:p>
        </w:tc>
        <w:tc>
          <w:tcPr>
            <w:tcW w:w="102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308"/>
              <w:spacing w:after="0" w:line="250" w:lineRule="exact"/>
              <w:rPr>
                <w:sz w:val="20"/>
                <w:szCs w:val="20"/>
                <w:color w:val="auto"/>
              </w:rPr>
            </w:pPr>
            <w:r>
              <w:rPr>
                <w:rFonts w:ascii="Arial" w:cs="Arial" w:eastAsia="Arial" w:hAnsi="Arial"/>
                <w:sz w:val="14"/>
                <w:szCs w:val="14"/>
                <w:color w:val="001641"/>
              </w:rPr>
              <w:t>34,411</w:t>
            </w:r>
            <w:r>
              <w:rPr>
                <w:rFonts w:ascii="Arial" w:cs="Arial" w:eastAsia="Arial" w:hAnsi="Arial"/>
                <w:sz w:val="23"/>
                <w:szCs w:val="23"/>
                <w:color w:val="001641"/>
                <w:vertAlign w:val="superscript"/>
              </w:rPr>
              <w:t>2</w:t>
            </w:r>
          </w:p>
        </w:tc>
        <w:tc>
          <w:tcPr>
            <w:tcW w:w="1500" w:type="dxa"/>
            <w:vAlign w:val="bottom"/>
            <w:tcBorders>
              <w:bottom w:val="single" w:sz="8" w:color="BFA071"/>
            </w:tcBorders>
            <w:gridSpan w:val="2"/>
            <w:shd w:val="clear" w:color="auto" w:fill="EBE1D2"/>
          </w:tcPr>
          <w:p>
            <w:pPr>
              <w:ind w:left="400"/>
              <w:spacing w:after="0"/>
              <w:rPr>
                <w:sz w:val="20"/>
                <w:szCs w:val="20"/>
                <w:color w:val="auto"/>
              </w:rPr>
            </w:pPr>
            <w:r>
              <w:rPr>
                <w:rFonts w:ascii="Arial" w:cs="Arial" w:eastAsia="Arial" w:hAnsi="Arial"/>
                <w:sz w:val="14"/>
                <w:szCs w:val="14"/>
                <w:color w:val="001641"/>
              </w:rPr>
              <w:t>$11,280,614</w:t>
            </w:r>
          </w:p>
        </w:tc>
        <w:tc>
          <w:tcPr>
            <w:tcW w:w="2180" w:type="dxa"/>
            <w:vAlign w:val="bottom"/>
            <w:tcBorders>
              <w:bottom w:val="single" w:sz="8" w:color="BFA071"/>
            </w:tcBorders>
            <w:shd w:val="clear" w:color="auto" w:fill="EBE1D2"/>
          </w:tcPr>
          <w:p>
            <w:pPr>
              <w:spacing w:after="0"/>
              <w:rPr>
                <w:sz w:val="21"/>
                <w:szCs w:val="21"/>
                <w:color w:val="auto"/>
              </w:rPr>
            </w:pPr>
          </w:p>
        </w:tc>
        <w:tc>
          <w:tcPr>
            <w:tcW w:w="1200" w:type="dxa"/>
            <w:vAlign w:val="bottom"/>
            <w:tcBorders>
              <w:bottom w:val="single" w:sz="8" w:color="BFA071"/>
            </w:tcBorders>
            <w:shd w:val="clear" w:color="auto" w:fill="EBE1D2"/>
          </w:tcPr>
          <w:p>
            <w:pPr>
              <w:spacing w:after="0"/>
              <w:rPr>
                <w:sz w:val="21"/>
                <w:szCs w:val="21"/>
                <w:color w:val="auto"/>
              </w:rPr>
            </w:pPr>
          </w:p>
        </w:tc>
        <w:tc>
          <w:tcPr>
            <w:tcW w:w="102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28,306</w:t>
            </w:r>
            <w:r>
              <w:rPr>
                <w:rFonts w:ascii="Arial" w:cs="Arial" w:eastAsia="Arial" w:hAnsi="Arial"/>
                <w:sz w:val="23"/>
                <w:szCs w:val="23"/>
                <w:color w:val="001641"/>
                <w:vertAlign w:val="superscript"/>
              </w:rPr>
              <w:t>4</w:t>
            </w:r>
          </w:p>
        </w:tc>
        <w:tc>
          <w:tcPr>
            <w:tcW w:w="520" w:type="dxa"/>
            <w:vAlign w:val="bottom"/>
            <w:tcBorders>
              <w:bottom w:val="single" w:sz="8" w:color="BFA071"/>
            </w:tcBorders>
            <w:shd w:val="clear" w:color="auto" w:fill="EBE1D2"/>
          </w:tcPr>
          <w:p>
            <w:pPr>
              <w:ind w:left="400"/>
              <w:spacing w:after="0"/>
              <w:rPr>
                <w:sz w:val="20"/>
                <w:szCs w:val="20"/>
                <w:color w:val="auto"/>
              </w:rPr>
            </w:pPr>
            <w:r>
              <w:rPr>
                <w:rFonts w:ascii="Arial" w:cs="Arial" w:eastAsia="Arial" w:hAnsi="Arial"/>
                <w:sz w:val="14"/>
                <w:szCs w:val="14"/>
                <w:color w:val="001641"/>
              </w:rPr>
              <w:t>$</w:t>
            </w:r>
          </w:p>
        </w:tc>
        <w:tc>
          <w:tcPr>
            <w:tcW w:w="9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9,279,273</w:t>
            </w:r>
          </w:p>
        </w:tc>
        <w:tc>
          <w:tcPr>
            <w:tcW w:w="2180" w:type="dxa"/>
            <w:vAlign w:val="bottom"/>
            <w:tcBorders>
              <w:bottom w:val="single" w:sz="8" w:color="BFA071"/>
            </w:tcBorders>
            <w:shd w:val="clear" w:color="auto" w:fill="EBE1D2"/>
          </w:tcPr>
          <w:p>
            <w:pPr>
              <w:spacing w:after="0"/>
              <w:rPr>
                <w:sz w:val="21"/>
                <w:szCs w:val="21"/>
                <w:color w:val="auto"/>
              </w:rPr>
            </w:pPr>
          </w:p>
        </w:tc>
        <w:tc>
          <w:tcPr>
            <w:tcW w:w="1200" w:type="dxa"/>
            <w:vAlign w:val="bottom"/>
            <w:tcBorders>
              <w:bottom w:val="single" w:sz="8" w:color="BFA071"/>
            </w:tcBorders>
            <w:shd w:val="clear" w:color="auto" w:fill="EBE1D2"/>
          </w:tcPr>
          <w:p>
            <w:pPr>
              <w:spacing w:after="0"/>
              <w:rPr>
                <w:sz w:val="21"/>
                <w:szCs w:val="21"/>
                <w:color w:val="auto"/>
              </w:rPr>
            </w:pPr>
          </w:p>
        </w:tc>
        <w:tc>
          <w:tcPr>
            <w:tcW w:w="102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520" w:type="dxa"/>
            <w:vAlign w:val="bottom"/>
            <w:tcBorders>
              <w:bottom w:val="single" w:sz="8" w:color="BFA071"/>
            </w:tcBorders>
            <w:shd w:val="clear" w:color="auto" w:fill="EBE1D2"/>
          </w:tcPr>
          <w:p>
            <w:pPr>
              <w:spacing w:after="0"/>
              <w:rPr>
                <w:sz w:val="21"/>
                <w:szCs w:val="21"/>
                <w:color w:val="auto"/>
              </w:rPr>
            </w:pPr>
          </w:p>
        </w:tc>
        <w:tc>
          <w:tcPr>
            <w:tcW w:w="98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jc w:val="right"/>
              <w:ind w:right="428"/>
              <w:spacing w:after="0" w:line="250" w:lineRule="exact"/>
              <w:rPr>
                <w:sz w:val="20"/>
                <w:szCs w:val="20"/>
                <w:color w:val="auto"/>
              </w:rPr>
            </w:pPr>
            <w:r>
              <w:rPr>
                <w:rFonts w:ascii="Arial" w:cs="Arial" w:eastAsia="Arial" w:hAnsi="Arial"/>
                <w:sz w:val="14"/>
                <w:szCs w:val="14"/>
                <w:color w:val="001641"/>
              </w:rPr>
              <w:t>42,456</w:t>
            </w:r>
            <w:r>
              <w:rPr>
                <w:rFonts w:ascii="Arial" w:cs="Arial" w:eastAsia="Arial" w:hAnsi="Arial"/>
                <w:sz w:val="23"/>
                <w:szCs w:val="23"/>
                <w:color w:val="001641"/>
                <w:vertAlign w:val="superscript"/>
              </w:rPr>
              <w:t>6</w:t>
            </w:r>
          </w:p>
        </w:tc>
        <w:tc>
          <w:tcPr>
            <w:tcW w:w="2220" w:type="dxa"/>
            <w:vAlign w:val="bottom"/>
            <w:tcBorders>
              <w:bottom w:val="single" w:sz="8" w:color="BFA071"/>
            </w:tcBorders>
            <w:gridSpan w:val="2"/>
            <w:shd w:val="clear" w:color="auto" w:fill="EBE1D2"/>
          </w:tcPr>
          <w:p>
            <w:pPr>
              <w:ind w:left="1080"/>
              <w:spacing w:after="0"/>
              <w:rPr>
                <w:sz w:val="20"/>
                <w:szCs w:val="20"/>
                <w:color w:val="auto"/>
              </w:rPr>
            </w:pPr>
            <w:r>
              <w:rPr>
                <w:rFonts w:ascii="Arial" w:cs="Arial" w:eastAsia="Arial" w:hAnsi="Arial"/>
                <w:sz w:val="14"/>
                <w:szCs w:val="14"/>
                <w:color w:val="001641"/>
              </w:rPr>
              <w:t>$13,917,926</w:t>
            </w: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520" w:type="dxa"/>
            <w:vAlign w:val="bottom"/>
            <w:tcBorders>
              <w:bottom w:val="single" w:sz="8" w:color="BFA071"/>
            </w:tcBorders>
            <w:shd w:val="clear" w:color="auto" w:fill="EBE1D2"/>
          </w:tcPr>
          <w:p>
            <w:pPr>
              <w:spacing w:after="0"/>
              <w:rPr>
                <w:sz w:val="21"/>
                <w:szCs w:val="21"/>
                <w:color w:val="auto"/>
              </w:rPr>
            </w:pPr>
          </w:p>
        </w:tc>
        <w:tc>
          <w:tcPr>
            <w:tcW w:w="98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jc w:val="right"/>
              <w:ind w:right="428"/>
              <w:spacing w:after="0" w:line="250" w:lineRule="exact"/>
              <w:rPr>
                <w:sz w:val="20"/>
                <w:szCs w:val="20"/>
                <w:color w:val="auto"/>
              </w:rPr>
            </w:pPr>
            <w:r>
              <w:rPr>
                <w:rFonts w:ascii="Arial" w:cs="Arial" w:eastAsia="Arial" w:hAnsi="Arial"/>
                <w:sz w:val="14"/>
                <w:szCs w:val="14"/>
                <w:color w:val="001641"/>
              </w:rPr>
              <w:t>33,600</w:t>
            </w:r>
            <w:r>
              <w:rPr>
                <w:rFonts w:ascii="Arial" w:cs="Arial" w:eastAsia="Arial" w:hAnsi="Arial"/>
                <w:sz w:val="23"/>
                <w:szCs w:val="23"/>
                <w:color w:val="001641"/>
                <w:vertAlign w:val="superscript"/>
              </w:rPr>
              <w:t>7</w:t>
            </w:r>
          </w:p>
        </w:tc>
        <w:tc>
          <w:tcPr>
            <w:tcW w:w="2220" w:type="dxa"/>
            <w:vAlign w:val="bottom"/>
            <w:tcBorders>
              <w:bottom w:val="single" w:sz="8" w:color="BFA071"/>
            </w:tcBorders>
            <w:gridSpan w:val="2"/>
            <w:shd w:val="clear" w:color="auto" w:fill="EBE1D2"/>
          </w:tcPr>
          <w:p>
            <w:pPr>
              <w:ind w:left="1080"/>
              <w:spacing w:after="0"/>
              <w:rPr>
                <w:sz w:val="20"/>
                <w:szCs w:val="20"/>
                <w:color w:val="auto"/>
              </w:rPr>
            </w:pPr>
            <w:r>
              <w:rPr>
                <w:rFonts w:ascii="Arial" w:cs="Arial" w:eastAsia="Arial" w:hAnsi="Arial"/>
                <w:sz w:val="14"/>
                <w:szCs w:val="14"/>
                <w:color w:val="001641"/>
              </w:rPr>
              <w:t>$11,014,752</w:t>
            </w: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24,159</w:t>
            </w:r>
            <w:r>
              <w:rPr>
                <w:rFonts w:ascii="Arial" w:cs="Arial" w:eastAsia="Arial" w:hAnsi="Arial"/>
                <w:sz w:val="23"/>
                <w:szCs w:val="23"/>
                <w:color w:val="001641"/>
                <w:vertAlign w:val="superscript"/>
              </w:rPr>
              <w:t>5</w:t>
            </w:r>
          </w:p>
        </w:tc>
        <w:tc>
          <w:tcPr>
            <w:tcW w:w="520" w:type="dxa"/>
            <w:vAlign w:val="bottom"/>
            <w:tcBorders>
              <w:bottom w:val="single" w:sz="8" w:color="BFA071"/>
            </w:tcBorders>
            <w:shd w:val="clear" w:color="auto" w:fill="EBE1D2"/>
          </w:tcPr>
          <w:p>
            <w:pPr>
              <w:ind w:left="400"/>
              <w:spacing w:after="0"/>
              <w:rPr>
                <w:sz w:val="20"/>
                <w:szCs w:val="20"/>
                <w:color w:val="auto"/>
              </w:rPr>
            </w:pPr>
            <w:r>
              <w:rPr>
                <w:rFonts w:ascii="Arial" w:cs="Arial" w:eastAsia="Arial" w:hAnsi="Arial"/>
                <w:sz w:val="14"/>
                <w:szCs w:val="14"/>
                <w:color w:val="001641"/>
              </w:rPr>
              <w:t>$</w:t>
            </w:r>
          </w:p>
        </w:tc>
        <w:tc>
          <w:tcPr>
            <w:tcW w:w="9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7,919,803</w:t>
            </w:r>
          </w:p>
        </w:tc>
        <w:tc>
          <w:tcPr>
            <w:tcW w:w="2180" w:type="dxa"/>
            <w:vAlign w:val="bottom"/>
            <w:tcBorders>
              <w:bottom w:val="single" w:sz="8" w:color="BFA071"/>
            </w:tcBorders>
            <w:shd w:val="clear" w:color="auto" w:fill="EBE1D2"/>
          </w:tcPr>
          <w:p>
            <w:pPr>
              <w:spacing w:after="0"/>
              <w:rPr>
                <w:sz w:val="21"/>
                <w:szCs w:val="21"/>
                <w:color w:val="auto"/>
              </w:rPr>
            </w:pPr>
          </w:p>
        </w:tc>
        <w:tc>
          <w:tcPr>
            <w:tcW w:w="1200" w:type="dxa"/>
            <w:vAlign w:val="bottom"/>
            <w:tcBorders>
              <w:bottom w:val="single" w:sz="8" w:color="BFA071"/>
            </w:tcBorders>
            <w:shd w:val="clear" w:color="auto" w:fill="EBE1D2"/>
          </w:tcPr>
          <w:p>
            <w:pPr>
              <w:spacing w:after="0"/>
              <w:rPr>
                <w:sz w:val="21"/>
                <w:szCs w:val="21"/>
                <w:color w:val="auto"/>
              </w:rPr>
            </w:pPr>
          </w:p>
        </w:tc>
        <w:tc>
          <w:tcPr>
            <w:tcW w:w="102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520" w:type="dxa"/>
            <w:vAlign w:val="bottom"/>
            <w:tcBorders>
              <w:bottom w:val="single" w:sz="8" w:color="BFA071"/>
            </w:tcBorders>
            <w:shd w:val="clear" w:color="auto" w:fill="EBE1D2"/>
          </w:tcPr>
          <w:p>
            <w:pPr>
              <w:spacing w:after="0"/>
              <w:rPr>
                <w:sz w:val="21"/>
                <w:szCs w:val="21"/>
                <w:color w:val="auto"/>
              </w:rPr>
            </w:pPr>
          </w:p>
        </w:tc>
        <w:tc>
          <w:tcPr>
            <w:tcW w:w="98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jc w:val="right"/>
              <w:ind w:right="428"/>
              <w:spacing w:after="0" w:line="250" w:lineRule="exact"/>
              <w:rPr>
                <w:sz w:val="20"/>
                <w:szCs w:val="20"/>
                <w:color w:val="auto"/>
              </w:rPr>
            </w:pPr>
            <w:r>
              <w:rPr>
                <w:rFonts w:ascii="Arial" w:cs="Arial" w:eastAsia="Arial" w:hAnsi="Arial"/>
                <w:sz w:val="14"/>
                <w:szCs w:val="14"/>
                <w:color w:val="001641"/>
              </w:rPr>
              <w:t>24,158</w:t>
            </w:r>
            <w:r>
              <w:rPr>
                <w:rFonts w:ascii="Arial" w:cs="Arial" w:eastAsia="Arial" w:hAnsi="Arial"/>
                <w:sz w:val="23"/>
                <w:szCs w:val="23"/>
                <w:color w:val="001641"/>
                <w:vertAlign w:val="superscript"/>
              </w:rPr>
              <w:t>8</w:t>
            </w:r>
          </w:p>
        </w:tc>
        <w:tc>
          <w:tcPr>
            <w:tcW w:w="1200" w:type="dxa"/>
            <w:vAlign w:val="bottom"/>
            <w:tcBorders>
              <w:bottom w:val="single" w:sz="8" w:color="BFA071"/>
            </w:tcBorders>
            <w:shd w:val="clear" w:color="auto" w:fill="EBE1D2"/>
          </w:tcPr>
          <w:p>
            <w:pPr>
              <w:ind w:left="1080"/>
              <w:spacing w:after="0"/>
              <w:rPr>
                <w:sz w:val="20"/>
                <w:szCs w:val="20"/>
                <w:color w:val="auto"/>
              </w:rPr>
            </w:pPr>
            <w:r>
              <w:rPr>
                <w:rFonts w:ascii="Arial" w:cs="Arial" w:eastAsia="Arial" w:hAnsi="Arial"/>
                <w:sz w:val="14"/>
                <w:szCs w:val="14"/>
                <w:color w:val="001641"/>
              </w:rPr>
              <w:t>$</w:t>
            </w:r>
          </w:p>
        </w:tc>
        <w:tc>
          <w:tcPr>
            <w:tcW w:w="1020" w:type="dxa"/>
            <w:vAlign w:val="bottom"/>
            <w:tcBorders>
              <w:bottom w:val="single" w:sz="8" w:color="BFA071"/>
            </w:tcBorders>
            <w:shd w:val="clear" w:color="auto" w:fill="EBE1D2"/>
          </w:tcPr>
          <w:p>
            <w:pPr>
              <w:jc w:val="right"/>
              <w:ind w:right="268"/>
              <w:spacing w:after="0"/>
              <w:rPr>
                <w:sz w:val="20"/>
                <w:szCs w:val="20"/>
                <w:color w:val="auto"/>
              </w:rPr>
            </w:pPr>
            <w:r>
              <w:rPr>
                <w:rFonts w:ascii="Arial" w:cs="Arial" w:eastAsia="Arial" w:hAnsi="Arial"/>
                <w:sz w:val="14"/>
                <w:szCs w:val="14"/>
                <w:color w:val="001641"/>
              </w:rPr>
              <w:t>7,919,476</w:t>
            </w:r>
          </w:p>
        </w:tc>
      </w:tr>
      <w:tr>
        <w:trPr>
          <w:trHeight w:val="250"/>
        </w:trPr>
        <w:tc>
          <w:tcPr>
            <w:tcW w:w="1780" w:type="dxa"/>
            <w:vAlign w:val="bottom"/>
          </w:tcPr>
          <w:p>
            <w:pPr>
              <w:spacing w:after="0"/>
              <w:rPr>
                <w:sz w:val="21"/>
                <w:szCs w:val="21"/>
                <w:color w:val="auto"/>
              </w:rPr>
            </w:pPr>
          </w:p>
        </w:tc>
        <w:tc>
          <w:tcPr>
            <w:tcW w:w="1500" w:type="dxa"/>
            <w:vAlign w:val="bottom"/>
            <w:shd w:val="clear" w:color="auto" w:fill="EBE1D2"/>
          </w:tcPr>
          <w:p>
            <w:pPr>
              <w:spacing w:after="0"/>
              <w:rPr>
                <w:sz w:val="21"/>
                <w:szCs w:val="21"/>
                <w:color w:val="auto"/>
              </w:rPr>
            </w:pPr>
          </w:p>
        </w:tc>
        <w:tc>
          <w:tcPr>
            <w:tcW w:w="520" w:type="dxa"/>
            <w:vAlign w:val="bottom"/>
            <w:shd w:val="clear" w:color="auto" w:fill="EBE1D2"/>
          </w:tcPr>
          <w:p>
            <w:pPr>
              <w:spacing w:after="0"/>
              <w:rPr>
                <w:sz w:val="21"/>
                <w:szCs w:val="21"/>
                <w:color w:val="auto"/>
              </w:rPr>
            </w:pPr>
          </w:p>
        </w:tc>
        <w:tc>
          <w:tcPr>
            <w:tcW w:w="980" w:type="dxa"/>
            <w:vAlign w:val="bottom"/>
            <w:shd w:val="clear" w:color="auto" w:fill="EBE1D2"/>
          </w:tcPr>
          <w:p>
            <w:pPr>
              <w:spacing w:after="0"/>
              <w:rPr>
                <w:sz w:val="21"/>
                <w:szCs w:val="21"/>
                <w:color w:val="auto"/>
              </w:rPr>
            </w:pPr>
          </w:p>
        </w:tc>
        <w:tc>
          <w:tcPr>
            <w:tcW w:w="2180" w:type="dxa"/>
            <w:vAlign w:val="bottom"/>
            <w:shd w:val="clear" w:color="auto" w:fill="EBE1D2"/>
          </w:tcPr>
          <w:p>
            <w:pPr>
              <w:jc w:val="right"/>
              <w:ind w:right="428"/>
              <w:spacing w:after="0" w:line="250" w:lineRule="exact"/>
              <w:rPr>
                <w:sz w:val="20"/>
                <w:szCs w:val="20"/>
                <w:color w:val="auto"/>
              </w:rPr>
            </w:pPr>
            <w:r>
              <w:rPr>
                <w:rFonts w:ascii="Arial" w:cs="Arial" w:eastAsia="Arial" w:hAnsi="Arial"/>
                <w:sz w:val="14"/>
                <w:szCs w:val="14"/>
                <w:color w:val="001641"/>
              </w:rPr>
              <w:t>16,256</w:t>
            </w:r>
            <w:r>
              <w:rPr>
                <w:rFonts w:ascii="Arial" w:cs="Arial" w:eastAsia="Arial" w:hAnsi="Arial"/>
                <w:sz w:val="23"/>
                <w:szCs w:val="23"/>
                <w:color w:val="001641"/>
                <w:vertAlign w:val="superscript"/>
              </w:rPr>
              <w:t>9</w:t>
            </w:r>
          </w:p>
        </w:tc>
        <w:tc>
          <w:tcPr>
            <w:tcW w:w="1200" w:type="dxa"/>
            <w:vAlign w:val="bottom"/>
            <w:shd w:val="clear" w:color="auto" w:fill="EBE1D2"/>
          </w:tcPr>
          <w:p>
            <w:pPr>
              <w:ind w:left="1080"/>
              <w:spacing w:after="0"/>
              <w:rPr>
                <w:sz w:val="20"/>
                <w:szCs w:val="20"/>
                <w:color w:val="auto"/>
              </w:rPr>
            </w:pPr>
            <w:r>
              <w:rPr>
                <w:rFonts w:ascii="Arial" w:cs="Arial" w:eastAsia="Arial" w:hAnsi="Arial"/>
                <w:sz w:val="14"/>
                <w:szCs w:val="14"/>
                <w:color w:val="001641"/>
              </w:rPr>
              <w:t>$</w:t>
            </w:r>
          </w:p>
        </w:tc>
        <w:tc>
          <w:tcPr>
            <w:tcW w:w="1020" w:type="dxa"/>
            <w:vAlign w:val="bottom"/>
            <w:shd w:val="clear" w:color="auto" w:fill="EBE1D2"/>
          </w:tcPr>
          <w:p>
            <w:pPr>
              <w:jc w:val="right"/>
              <w:ind w:right="268"/>
              <w:spacing w:after="0"/>
              <w:rPr>
                <w:sz w:val="20"/>
                <w:szCs w:val="20"/>
                <w:color w:val="auto"/>
              </w:rPr>
            </w:pPr>
            <w:r>
              <w:rPr>
                <w:rFonts w:ascii="Arial" w:cs="Arial" w:eastAsia="Arial" w:hAnsi="Arial"/>
                <w:sz w:val="14"/>
                <w:szCs w:val="14"/>
                <w:color w:val="001641"/>
              </w:rPr>
              <w:t>5,329,042</w:t>
            </w:r>
          </w:p>
        </w:tc>
      </w:tr>
      <w:tr>
        <w:trPr>
          <w:trHeight w:val="237"/>
        </w:trPr>
        <w:tc>
          <w:tcPr>
            <w:tcW w:w="1780" w:type="dxa"/>
            <w:vAlign w:val="bottom"/>
          </w:tcPr>
          <w:p>
            <w:pPr>
              <w:ind w:left="120"/>
              <w:spacing w:after="0"/>
              <w:rPr>
                <w:sz w:val="20"/>
                <w:szCs w:val="20"/>
                <w:color w:val="auto"/>
              </w:rPr>
            </w:pPr>
            <w:r>
              <w:rPr>
                <w:rFonts w:ascii="Arial" w:cs="Arial" w:eastAsia="Arial" w:hAnsi="Arial"/>
                <w:sz w:val="14"/>
                <w:szCs w:val="14"/>
                <w:b w:val="1"/>
                <w:bCs w:val="1"/>
                <w:color w:val="001641"/>
              </w:rPr>
              <w:t>Robert Ranftl</w:t>
            </w:r>
          </w:p>
        </w:tc>
        <w:tc>
          <w:tcPr>
            <w:tcW w:w="1500" w:type="dxa"/>
            <w:vAlign w:val="bottom"/>
            <w:tcBorders>
              <w:bottom w:val="single" w:sz="8" w:color="BFA071"/>
            </w:tcBorders>
            <w:shd w:val="clear" w:color="auto" w:fill="EBE1D2"/>
          </w:tcPr>
          <w:p>
            <w:pPr>
              <w:spacing w:after="0"/>
              <w:rPr>
                <w:sz w:val="20"/>
                <w:szCs w:val="20"/>
                <w:color w:val="auto"/>
              </w:rPr>
            </w:pPr>
          </w:p>
        </w:tc>
        <w:tc>
          <w:tcPr>
            <w:tcW w:w="520" w:type="dxa"/>
            <w:vAlign w:val="bottom"/>
            <w:tcBorders>
              <w:bottom w:val="single" w:sz="8" w:color="BFA071"/>
            </w:tcBorders>
            <w:shd w:val="clear" w:color="auto" w:fill="EBE1D2"/>
          </w:tcPr>
          <w:p>
            <w:pPr>
              <w:spacing w:after="0"/>
              <w:rPr>
                <w:sz w:val="20"/>
                <w:szCs w:val="20"/>
                <w:color w:val="auto"/>
              </w:rPr>
            </w:pPr>
          </w:p>
        </w:tc>
        <w:tc>
          <w:tcPr>
            <w:tcW w:w="980" w:type="dxa"/>
            <w:vAlign w:val="bottom"/>
            <w:tcBorders>
              <w:bottom w:val="single" w:sz="8" w:color="BFA071"/>
            </w:tcBorders>
            <w:shd w:val="clear" w:color="auto" w:fill="EBE1D2"/>
          </w:tcPr>
          <w:p>
            <w:pPr>
              <w:spacing w:after="0"/>
              <w:rPr>
                <w:sz w:val="20"/>
                <w:szCs w:val="20"/>
                <w:color w:val="auto"/>
              </w:rPr>
            </w:pPr>
          </w:p>
        </w:tc>
        <w:tc>
          <w:tcPr>
            <w:tcW w:w="2180" w:type="dxa"/>
            <w:vAlign w:val="bottom"/>
            <w:tcBorders>
              <w:bottom w:val="single" w:sz="8" w:color="BFA071"/>
            </w:tcBorders>
            <w:shd w:val="clear" w:color="auto" w:fill="EBE1D2"/>
          </w:tcPr>
          <w:p>
            <w:pPr>
              <w:spacing w:after="0"/>
              <w:rPr>
                <w:sz w:val="20"/>
                <w:szCs w:val="20"/>
                <w:color w:val="auto"/>
              </w:rPr>
            </w:pPr>
          </w:p>
        </w:tc>
        <w:tc>
          <w:tcPr>
            <w:tcW w:w="1200" w:type="dxa"/>
            <w:vAlign w:val="bottom"/>
            <w:tcBorders>
              <w:bottom w:val="single" w:sz="8" w:color="BFA071"/>
            </w:tcBorders>
            <w:shd w:val="clear" w:color="auto" w:fill="EBE1D2"/>
          </w:tcPr>
          <w:p>
            <w:pPr>
              <w:spacing w:after="0"/>
              <w:rPr>
                <w:sz w:val="20"/>
                <w:szCs w:val="20"/>
                <w:color w:val="auto"/>
              </w:rPr>
            </w:pPr>
          </w:p>
        </w:tc>
        <w:tc>
          <w:tcPr>
            <w:tcW w:w="1020" w:type="dxa"/>
            <w:vAlign w:val="bottom"/>
            <w:tcBorders>
              <w:bottom w:val="single" w:sz="8" w:color="BFA071"/>
            </w:tcBorders>
            <w:shd w:val="clear" w:color="auto" w:fill="EBE1D2"/>
          </w:tcPr>
          <w:p>
            <w:pPr>
              <w:spacing w:after="0"/>
              <w:rPr>
                <w:sz w:val="20"/>
                <w:szCs w:val="20"/>
                <w:color w:val="auto"/>
              </w:rPr>
            </w:pPr>
          </w:p>
        </w:tc>
      </w:tr>
      <w:tr>
        <w:trPr>
          <w:trHeight w:val="256"/>
        </w:trPr>
        <w:tc>
          <w:tcPr>
            <w:tcW w:w="1780" w:type="dxa"/>
            <w:vAlign w:val="bottom"/>
          </w:tcPr>
          <w:p>
            <w:pPr>
              <w:spacing w:after="0"/>
              <w:rPr>
                <w:sz w:val="22"/>
                <w:szCs w:val="22"/>
                <w:color w:val="auto"/>
              </w:rPr>
            </w:pPr>
          </w:p>
        </w:tc>
        <w:tc>
          <w:tcPr>
            <w:tcW w:w="1500" w:type="dxa"/>
            <w:vAlign w:val="bottom"/>
            <w:tcBorders>
              <w:bottom w:val="single" w:sz="8" w:color="BFA071"/>
            </w:tcBorders>
            <w:shd w:val="clear" w:color="auto" w:fill="EBE1D2"/>
          </w:tcPr>
          <w:p>
            <w:pPr>
              <w:jc w:val="right"/>
              <w:ind w:right="288"/>
              <w:spacing w:after="0" w:line="256" w:lineRule="exact"/>
              <w:rPr>
                <w:sz w:val="20"/>
                <w:szCs w:val="20"/>
                <w:color w:val="auto"/>
              </w:rPr>
            </w:pPr>
            <w:r>
              <w:rPr>
                <w:rFonts w:ascii="Arial" w:cs="Arial" w:eastAsia="Arial" w:hAnsi="Arial"/>
                <w:sz w:val="14"/>
                <w:szCs w:val="14"/>
                <w:color w:val="001641"/>
              </w:rPr>
              <w:t>2,084</w:t>
            </w:r>
            <w:r>
              <w:rPr>
                <w:rFonts w:ascii="Arial" w:cs="Arial" w:eastAsia="Arial" w:hAnsi="Arial"/>
                <w:sz w:val="23"/>
                <w:szCs w:val="23"/>
                <w:color w:val="001641"/>
                <w:vertAlign w:val="superscript"/>
              </w:rPr>
              <w:t>3</w:t>
            </w:r>
          </w:p>
        </w:tc>
        <w:tc>
          <w:tcPr>
            <w:tcW w:w="520" w:type="dxa"/>
            <w:vAlign w:val="bottom"/>
            <w:tcBorders>
              <w:bottom w:val="single" w:sz="8" w:color="BFA071"/>
            </w:tcBorders>
            <w:shd w:val="clear" w:color="auto" w:fill="EBE1D2"/>
          </w:tcPr>
          <w:p>
            <w:pPr>
              <w:ind w:left="400"/>
              <w:spacing w:after="0"/>
              <w:rPr>
                <w:sz w:val="20"/>
                <w:szCs w:val="20"/>
                <w:color w:val="auto"/>
              </w:rPr>
            </w:pPr>
            <w:r>
              <w:rPr>
                <w:rFonts w:ascii="Arial" w:cs="Arial" w:eastAsia="Arial" w:hAnsi="Arial"/>
                <w:sz w:val="14"/>
                <w:szCs w:val="14"/>
                <w:color w:val="001641"/>
              </w:rPr>
              <w:t>$</w:t>
            </w:r>
          </w:p>
        </w:tc>
        <w:tc>
          <w:tcPr>
            <w:tcW w:w="9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683,177</w:t>
            </w:r>
          </w:p>
        </w:tc>
        <w:tc>
          <w:tcPr>
            <w:tcW w:w="2180" w:type="dxa"/>
            <w:vAlign w:val="bottom"/>
            <w:tcBorders>
              <w:bottom w:val="single" w:sz="8" w:color="BFA071"/>
            </w:tcBorders>
            <w:shd w:val="clear" w:color="auto" w:fill="EBE1D2"/>
          </w:tcPr>
          <w:p>
            <w:pPr>
              <w:spacing w:after="0"/>
              <w:rPr>
                <w:sz w:val="22"/>
                <w:szCs w:val="22"/>
                <w:color w:val="auto"/>
              </w:rPr>
            </w:pPr>
          </w:p>
        </w:tc>
        <w:tc>
          <w:tcPr>
            <w:tcW w:w="1200" w:type="dxa"/>
            <w:vAlign w:val="bottom"/>
            <w:tcBorders>
              <w:bottom w:val="single" w:sz="8" w:color="BFA071"/>
            </w:tcBorders>
            <w:shd w:val="clear" w:color="auto" w:fill="EBE1D2"/>
          </w:tcPr>
          <w:p>
            <w:pPr>
              <w:spacing w:after="0"/>
              <w:rPr>
                <w:sz w:val="22"/>
                <w:szCs w:val="22"/>
                <w:color w:val="auto"/>
              </w:rPr>
            </w:pPr>
          </w:p>
        </w:tc>
        <w:tc>
          <w:tcPr>
            <w:tcW w:w="1020" w:type="dxa"/>
            <w:vAlign w:val="bottom"/>
            <w:tcBorders>
              <w:bottom w:val="single" w:sz="8" w:color="BFA071"/>
            </w:tcBorders>
            <w:shd w:val="clear" w:color="auto" w:fill="EBE1D2"/>
          </w:tcPr>
          <w:p>
            <w:pPr>
              <w:spacing w:after="0"/>
              <w:rPr>
                <w:sz w:val="22"/>
                <w:szCs w:val="22"/>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3,538</w:t>
            </w:r>
            <w:r>
              <w:rPr>
                <w:rFonts w:ascii="Arial" w:cs="Arial" w:eastAsia="Arial" w:hAnsi="Arial"/>
                <w:sz w:val="23"/>
                <w:szCs w:val="23"/>
                <w:color w:val="001641"/>
                <w:vertAlign w:val="superscript"/>
              </w:rPr>
              <w:t>4</w:t>
            </w:r>
          </w:p>
        </w:tc>
        <w:tc>
          <w:tcPr>
            <w:tcW w:w="520" w:type="dxa"/>
            <w:vAlign w:val="bottom"/>
            <w:tcBorders>
              <w:bottom w:val="single" w:sz="8" w:color="BFA071"/>
            </w:tcBorders>
            <w:shd w:val="clear" w:color="auto" w:fill="EBE1D2"/>
          </w:tcPr>
          <w:p>
            <w:pPr>
              <w:ind w:left="400"/>
              <w:spacing w:after="0"/>
              <w:rPr>
                <w:sz w:val="20"/>
                <w:szCs w:val="20"/>
                <w:color w:val="auto"/>
              </w:rPr>
            </w:pPr>
            <w:r>
              <w:rPr>
                <w:rFonts w:ascii="Arial" w:cs="Arial" w:eastAsia="Arial" w:hAnsi="Arial"/>
                <w:sz w:val="14"/>
                <w:szCs w:val="14"/>
                <w:color w:val="001641"/>
              </w:rPr>
              <w:t>$</w:t>
            </w:r>
          </w:p>
        </w:tc>
        <w:tc>
          <w:tcPr>
            <w:tcW w:w="9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1,159,827</w:t>
            </w:r>
          </w:p>
        </w:tc>
        <w:tc>
          <w:tcPr>
            <w:tcW w:w="2180" w:type="dxa"/>
            <w:vAlign w:val="bottom"/>
            <w:tcBorders>
              <w:bottom w:val="single" w:sz="8" w:color="BFA071"/>
            </w:tcBorders>
            <w:shd w:val="clear" w:color="auto" w:fill="EBE1D2"/>
          </w:tcPr>
          <w:p>
            <w:pPr>
              <w:spacing w:after="0"/>
              <w:rPr>
                <w:sz w:val="21"/>
                <w:szCs w:val="21"/>
                <w:color w:val="auto"/>
              </w:rPr>
            </w:pPr>
          </w:p>
        </w:tc>
        <w:tc>
          <w:tcPr>
            <w:tcW w:w="1200" w:type="dxa"/>
            <w:vAlign w:val="bottom"/>
            <w:tcBorders>
              <w:bottom w:val="single" w:sz="8" w:color="BFA071"/>
            </w:tcBorders>
            <w:shd w:val="clear" w:color="auto" w:fill="EBE1D2"/>
          </w:tcPr>
          <w:p>
            <w:pPr>
              <w:spacing w:after="0"/>
              <w:rPr>
                <w:sz w:val="21"/>
                <w:szCs w:val="21"/>
                <w:color w:val="auto"/>
              </w:rPr>
            </w:pPr>
          </w:p>
        </w:tc>
        <w:tc>
          <w:tcPr>
            <w:tcW w:w="102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3,882</w:t>
            </w:r>
            <w:r>
              <w:rPr>
                <w:rFonts w:ascii="Arial" w:cs="Arial" w:eastAsia="Arial" w:hAnsi="Arial"/>
                <w:sz w:val="23"/>
                <w:szCs w:val="23"/>
                <w:color w:val="001641"/>
                <w:vertAlign w:val="superscript"/>
              </w:rPr>
              <w:t>5</w:t>
            </w:r>
          </w:p>
        </w:tc>
        <w:tc>
          <w:tcPr>
            <w:tcW w:w="520" w:type="dxa"/>
            <w:vAlign w:val="bottom"/>
            <w:tcBorders>
              <w:bottom w:val="single" w:sz="8" w:color="BFA071"/>
            </w:tcBorders>
            <w:shd w:val="clear" w:color="auto" w:fill="EBE1D2"/>
          </w:tcPr>
          <w:p>
            <w:pPr>
              <w:ind w:left="400"/>
              <w:spacing w:after="0"/>
              <w:rPr>
                <w:sz w:val="20"/>
                <w:szCs w:val="20"/>
                <w:color w:val="auto"/>
              </w:rPr>
            </w:pPr>
            <w:r>
              <w:rPr>
                <w:rFonts w:ascii="Arial" w:cs="Arial" w:eastAsia="Arial" w:hAnsi="Arial"/>
                <w:sz w:val="14"/>
                <w:szCs w:val="14"/>
                <w:color w:val="001641"/>
              </w:rPr>
              <w:t>$</w:t>
            </w:r>
          </w:p>
        </w:tc>
        <w:tc>
          <w:tcPr>
            <w:tcW w:w="9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1,272,597</w:t>
            </w:r>
          </w:p>
        </w:tc>
        <w:tc>
          <w:tcPr>
            <w:tcW w:w="2180" w:type="dxa"/>
            <w:vAlign w:val="bottom"/>
            <w:tcBorders>
              <w:bottom w:val="single" w:sz="8" w:color="BFA071"/>
            </w:tcBorders>
            <w:shd w:val="clear" w:color="auto" w:fill="EBE1D2"/>
          </w:tcPr>
          <w:p>
            <w:pPr>
              <w:spacing w:after="0"/>
              <w:rPr>
                <w:sz w:val="21"/>
                <w:szCs w:val="21"/>
                <w:color w:val="auto"/>
              </w:rPr>
            </w:pPr>
          </w:p>
        </w:tc>
        <w:tc>
          <w:tcPr>
            <w:tcW w:w="1200" w:type="dxa"/>
            <w:vAlign w:val="bottom"/>
            <w:tcBorders>
              <w:bottom w:val="single" w:sz="8" w:color="BFA071"/>
            </w:tcBorders>
            <w:shd w:val="clear" w:color="auto" w:fill="EBE1D2"/>
          </w:tcPr>
          <w:p>
            <w:pPr>
              <w:spacing w:after="0"/>
              <w:rPr>
                <w:sz w:val="21"/>
                <w:szCs w:val="21"/>
                <w:color w:val="auto"/>
              </w:rPr>
            </w:pPr>
          </w:p>
        </w:tc>
        <w:tc>
          <w:tcPr>
            <w:tcW w:w="102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6,254</w:t>
            </w:r>
            <w:r>
              <w:rPr>
                <w:rFonts w:ascii="Arial" w:cs="Arial" w:eastAsia="Arial" w:hAnsi="Arial"/>
                <w:sz w:val="23"/>
                <w:szCs w:val="23"/>
                <w:color w:val="001641"/>
                <w:vertAlign w:val="superscript"/>
              </w:rPr>
              <w:t>1</w:t>
            </w:r>
          </w:p>
        </w:tc>
        <w:tc>
          <w:tcPr>
            <w:tcW w:w="520" w:type="dxa"/>
            <w:vAlign w:val="bottom"/>
            <w:tcBorders>
              <w:bottom w:val="single" w:sz="8" w:color="BFA071"/>
            </w:tcBorders>
            <w:shd w:val="clear" w:color="auto" w:fill="EBE1D2"/>
          </w:tcPr>
          <w:p>
            <w:pPr>
              <w:ind w:left="400"/>
              <w:spacing w:after="0"/>
              <w:rPr>
                <w:sz w:val="20"/>
                <w:szCs w:val="20"/>
                <w:color w:val="auto"/>
              </w:rPr>
            </w:pPr>
            <w:r>
              <w:rPr>
                <w:rFonts w:ascii="Arial" w:cs="Arial" w:eastAsia="Arial" w:hAnsi="Arial"/>
                <w:sz w:val="14"/>
                <w:szCs w:val="14"/>
                <w:color w:val="001641"/>
              </w:rPr>
              <w:t>$</w:t>
            </w:r>
          </w:p>
        </w:tc>
        <w:tc>
          <w:tcPr>
            <w:tcW w:w="9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2,050,186</w:t>
            </w:r>
          </w:p>
        </w:tc>
        <w:tc>
          <w:tcPr>
            <w:tcW w:w="2180" w:type="dxa"/>
            <w:vAlign w:val="bottom"/>
            <w:tcBorders>
              <w:bottom w:val="single" w:sz="8" w:color="BFA071"/>
            </w:tcBorders>
            <w:shd w:val="clear" w:color="auto" w:fill="EBE1D2"/>
          </w:tcPr>
          <w:p>
            <w:pPr>
              <w:spacing w:after="0"/>
              <w:rPr>
                <w:sz w:val="21"/>
                <w:szCs w:val="21"/>
                <w:color w:val="auto"/>
              </w:rPr>
            </w:pPr>
          </w:p>
        </w:tc>
        <w:tc>
          <w:tcPr>
            <w:tcW w:w="1200" w:type="dxa"/>
            <w:vAlign w:val="bottom"/>
            <w:tcBorders>
              <w:bottom w:val="single" w:sz="8" w:color="BFA071"/>
            </w:tcBorders>
            <w:shd w:val="clear" w:color="auto" w:fill="EBE1D2"/>
          </w:tcPr>
          <w:p>
            <w:pPr>
              <w:spacing w:after="0"/>
              <w:rPr>
                <w:sz w:val="21"/>
                <w:szCs w:val="21"/>
                <w:color w:val="auto"/>
              </w:rPr>
            </w:pPr>
          </w:p>
        </w:tc>
        <w:tc>
          <w:tcPr>
            <w:tcW w:w="102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4,651</w:t>
            </w:r>
            <w:r>
              <w:rPr>
                <w:rFonts w:ascii="Arial" w:cs="Arial" w:eastAsia="Arial" w:hAnsi="Arial"/>
                <w:sz w:val="23"/>
                <w:szCs w:val="23"/>
                <w:color w:val="001641"/>
                <w:vertAlign w:val="superscript"/>
              </w:rPr>
              <w:t>2</w:t>
            </w:r>
          </w:p>
        </w:tc>
        <w:tc>
          <w:tcPr>
            <w:tcW w:w="520" w:type="dxa"/>
            <w:vAlign w:val="bottom"/>
            <w:tcBorders>
              <w:bottom w:val="single" w:sz="8" w:color="BFA071"/>
            </w:tcBorders>
            <w:shd w:val="clear" w:color="auto" w:fill="EBE1D2"/>
          </w:tcPr>
          <w:p>
            <w:pPr>
              <w:ind w:left="400"/>
              <w:spacing w:after="0"/>
              <w:rPr>
                <w:sz w:val="20"/>
                <w:szCs w:val="20"/>
                <w:color w:val="auto"/>
              </w:rPr>
            </w:pPr>
            <w:r>
              <w:rPr>
                <w:rFonts w:ascii="Arial" w:cs="Arial" w:eastAsia="Arial" w:hAnsi="Arial"/>
                <w:sz w:val="14"/>
                <w:szCs w:val="14"/>
                <w:color w:val="001641"/>
              </w:rPr>
              <w:t>$</w:t>
            </w:r>
          </w:p>
        </w:tc>
        <w:tc>
          <w:tcPr>
            <w:tcW w:w="9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1,524,691</w:t>
            </w:r>
          </w:p>
        </w:tc>
        <w:tc>
          <w:tcPr>
            <w:tcW w:w="2180" w:type="dxa"/>
            <w:vAlign w:val="bottom"/>
            <w:tcBorders>
              <w:bottom w:val="single" w:sz="8" w:color="BFA071"/>
            </w:tcBorders>
            <w:shd w:val="clear" w:color="auto" w:fill="EBE1D2"/>
          </w:tcPr>
          <w:p>
            <w:pPr>
              <w:spacing w:after="0"/>
              <w:rPr>
                <w:sz w:val="21"/>
                <w:szCs w:val="21"/>
                <w:color w:val="auto"/>
              </w:rPr>
            </w:pPr>
          </w:p>
        </w:tc>
        <w:tc>
          <w:tcPr>
            <w:tcW w:w="1200" w:type="dxa"/>
            <w:vAlign w:val="bottom"/>
            <w:tcBorders>
              <w:bottom w:val="single" w:sz="8" w:color="BFA071"/>
            </w:tcBorders>
            <w:shd w:val="clear" w:color="auto" w:fill="EBE1D2"/>
          </w:tcPr>
          <w:p>
            <w:pPr>
              <w:spacing w:after="0"/>
              <w:rPr>
                <w:sz w:val="21"/>
                <w:szCs w:val="21"/>
                <w:color w:val="auto"/>
              </w:rPr>
            </w:pPr>
          </w:p>
        </w:tc>
        <w:tc>
          <w:tcPr>
            <w:tcW w:w="102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520" w:type="dxa"/>
            <w:vAlign w:val="bottom"/>
            <w:tcBorders>
              <w:bottom w:val="single" w:sz="8" w:color="BFA071"/>
            </w:tcBorders>
            <w:shd w:val="clear" w:color="auto" w:fill="EBE1D2"/>
          </w:tcPr>
          <w:p>
            <w:pPr>
              <w:spacing w:after="0"/>
              <w:rPr>
                <w:sz w:val="21"/>
                <w:szCs w:val="21"/>
                <w:color w:val="auto"/>
              </w:rPr>
            </w:pPr>
          </w:p>
        </w:tc>
        <w:tc>
          <w:tcPr>
            <w:tcW w:w="98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jc w:val="right"/>
              <w:ind w:right="428"/>
              <w:spacing w:after="0" w:line="250" w:lineRule="exact"/>
              <w:rPr>
                <w:sz w:val="20"/>
                <w:szCs w:val="20"/>
                <w:color w:val="auto"/>
              </w:rPr>
            </w:pPr>
            <w:r>
              <w:rPr>
                <w:rFonts w:ascii="Arial" w:cs="Arial" w:eastAsia="Arial" w:hAnsi="Arial"/>
                <w:sz w:val="14"/>
                <w:szCs w:val="14"/>
                <w:color w:val="001641"/>
              </w:rPr>
              <w:t>5,308</w:t>
            </w:r>
            <w:r>
              <w:rPr>
                <w:rFonts w:ascii="Arial" w:cs="Arial" w:eastAsia="Arial" w:hAnsi="Arial"/>
                <w:sz w:val="23"/>
                <w:szCs w:val="23"/>
                <w:color w:val="001641"/>
                <w:vertAlign w:val="superscript"/>
              </w:rPr>
              <w:t>6</w:t>
            </w:r>
          </w:p>
        </w:tc>
        <w:tc>
          <w:tcPr>
            <w:tcW w:w="1200" w:type="dxa"/>
            <w:vAlign w:val="bottom"/>
            <w:tcBorders>
              <w:bottom w:val="single" w:sz="8" w:color="BFA071"/>
            </w:tcBorders>
            <w:shd w:val="clear" w:color="auto" w:fill="EBE1D2"/>
          </w:tcPr>
          <w:p>
            <w:pPr>
              <w:ind w:left="1080"/>
              <w:spacing w:after="0"/>
              <w:rPr>
                <w:sz w:val="20"/>
                <w:szCs w:val="20"/>
                <w:color w:val="auto"/>
              </w:rPr>
            </w:pPr>
            <w:r>
              <w:rPr>
                <w:rFonts w:ascii="Arial" w:cs="Arial" w:eastAsia="Arial" w:hAnsi="Arial"/>
                <w:sz w:val="14"/>
                <w:szCs w:val="14"/>
                <w:color w:val="001641"/>
              </w:rPr>
              <w:t>$</w:t>
            </w:r>
          </w:p>
        </w:tc>
        <w:tc>
          <w:tcPr>
            <w:tcW w:w="1020" w:type="dxa"/>
            <w:vAlign w:val="bottom"/>
            <w:tcBorders>
              <w:bottom w:val="single" w:sz="8" w:color="BFA071"/>
            </w:tcBorders>
            <w:shd w:val="clear" w:color="auto" w:fill="EBE1D2"/>
          </w:tcPr>
          <w:p>
            <w:pPr>
              <w:jc w:val="right"/>
              <w:ind w:right="268"/>
              <w:spacing w:after="0"/>
              <w:rPr>
                <w:sz w:val="20"/>
                <w:szCs w:val="20"/>
                <w:color w:val="auto"/>
              </w:rPr>
            </w:pPr>
            <w:r>
              <w:rPr>
                <w:rFonts w:ascii="Arial" w:cs="Arial" w:eastAsia="Arial" w:hAnsi="Arial"/>
                <w:sz w:val="14"/>
                <w:szCs w:val="14"/>
                <w:color w:val="001641"/>
              </w:rPr>
              <w:t>1,740,069</w:t>
            </w: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520" w:type="dxa"/>
            <w:vAlign w:val="bottom"/>
            <w:tcBorders>
              <w:bottom w:val="single" w:sz="8" w:color="BFA071"/>
            </w:tcBorders>
            <w:shd w:val="clear" w:color="auto" w:fill="EBE1D2"/>
          </w:tcPr>
          <w:p>
            <w:pPr>
              <w:spacing w:after="0"/>
              <w:rPr>
                <w:sz w:val="21"/>
                <w:szCs w:val="21"/>
                <w:color w:val="auto"/>
              </w:rPr>
            </w:pPr>
          </w:p>
        </w:tc>
        <w:tc>
          <w:tcPr>
            <w:tcW w:w="98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jc w:val="right"/>
              <w:ind w:right="428"/>
              <w:spacing w:after="0" w:line="250" w:lineRule="exact"/>
              <w:rPr>
                <w:sz w:val="20"/>
                <w:szCs w:val="20"/>
                <w:color w:val="auto"/>
              </w:rPr>
            </w:pPr>
            <w:r>
              <w:rPr>
                <w:rFonts w:ascii="Arial" w:cs="Arial" w:eastAsia="Arial" w:hAnsi="Arial"/>
                <w:sz w:val="14"/>
                <w:szCs w:val="14"/>
                <w:color w:val="001641"/>
              </w:rPr>
              <w:t>4,200</w:t>
            </w:r>
            <w:r>
              <w:rPr>
                <w:rFonts w:ascii="Arial" w:cs="Arial" w:eastAsia="Arial" w:hAnsi="Arial"/>
                <w:sz w:val="23"/>
                <w:szCs w:val="23"/>
                <w:color w:val="001641"/>
                <w:vertAlign w:val="superscript"/>
              </w:rPr>
              <w:t>7</w:t>
            </w:r>
          </w:p>
        </w:tc>
        <w:tc>
          <w:tcPr>
            <w:tcW w:w="1200" w:type="dxa"/>
            <w:vAlign w:val="bottom"/>
            <w:tcBorders>
              <w:bottom w:val="single" w:sz="8" w:color="BFA071"/>
            </w:tcBorders>
            <w:shd w:val="clear" w:color="auto" w:fill="EBE1D2"/>
          </w:tcPr>
          <w:p>
            <w:pPr>
              <w:ind w:left="1080"/>
              <w:spacing w:after="0"/>
              <w:rPr>
                <w:sz w:val="20"/>
                <w:szCs w:val="20"/>
                <w:color w:val="auto"/>
              </w:rPr>
            </w:pPr>
            <w:r>
              <w:rPr>
                <w:rFonts w:ascii="Arial" w:cs="Arial" w:eastAsia="Arial" w:hAnsi="Arial"/>
                <w:sz w:val="14"/>
                <w:szCs w:val="14"/>
                <w:color w:val="001641"/>
              </w:rPr>
              <w:t>$</w:t>
            </w:r>
          </w:p>
        </w:tc>
        <w:tc>
          <w:tcPr>
            <w:tcW w:w="1020" w:type="dxa"/>
            <w:vAlign w:val="bottom"/>
            <w:tcBorders>
              <w:bottom w:val="single" w:sz="8" w:color="BFA071"/>
            </w:tcBorders>
            <w:shd w:val="clear" w:color="auto" w:fill="EBE1D2"/>
          </w:tcPr>
          <w:p>
            <w:pPr>
              <w:jc w:val="right"/>
              <w:ind w:right="268"/>
              <w:spacing w:after="0"/>
              <w:rPr>
                <w:sz w:val="20"/>
                <w:szCs w:val="20"/>
                <w:color w:val="auto"/>
              </w:rPr>
            </w:pPr>
            <w:r>
              <w:rPr>
                <w:rFonts w:ascii="Arial" w:cs="Arial" w:eastAsia="Arial" w:hAnsi="Arial"/>
                <w:sz w:val="14"/>
                <w:szCs w:val="14"/>
                <w:color w:val="001641"/>
              </w:rPr>
              <w:t>1,376,844</w:t>
            </w: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520" w:type="dxa"/>
            <w:vAlign w:val="bottom"/>
            <w:tcBorders>
              <w:bottom w:val="single" w:sz="8" w:color="BFA071"/>
            </w:tcBorders>
            <w:shd w:val="clear" w:color="auto" w:fill="EBE1D2"/>
          </w:tcPr>
          <w:p>
            <w:pPr>
              <w:spacing w:after="0"/>
              <w:rPr>
                <w:sz w:val="21"/>
                <w:szCs w:val="21"/>
                <w:color w:val="auto"/>
              </w:rPr>
            </w:pPr>
          </w:p>
        </w:tc>
        <w:tc>
          <w:tcPr>
            <w:tcW w:w="98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jc w:val="right"/>
              <w:ind w:right="428"/>
              <w:spacing w:after="0" w:line="250" w:lineRule="exact"/>
              <w:rPr>
                <w:sz w:val="20"/>
                <w:szCs w:val="20"/>
                <w:color w:val="auto"/>
              </w:rPr>
            </w:pPr>
            <w:r>
              <w:rPr>
                <w:rFonts w:ascii="Arial" w:cs="Arial" w:eastAsia="Arial" w:hAnsi="Arial"/>
                <w:sz w:val="14"/>
                <w:szCs w:val="14"/>
                <w:color w:val="001641"/>
              </w:rPr>
              <w:t>3,882</w:t>
            </w:r>
            <w:r>
              <w:rPr>
                <w:rFonts w:ascii="Arial" w:cs="Arial" w:eastAsia="Arial" w:hAnsi="Arial"/>
                <w:sz w:val="23"/>
                <w:szCs w:val="23"/>
                <w:color w:val="001641"/>
                <w:vertAlign w:val="superscript"/>
              </w:rPr>
              <w:t>8</w:t>
            </w:r>
          </w:p>
        </w:tc>
        <w:tc>
          <w:tcPr>
            <w:tcW w:w="1200" w:type="dxa"/>
            <w:vAlign w:val="bottom"/>
            <w:tcBorders>
              <w:bottom w:val="single" w:sz="8" w:color="BFA071"/>
            </w:tcBorders>
            <w:shd w:val="clear" w:color="auto" w:fill="EBE1D2"/>
          </w:tcPr>
          <w:p>
            <w:pPr>
              <w:ind w:left="1080"/>
              <w:spacing w:after="0"/>
              <w:rPr>
                <w:sz w:val="20"/>
                <w:szCs w:val="20"/>
                <w:color w:val="auto"/>
              </w:rPr>
            </w:pPr>
            <w:r>
              <w:rPr>
                <w:rFonts w:ascii="Arial" w:cs="Arial" w:eastAsia="Arial" w:hAnsi="Arial"/>
                <w:sz w:val="14"/>
                <w:szCs w:val="14"/>
                <w:color w:val="001641"/>
              </w:rPr>
              <w:t>$</w:t>
            </w:r>
          </w:p>
        </w:tc>
        <w:tc>
          <w:tcPr>
            <w:tcW w:w="1020" w:type="dxa"/>
            <w:vAlign w:val="bottom"/>
            <w:tcBorders>
              <w:bottom w:val="single" w:sz="8" w:color="BFA071"/>
            </w:tcBorders>
            <w:shd w:val="clear" w:color="auto" w:fill="EBE1D2"/>
          </w:tcPr>
          <w:p>
            <w:pPr>
              <w:jc w:val="right"/>
              <w:ind w:right="268"/>
              <w:spacing w:after="0"/>
              <w:rPr>
                <w:sz w:val="20"/>
                <w:szCs w:val="20"/>
                <w:color w:val="auto"/>
              </w:rPr>
            </w:pPr>
            <w:r>
              <w:rPr>
                <w:rFonts w:ascii="Arial" w:cs="Arial" w:eastAsia="Arial" w:hAnsi="Arial"/>
                <w:sz w:val="14"/>
                <w:szCs w:val="14"/>
                <w:color w:val="001641"/>
              </w:rPr>
              <w:t>1,272,597</w:t>
            </w:r>
          </w:p>
        </w:tc>
      </w:tr>
      <w:tr>
        <w:trPr>
          <w:trHeight w:val="250"/>
        </w:trPr>
        <w:tc>
          <w:tcPr>
            <w:tcW w:w="1780" w:type="dxa"/>
            <w:vAlign w:val="bottom"/>
            <w:tcBorders>
              <w:bottom w:val="single" w:sz="8" w:color="BFA071"/>
            </w:tcBorders>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520" w:type="dxa"/>
            <w:vAlign w:val="bottom"/>
            <w:tcBorders>
              <w:bottom w:val="single" w:sz="8" w:color="BFA071"/>
            </w:tcBorders>
            <w:shd w:val="clear" w:color="auto" w:fill="EBE1D2"/>
          </w:tcPr>
          <w:p>
            <w:pPr>
              <w:spacing w:after="0"/>
              <w:rPr>
                <w:sz w:val="21"/>
                <w:szCs w:val="21"/>
                <w:color w:val="auto"/>
              </w:rPr>
            </w:pPr>
          </w:p>
        </w:tc>
        <w:tc>
          <w:tcPr>
            <w:tcW w:w="98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jc w:val="right"/>
              <w:ind w:right="428"/>
              <w:spacing w:after="0" w:line="250" w:lineRule="exact"/>
              <w:rPr>
                <w:sz w:val="20"/>
                <w:szCs w:val="20"/>
                <w:color w:val="auto"/>
              </w:rPr>
            </w:pPr>
            <w:r>
              <w:rPr>
                <w:rFonts w:ascii="Arial" w:cs="Arial" w:eastAsia="Arial" w:hAnsi="Arial"/>
                <w:sz w:val="14"/>
                <w:szCs w:val="14"/>
                <w:color w:val="001641"/>
              </w:rPr>
              <w:t>2,612</w:t>
            </w:r>
            <w:r>
              <w:rPr>
                <w:rFonts w:ascii="Arial" w:cs="Arial" w:eastAsia="Arial" w:hAnsi="Arial"/>
                <w:sz w:val="23"/>
                <w:szCs w:val="23"/>
                <w:color w:val="001641"/>
                <w:vertAlign w:val="superscript"/>
              </w:rPr>
              <w:t>9</w:t>
            </w:r>
          </w:p>
        </w:tc>
        <w:tc>
          <w:tcPr>
            <w:tcW w:w="1200" w:type="dxa"/>
            <w:vAlign w:val="bottom"/>
            <w:tcBorders>
              <w:bottom w:val="single" w:sz="8" w:color="BFA071"/>
            </w:tcBorders>
            <w:shd w:val="clear" w:color="auto" w:fill="EBE1D2"/>
          </w:tcPr>
          <w:p>
            <w:pPr>
              <w:ind w:left="1080"/>
              <w:spacing w:after="0"/>
              <w:rPr>
                <w:sz w:val="20"/>
                <w:szCs w:val="20"/>
                <w:color w:val="auto"/>
              </w:rPr>
            </w:pPr>
            <w:r>
              <w:rPr>
                <w:rFonts w:ascii="Arial" w:cs="Arial" w:eastAsia="Arial" w:hAnsi="Arial"/>
                <w:sz w:val="14"/>
                <w:szCs w:val="14"/>
                <w:color w:val="001641"/>
              </w:rPr>
              <w:t>$</w:t>
            </w:r>
          </w:p>
        </w:tc>
        <w:tc>
          <w:tcPr>
            <w:tcW w:w="1020" w:type="dxa"/>
            <w:vAlign w:val="bottom"/>
            <w:tcBorders>
              <w:bottom w:val="single" w:sz="8" w:color="BFA071"/>
            </w:tcBorders>
            <w:shd w:val="clear" w:color="auto" w:fill="EBE1D2"/>
          </w:tcPr>
          <w:p>
            <w:pPr>
              <w:jc w:val="right"/>
              <w:ind w:right="268"/>
              <w:spacing w:after="0"/>
              <w:rPr>
                <w:sz w:val="20"/>
                <w:szCs w:val="20"/>
                <w:color w:val="auto"/>
              </w:rPr>
            </w:pPr>
            <w:r>
              <w:rPr>
                <w:rFonts w:ascii="Arial" w:cs="Arial" w:eastAsia="Arial" w:hAnsi="Arial"/>
                <w:sz w:val="14"/>
                <w:szCs w:val="14"/>
                <w:color w:val="001641"/>
              </w:rPr>
              <w:t>856,266</w:t>
            </w:r>
          </w:p>
        </w:tc>
      </w:tr>
      <w:tr>
        <w:trPr>
          <w:trHeight w:val="217"/>
        </w:trPr>
        <w:tc>
          <w:tcPr>
            <w:tcW w:w="1780" w:type="dxa"/>
            <w:vAlign w:val="bottom"/>
          </w:tcPr>
          <w:p>
            <w:pPr>
              <w:ind w:left="120"/>
              <w:spacing w:after="0"/>
              <w:rPr>
                <w:sz w:val="20"/>
                <w:szCs w:val="20"/>
                <w:color w:val="auto"/>
              </w:rPr>
            </w:pPr>
            <w:r>
              <w:rPr>
                <w:rFonts w:ascii="Arial" w:cs="Arial" w:eastAsia="Arial" w:hAnsi="Arial"/>
                <w:sz w:val="14"/>
                <w:szCs w:val="14"/>
                <w:b w:val="1"/>
                <w:bCs w:val="1"/>
                <w:color w:val="001641"/>
              </w:rPr>
              <w:t>Justin Picicci</w:t>
            </w:r>
          </w:p>
        </w:tc>
        <w:tc>
          <w:tcPr>
            <w:tcW w:w="1500" w:type="dxa"/>
            <w:vAlign w:val="bottom"/>
            <w:tcBorders>
              <w:bottom w:val="single" w:sz="8" w:color="BFA071"/>
            </w:tcBorders>
            <w:shd w:val="clear" w:color="auto" w:fill="EBE1D2"/>
          </w:tcPr>
          <w:p>
            <w:pPr>
              <w:spacing w:after="0"/>
              <w:rPr>
                <w:sz w:val="18"/>
                <w:szCs w:val="18"/>
                <w:color w:val="auto"/>
              </w:rPr>
            </w:pPr>
          </w:p>
        </w:tc>
        <w:tc>
          <w:tcPr>
            <w:tcW w:w="520" w:type="dxa"/>
            <w:vAlign w:val="bottom"/>
            <w:tcBorders>
              <w:bottom w:val="single" w:sz="8" w:color="BFA071"/>
            </w:tcBorders>
            <w:shd w:val="clear" w:color="auto" w:fill="EBE1D2"/>
          </w:tcPr>
          <w:p>
            <w:pPr>
              <w:spacing w:after="0"/>
              <w:rPr>
                <w:sz w:val="18"/>
                <w:szCs w:val="18"/>
                <w:color w:val="auto"/>
              </w:rPr>
            </w:pPr>
          </w:p>
        </w:tc>
        <w:tc>
          <w:tcPr>
            <w:tcW w:w="980" w:type="dxa"/>
            <w:vAlign w:val="bottom"/>
            <w:tcBorders>
              <w:bottom w:val="single" w:sz="8" w:color="BFA071"/>
            </w:tcBorders>
            <w:shd w:val="clear" w:color="auto" w:fill="EBE1D2"/>
          </w:tcPr>
          <w:p>
            <w:pPr>
              <w:spacing w:after="0"/>
              <w:rPr>
                <w:sz w:val="18"/>
                <w:szCs w:val="18"/>
                <w:color w:val="auto"/>
              </w:rPr>
            </w:pPr>
          </w:p>
        </w:tc>
        <w:tc>
          <w:tcPr>
            <w:tcW w:w="2180" w:type="dxa"/>
            <w:vAlign w:val="bottom"/>
            <w:tcBorders>
              <w:bottom w:val="single" w:sz="8" w:color="BFA071"/>
            </w:tcBorders>
            <w:shd w:val="clear" w:color="auto" w:fill="EBE1D2"/>
          </w:tcPr>
          <w:p>
            <w:pPr>
              <w:spacing w:after="0"/>
              <w:rPr>
                <w:sz w:val="18"/>
                <w:szCs w:val="18"/>
                <w:color w:val="auto"/>
              </w:rPr>
            </w:pPr>
          </w:p>
        </w:tc>
        <w:tc>
          <w:tcPr>
            <w:tcW w:w="1200" w:type="dxa"/>
            <w:vAlign w:val="bottom"/>
            <w:tcBorders>
              <w:bottom w:val="single" w:sz="8" w:color="BFA071"/>
            </w:tcBorders>
            <w:shd w:val="clear" w:color="auto" w:fill="EBE1D2"/>
          </w:tcPr>
          <w:p>
            <w:pPr>
              <w:spacing w:after="0"/>
              <w:rPr>
                <w:sz w:val="18"/>
                <w:szCs w:val="18"/>
                <w:color w:val="auto"/>
              </w:rPr>
            </w:pPr>
          </w:p>
        </w:tc>
        <w:tc>
          <w:tcPr>
            <w:tcW w:w="1020" w:type="dxa"/>
            <w:vAlign w:val="bottom"/>
            <w:tcBorders>
              <w:bottom w:val="single" w:sz="8" w:color="BFA071"/>
            </w:tcBorders>
            <w:shd w:val="clear" w:color="auto" w:fill="EBE1D2"/>
          </w:tcPr>
          <w:p>
            <w:pPr>
              <w:spacing w:after="0"/>
              <w:rPr>
                <w:sz w:val="18"/>
                <w:szCs w:val="18"/>
                <w:color w:val="auto"/>
              </w:rPr>
            </w:pPr>
          </w:p>
        </w:tc>
      </w:tr>
      <w:tr>
        <w:trPr>
          <w:trHeight w:val="256"/>
        </w:trPr>
        <w:tc>
          <w:tcPr>
            <w:tcW w:w="1780" w:type="dxa"/>
            <w:vAlign w:val="bottom"/>
          </w:tcPr>
          <w:p>
            <w:pPr>
              <w:spacing w:after="0"/>
              <w:rPr>
                <w:sz w:val="22"/>
                <w:szCs w:val="22"/>
                <w:color w:val="auto"/>
              </w:rPr>
            </w:pPr>
          </w:p>
        </w:tc>
        <w:tc>
          <w:tcPr>
            <w:tcW w:w="1500" w:type="dxa"/>
            <w:vAlign w:val="bottom"/>
            <w:tcBorders>
              <w:bottom w:val="single" w:sz="8" w:color="BFA071"/>
            </w:tcBorders>
            <w:shd w:val="clear" w:color="auto" w:fill="EBE1D2"/>
          </w:tcPr>
          <w:p>
            <w:pPr>
              <w:jc w:val="right"/>
              <w:ind w:right="288"/>
              <w:spacing w:after="0" w:line="256" w:lineRule="exact"/>
              <w:rPr>
                <w:sz w:val="20"/>
                <w:szCs w:val="20"/>
                <w:color w:val="auto"/>
              </w:rPr>
            </w:pPr>
            <w:r>
              <w:rPr>
                <w:rFonts w:ascii="Arial" w:cs="Arial" w:eastAsia="Arial" w:hAnsi="Arial"/>
                <w:sz w:val="14"/>
                <w:szCs w:val="14"/>
                <w:color w:val="001641"/>
              </w:rPr>
              <w:t>2,154</w:t>
            </w:r>
            <w:r>
              <w:rPr>
                <w:rFonts w:ascii="Arial" w:cs="Arial" w:eastAsia="Arial" w:hAnsi="Arial"/>
                <w:sz w:val="23"/>
                <w:szCs w:val="23"/>
                <w:color w:val="001641"/>
                <w:vertAlign w:val="superscript"/>
              </w:rPr>
              <w:t>3</w:t>
            </w:r>
          </w:p>
        </w:tc>
        <w:tc>
          <w:tcPr>
            <w:tcW w:w="520" w:type="dxa"/>
            <w:vAlign w:val="bottom"/>
            <w:tcBorders>
              <w:bottom w:val="single" w:sz="8" w:color="BFA071"/>
            </w:tcBorders>
            <w:shd w:val="clear" w:color="auto" w:fill="EBE1D2"/>
          </w:tcPr>
          <w:p>
            <w:pPr>
              <w:ind w:left="400"/>
              <w:spacing w:after="0"/>
              <w:rPr>
                <w:sz w:val="20"/>
                <w:szCs w:val="20"/>
                <w:color w:val="auto"/>
              </w:rPr>
            </w:pPr>
            <w:r>
              <w:rPr>
                <w:rFonts w:ascii="Arial" w:cs="Arial" w:eastAsia="Arial" w:hAnsi="Arial"/>
                <w:sz w:val="14"/>
                <w:szCs w:val="14"/>
                <w:color w:val="001641"/>
              </w:rPr>
              <w:t>$</w:t>
            </w:r>
          </w:p>
        </w:tc>
        <w:tc>
          <w:tcPr>
            <w:tcW w:w="9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706,124</w:t>
            </w:r>
          </w:p>
        </w:tc>
        <w:tc>
          <w:tcPr>
            <w:tcW w:w="2180" w:type="dxa"/>
            <w:vAlign w:val="bottom"/>
            <w:tcBorders>
              <w:bottom w:val="single" w:sz="8" w:color="BFA071"/>
            </w:tcBorders>
            <w:shd w:val="clear" w:color="auto" w:fill="EBE1D2"/>
          </w:tcPr>
          <w:p>
            <w:pPr>
              <w:spacing w:after="0"/>
              <w:rPr>
                <w:sz w:val="22"/>
                <w:szCs w:val="22"/>
                <w:color w:val="auto"/>
              </w:rPr>
            </w:pPr>
          </w:p>
        </w:tc>
        <w:tc>
          <w:tcPr>
            <w:tcW w:w="1200" w:type="dxa"/>
            <w:vAlign w:val="bottom"/>
            <w:tcBorders>
              <w:bottom w:val="single" w:sz="8" w:color="BFA071"/>
            </w:tcBorders>
            <w:shd w:val="clear" w:color="auto" w:fill="EBE1D2"/>
          </w:tcPr>
          <w:p>
            <w:pPr>
              <w:spacing w:after="0"/>
              <w:rPr>
                <w:sz w:val="22"/>
                <w:szCs w:val="22"/>
                <w:color w:val="auto"/>
              </w:rPr>
            </w:pPr>
          </w:p>
        </w:tc>
        <w:tc>
          <w:tcPr>
            <w:tcW w:w="1020" w:type="dxa"/>
            <w:vAlign w:val="bottom"/>
            <w:tcBorders>
              <w:bottom w:val="single" w:sz="8" w:color="BFA071"/>
            </w:tcBorders>
            <w:shd w:val="clear" w:color="auto" w:fill="EBE1D2"/>
          </w:tcPr>
          <w:p>
            <w:pPr>
              <w:spacing w:after="0"/>
              <w:rPr>
                <w:sz w:val="22"/>
                <w:szCs w:val="22"/>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2,426</w:t>
            </w:r>
            <w:r>
              <w:rPr>
                <w:rFonts w:ascii="Arial" w:cs="Arial" w:eastAsia="Arial" w:hAnsi="Arial"/>
                <w:sz w:val="23"/>
                <w:szCs w:val="23"/>
                <w:color w:val="001641"/>
                <w:vertAlign w:val="superscript"/>
              </w:rPr>
              <w:t>4</w:t>
            </w:r>
          </w:p>
        </w:tc>
        <w:tc>
          <w:tcPr>
            <w:tcW w:w="520" w:type="dxa"/>
            <w:vAlign w:val="bottom"/>
            <w:tcBorders>
              <w:bottom w:val="single" w:sz="8" w:color="BFA071"/>
            </w:tcBorders>
            <w:shd w:val="clear" w:color="auto" w:fill="EBE1D2"/>
          </w:tcPr>
          <w:p>
            <w:pPr>
              <w:ind w:left="400"/>
              <w:spacing w:after="0"/>
              <w:rPr>
                <w:sz w:val="20"/>
                <w:szCs w:val="20"/>
                <w:color w:val="auto"/>
              </w:rPr>
            </w:pPr>
            <w:r>
              <w:rPr>
                <w:rFonts w:ascii="Arial" w:cs="Arial" w:eastAsia="Arial" w:hAnsi="Arial"/>
                <w:sz w:val="14"/>
                <w:szCs w:val="14"/>
                <w:color w:val="001641"/>
              </w:rPr>
              <w:t>$</w:t>
            </w:r>
          </w:p>
        </w:tc>
        <w:tc>
          <w:tcPr>
            <w:tcW w:w="9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795,291</w:t>
            </w:r>
          </w:p>
        </w:tc>
        <w:tc>
          <w:tcPr>
            <w:tcW w:w="2180" w:type="dxa"/>
            <w:vAlign w:val="bottom"/>
            <w:tcBorders>
              <w:bottom w:val="single" w:sz="8" w:color="BFA071"/>
            </w:tcBorders>
            <w:shd w:val="clear" w:color="auto" w:fill="EBE1D2"/>
          </w:tcPr>
          <w:p>
            <w:pPr>
              <w:spacing w:after="0"/>
              <w:rPr>
                <w:sz w:val="21"/>
                <w:szCs w:val="21"/>
                <w:color w:val="auto"/>
              </w:rPr>
            </w:pPr>
          </w:p>
        </w:tc>
        <w:tc>
          <w:tcPr>
            <w:tcW w:w="1200" w:type="dxa"/>
            <w:vAlign w:val="bottom"/>
            <w:tcBorders>
              <w:bottom w:val="single" w:sz="8" w:color="BFA071"/>
            </w:tcBorders>
            <w:shd w:val="clear" w:color="auto" w:fill="EBE1D2"/>
          </w:tcPr>
          <w:p>
            <w:pPr>
              <w:spacing w:after="0"/>
              <w:rPr>
                <w:sz w:val="21"/>
                <w:szCs w:val="21"/>
                <w:color w:val="auto"/>
              </w:rPr>
            </w:pPr>
          </w:p>
        </w:tc>
        <w:tc>
          <w:tcPr>
            <w:tcW w:w="102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2,070</w:t>
            </w:r>
            <w:r>
              <w:rPr>
                <w:rFonts w:ascii="Arial" w:cs="Arial" w:eastAsia="Arial" w:hAnsi="Arial"/>
                <w:sz w:val="23"/>
                <w:szCs w:val="23"/>
                <w:color w:val="001641"/>
                <w:vertAlign w:val="superscript"/>
              </w:rPr>
              <w:t>5</w:t>
            </w:r>
          </w:p>
        </w:tc>
        <w:tc>
          <w:tcPr>
            <w:tcW w:w="520" w:type="dxa"/>
            <w:vAlign w:val="bottom"/>
            <w:tcBorders>
              <w:bottom w:val="single" w:sz="8" w:color="BFA071"/>
            </w:tcBorders>
            <w:shd w:val="clear" w:color="auto" w:fill="EBE1D2"/>
          </w:tcPr>
          <w:p>
            <w:pPr>
              <w:ind w:left="400"/>
              <w:spacing w:after="0"/>
              <w:rPr>
                <w:sz w:val="20"/>
                <w:szCs w:val="20"/>
                <w:color w:val="auto"/>
              </w:rPr>
            </w:pPr>
            <w:r>
              <w:rPr>
                <w:rFonts w:ascii="Arial" w:cs="Arial" w:eastAsia="Arial" w:hAnsi="Arial"/>
                <w:sz w:val="14"/>
                <w:szCs w:val="14"/>
                <w:color w:val="001641"/>
              </w:rPr>
              <w:t>$</w:t>
            </w:r>
          </w:p>
        </w:tc>
        <w:tc>
          <w:tcPr>
            <w:tcW w:w="9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678,587</w:t>
            </w:r>
          </w:p>
        </w:tc>
        <w:tc>
          <w:tcPr>
            <w:tcW w:w="2180" w:type="dxa"/>
            <w:vAlign w:val="bottom"/>
            <w:tcBorders>
              <w:bottom w:val="single" w:sz="8" w:color="BFA071"/>
            </w:tcBorders>
            <w:shd w:val="clear" w:color="auto" w:fill="EBE1D2"/>
          </w:tcPr>
          <w:p>
            <w:pPr>
              <w:spacing w:after="0"/>
              <w:rPr>
                <w:sz w:val="21"/>
                <w:szCs w:val="21"/>
                <w:color w:val="auto"/>
              </w:rPr>
            </w:pPr>
          </w:p>
        </w:tc>
        <w:tc>
          <w:tcPr>
            <w:tcW w:w="1200" w:type="dxa"/>
            <w:vAlign w:val="bottom"/>
            <w:tcBorders>
              <w:bottom w:val="single" w:sz="8" w:color="BFA071"/>
            </w:tcBorders>
            <w:shd w:val="clear" w:color="auto" w:fill="EBE1D2"/>
          </w:tcPr>
          <w:p>
            <w:pPr>
              <w:spacing w:after="0"/>
              <w:rPr>
                <w:sz w:val="21"/>
                <w:szCs w:val="21"/>
                <w:color w:val="auto"/>
              </w:rPr>
            </w:pPr>
          </w:p>
        </w:tc>
        <w:tc>
          <w:tcPr>
            <w:tcW w:w="102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520" w:type="dxa"/>
            <w:vAlign w:val="bottom"/>
            <w:tcBorders>
              <w:bottom w:val="single" w:sz="8" w:color="BFA071"/>
            </w:tcBorders>
            <w:shd w:val="clear" w:color="auto" w:fill="EBE1D2"/>
          </w:tcPr>
          <w:p>
            <w:pPr>
              <w:spacing w:after="0"/>
              <w:rPr>
                <w:sz w:val="21"/>
                <w:szCs w:val="21"/>
                <w:color w:val="auto"/>
              </w:rPr>
            </w:pPr>
          </w:p>
        </w:tc>
        <w:tc>
          <w:tcPr>
            <w:tcW w:w="98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jc w:val="right"/>
              <w:ind w:right="428"/>
              <w:spacing w:after="0" w:line="250" w:lineRule="exact"/>
              <w:rPr>
                <w:sz w:val="20"/>
                <w:szCs w:val="20"/>
                <w:color w:val="auto"/>
              </w:rPr>
            </w:pPr>
            <w:r>
              <w:rPr>
                <w:rFonts w:ascii="Arial" w:cs="Arial" w:eastAsia="Arial" w:hAnsi="Arial"/>
                <w:sz w:val="14"/>
                <w:szCs w:val="14"/>
                <w:color w:val="001641"/>
              </w:rPr>
              <w:t>3,640</w:t>
            </w:r>
            <w:r>
              <w:rPr>
                <w:rFonts w:ascii="Arial" w:cs="Arial" w:eastAsia="Arial" w:hAnsi="Arial"/>
                <w:sz w:val="23"/>
                <w:szCs w:val="23"/>
                <w:color w:val="001641"/>
                <w:vertAlign w:val="superscript"/>
              </w:rPr>
              <w:t>6</w:t>
            </w:r>
          </w:p>
        </w:tc>
        <w:tc>
          <w:tcPr>
            <w:tcW w:w="1200" w:type="dxa"/>
            <w:vAlign w:val="bottom"/>
            <w:tcBorders>
              <w:bottom w:val="single" w:sz="8" w:color="BFA071"/>
            </w:tcBorders>
            <w:shd w:val="clear" w:color="auto" w:fill="EBE1D2"/>
          </w:tcPr>
          <w:p>
            <w:pPr>
              <w:ind w:left="1080"/>
              <w:spacing w:after="0"/>
              <w:rPr>
                <w:sz w:val="20"/>
                <w:szCs w:val="20"/>
                <w:color w:val="auto"/>
              </w:rPr>
            </w:pPr>
            <w:r>
              <w:rPr>
                <w:rFonts w:ascii="Arial" w:cs="Arial" w:eastAsia="Arial" w:hAnsi="Arial"/>
                <w:sz w:val="14"/>
                <w:szCs w:val="14"/>
                <w:color w:val="001641"/>
              </w:rPr>
              <w:t>$</w:t>
            </w:r>
          </w:p>
        </w:tc>
        <w:tc>
          <w:tcPr>
            <w:tcW w:w="1020" w:type="dxa"/>
            <w:vAlign w:val="bottom"/>
            <w:tcBorders>
              <w:bottom w:val="single" w:sz="8" w:color="BFA071"/>
            </w:tcBorders>
            <w:shd w:val="clear" w:color="auto" w:fill="EBE1D2"/>
          </w:tcPr>
          <w:p>
            <w:pPr>
              <w:jc w:val="right"/>
              <w:ind w:right="268"/>
              <w:spacing w:after="0"/>
              <w:rPr>
                <w:sz w:val="20"/>
                <w:szCs w:val="20"/>
                <w:color w:val="auto"/>
              </w:rPr>
            </w:pPr>
            <w:r>
              <w:rPr>
                <w:rFonts w:ascii="Arial" w:cs="Arial" w:eastAsia="Arial" w:hAnsi="Arial"/>
                <w:sz w:val="14"/>
                <w:szCs w:val="14"/>
                <w:color w:val="001641"/>
              </w:rPr>
              <w:t>1,193,265</w:t>
            </w: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520" w:type="dxa"/>
            <w:vAlign w:val="bottom"/>
            <w:tcBorders>
              <w:bottom w:val="single" w:sz="8" w:color="BFA071"/>
            </w:tcBorders>
            <w:shd w:val="clear" w:color="auto" w:fill="EBE1D2"/>
          </w:tcPr>
          <w:p>
            <w:pPr>
              <w:spacing w:after="0"/>
              <w:rPr>
                <w:sz w:val="21"/>
                <w:szCs w:val="21"/>
                <w:color w:val="auto"/>
              </w:rPr>
            </w:pPr>
          </w:p>
        </w:tc>
        <w:tc>
          <w:tcPr>
            <w:tcW w:w="98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jc w:val="right"/>
              <w:ind w:right="428"/>
              <w:spacing w:after="0" w:line="250" w:lineRule="exact"/>
              <w:rPr>
                <w:sz w:val="20"/>
                <w:szCs w:val="20"/>
                <w:color w:val="auto"/>
              </w:rPr>
            </w:pPr>
            <w:r>
              <w:rPr>
                <w:rFonts w:ascii="Arial" w:cs="Arial" w:eastAsia="Arial" w:hAnsi="Arial"/>
                <w:sz w:val="14"/>
                <w:szCs w:val="14"/>
                <w:color w:val="001641"/>
              </w:rPr>
              <w:t>2,880</w:t>
            </w:r>
            <w:r>
              <w:rPr>
                <w:rFonts w:ascii="Arial" w:cs="Arial" w:eastAsia="Arial" w:hAnsi="Arial"/>
                <w:sz w:val="23"/>
                <w:szCs w:val="23"/>
                <w:color w:val="001641"/>
                <w:vertAlign w:val="superscript"/>
              </w:rPr>
              <w:t>7</w:t>
            </w:r>
          </w:p>
        </w:tc>
        <w:tc>
          <w:tcPr>
            <w:tcW w:w="1200" w:type="dxa"/>
            <w:vAlign w:val="bottom"/>
            <w:tcBorders>
              <w:bottom w:val="single" w:sz="8" w:color="BFA071"/>
            </w:tcBorders>
            <w:shd w:val="clear" w:color="auto" w:fill="EBE1D2"/>
          </w:tcPr>
          <w:p>
            <w:pPr>
              <w:ind w:left="1080"/>
              <w:spacing w:after="0"/>
              <w:rPr>
                <w:sz w:val="20"/>
                <w:szCs w:val="20"/>
                <w:color w:val="auto"/>
              </w:rPr>
            </w:pPr>
            <w:r>
              <w:rPr>
                <w:rFonts w:ascii="Arial" w:cs="Arial" w:eastAsia="Arial" w:hAnsi="Arial"/>
                <w:sz w:val="14"/>
                <w:szCs w:val="14"/>
                <w:color w:val="001641"/>
              </w:rPr>
              <w:t>$</w:t>
            </w:r>
          </w:p>
        </w:tc>
        <w:tc>
          <w:tcPr>
            <w:tcW w:w="1020" w:type="dxa"/>
            <w:vAlign w:val="bottom"/>
            <w:tcBorders>
              <w:bottom w:val="single" w:sz="8" w:color="BFA071"/>
            </w:tcBorders>
            <w:shd w:val="clear" w:color="auto" w:fill="EBE1D2"/>
          </w:tcPr>
          <w:p>
            <w:pPr>
              <w:jc w:val="right"/>
              <w:ind w:right="268"/>
              <w:spacing w:after="0"/>
              <w:rPr>
                <w:sz w:val="20"/>
                <w:szCs w:val="20"/>
                <w:color w:val="auto"/>
              </w:rPr>
            </w:pPr>
            <w:r>
              <w:rPr>
                <w:rFonts w:ascii="Arial" w:cs="Arial" w:eastAsia="Arial" w:hAnsi="Arial"/>
                <w:sz w:val="14"/>
                <w:szCs w:val="14"/>
                <w:color w:val="001641"/>
              </w:rPr>
              <w:t>944,122</w:t>
            </w: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520" w:type="dxa"/>
            <w:vAlign w:val="bottom"/>
            <w:tcBorders>
              <w:bottom w:val="single" w:sz="8" w:color="BFA071"/>
            </w:tcBorders>
            <w:shd w:val="clear" w:color="auto" w:fill="EBE1D2"/>
          </w:tcPr>
          <w:p>
            <w:pPr>
              <w:spacing w:after="0"/>
              <w:rPr>
                <w:sz w:val="21"/>
                <w:szCs w:val="21"/>
                <w:color w:val="auto"/>
              </w:rPr>
            </w:pPr>
          </w:p>
        </w:tc>
        <w:tc>
          <w:tcPr>
            <w:tcW w:w="98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jc w:val="right"/>
              <w:ind w:right="428"/>
              <w:spacing w:after="0" w:line="250" w:lineRule="exact"/>
              <w:rPr>
                <w:sz w:val="20"/>
                <w:szCs w:val="20"/>
                <w:color w:val="auto"/>
              </w:rPr>
            </w:pPr>
            <w:r>
              <w:rPr>
                <w:rFonts w:ascii="Arial" w:cs="Arial" w:eastAsia="Arial" w:hAnsi="Arial"/>
                <w:sz w:val="14"/>
                <w:szCs w:val="14"/>
                <w:color w:val="001641"/>
              </w:rPr>
              <w:t>2,070</w:t>
            </w:r>
            <w:r>
              <w:rPr>
                <w:rFonts w:ascii="Arial" w:cs="Arial" w:eastAsia="Arial" w:hAnsi="Arial"/>
                <w:sz w:val="23"/>
                <w:szCs w:val="23"/>
                <w:color w:val="001641"/>
                <w:vertAlign w:val="superscript"/>
              </w:rPr>
              <w:t>8</w:t>
            </w:r>
          </w:p>
        </w:tc>
        <w:tc>
          <w:tcPr>
            <w:tcW w:w="1200" w:type="dxa"/>
            <w:vAlign w:val="bottom"/>
            <w:tcBorders>
              <w:bottom w:val="single" w:sz="8" w:color="BFA071"/>
            </w:tcBorders>
            <w:shd w:val="clear" w:color="auto" w:fill="EBE1D2"/>
          </w:tcPr>
          <w:p>
            <w:pPr>
              <w:ind w:left="1080"/>
              <w:spacing w:after="0"/>
              <w:rPr>
                <w:sz w:val="20"/>
                <w:szCs w:val="20"/>
                <w:color w:val="auto"/>
              </w:rPr>
            </w:pPr>
            <w:r>
              <w:rPr>
                <w:rFonts w:ascii="Arial" w:cs="Arial" w:eastAsia="Arial" w:hAnsi="Arial"/>
                <w:sz w:val="14"/>
                <w:szCs w:val="14"/>
                <w:color w:val="001641"/>
              </w:rPr>
              <w:t>$</w:t>
            </w:r>
          </w:p>
        </w:tc>
        <w:tc>
          <w:tcPr>
            <w:tcW w:w="1020" w:type="dxa"/>
            <w:vAlign w:val="bottom"/>
            <w:tcBorders>
              <w:bottom w:val="single" w:sz="8" w:color="BFA071"/>
            </w:tcBorders>
            <w:shd w:val="clear" w:color="auto" w:fill="EBE1D2"/>
          </w:tcPr>
          <w:p>
            <w:pPr>
              <w:jc w:val="right"/>
              <w:ind w:right="268"/>
              <w:spacing w:after="0"/>
              <w:rPr>
                <w:sz w:val="20"/>
                <w:szCs w:val="20"/>
                <w:color w:val="auto"/>
              </w:rPr>
            </w:pPr>
            <w:r>
              <w:rPr>
                <w:rFonts w:ascii="Arial" w:cs="Arial" w:eastAsia="Arial" w:hAnsi="Arial"/>
                <w:sz w:val="14"/>
                <w:szCs w:val="14"/>
                <w:color w:val="001641"/>
              </w:rPr>
              <w:t>678,587</w:t>
            </w:r>
          </w:p>
        </w:tc>
      </w:tr>
      <w:tr>
        <w:trPr>
          <w:trHeight w:val="236"/>
        </w:trPr>
        <w:tc>
          <w:tcPr>
            <w:tcW w:w="1780" w:type="dxa"/>
            <w:vAlign w:val="bottom"/>
          </w:tcPr>
          <w:p>
            <w:pPr>
              <w:spacing w:after="0"/>
              <w:rPr>
                <w:sz w:val="20"/>
                <w:szCs w:val="20"/>
                <w:color w:val="auto"/>
              </w:rPr>
            </w:pPr>
          </w:p>
        </w:tc>
        <w:tc>
          <w:tcPr>
            <w:tcW w:w="1500" w:type="dxa"/>
            <w:vAlign w:val="bottom"/>
            <w:tcBorders>
              <w:bottom w:val="single" w:sz="8" w:color="EBE1D2"/>
            </w:tcBorders>
            <w:shd w:val="clear" w:color="auto" w:fill="EBE1D2"/>
          </w:tcPr>
          <w:p>
            <w:pPr>
              <w:spacing w:after="0"/>
              <w:rPr>
                <w:sz w:val="20"/>
                <w:szCs w:val="20"/>
                <w:color w:val="auto"/>
              </w:rPr>
            </w:pPr>
          </w:p>
        </w:tc>
        <w:tc>
          <w:tcPr>
            <w:tcW w:w="520" w:type="dxa"/>
            <w:vAlign w:val="bottom"/>
            <w:tcBorders>
              <w:bottom w:val="single" w:sz="8" w:color="EBE1D2"/>
            </w:tcBorders>
            <w:shd w:val="clear" w:color="auto" w:fill="EBE1D2"/>
          </w:tcPr>
          <w:p>
            <w:pPr>
              <w:spacing w:after="0"/>
              <w:rPr>
                <w:sz w:val="20"/>
                <w:szCs w:val="20"/>
                <w:color w:val="auto"/>
              </w:rPr>
            </w:pPr>
          </w:p>
        </w:tc>
        <w:tc>
          <w:tcPr>
            <w:tcW w:w="980" w:type="dxa"/>
            <w:vAlign w:val="bottom"/>
            <w:tcBorders>
              <w:bottom w:val="single" w:sz="8" w:color="EBE1D2"/>
            </w:tcBorders>
            <w:shd w:val="clear" w:color="auto" w:fill="EBE1D2"/>
          </w:tcPr>
          <w:p>
            <w:pPr>
              <w:spacing w:after="0"/>
              <w:rPr>
                <w:sz w:val="20"/>
                <w:szCs w:val="20"/>
                <w:color w:val="auto"/>
              </w:rPr>
            </w:pPr>
          </w:p>
        </w:tc>
        <w:tc>
          <w:tcPr>
            <w:tcW w:w="2180" w:type="dxa"/>
            <w:vAlign w:val="bottom"/>
            <w:tcBorders>
              <w:bottom w:val="single" w:sz="8" w:color="EBE1D2"/>
            </w:tcBorders>
            <w:shd w:val="clear" w:color="auto" w:fill="EBE1D2"/>
          </w:tcPr>
          <w:p>
            <w:pPr>
              <w:jc w:val="right"/>
              <w:ind w:right="428"/>
              <w:spacing w:after="0" w:line="210" w:lineRule="exact"/>
              <w:rPr>
                <w:sz w:val="20"/>
                <w:szCs w:val="20"/>
                <w:color w:val="auto"/>
              </w:rPr>
            </w:pPr>
            <w:r>
              <w:rPr>
                <w:rFonts w:ascii="Arial" w:cs="Arial" w:eastAsia="Arial" w:hAnsi="Arial"/>
                <w:sz w:val="14"/>
                <w:szCs w:val="14"/>
                <w:color w:val="001641"/>
              </w:rPr>
              <w:t>1,394</w:t>
            </w:r>
            <w:r>
              <w:rPr>
                <w:rFonts w:ascii="Arial" w:cs="Arial" w:eastAsia="Arial" w:hAnsi="Arial"/>
                <w:sz w:val="23"/>
                <w:szCs w:val="23"/>
                <w:color w:val="001641"/>
                <w:vertAlign w:val="superscript"/>
              </w:rPr>
              <w:t>9</w:t>
            </w:r>
          </w:p>
        </w:tc>
        <w:tc>
          <w:tcPr>
            <w:tcW w:w="1200" w:type="dxa"/>
            <w:vAlign w:val="bottom"/>
            <w:tcBorders>
              <w:bottom w:val="single" w:sz="8" w:color="EBE1D2"/>
            </w:tcBorders>
            <w:shd w:val="clear" w:color="auto" w:fill="EBE1D2"/>
          </w:tcPr>
          <w:p>
            <w:pPr>
              <w:ind w:left="1080"/>
              <w:spacing w:after="0"/>
              <w:rPr>
                <w:sz w:val="20"/>
                <w:szCs w:val="20"/>
                <w:color w:val="auto"/>
              </w:rPr>
            </w:pPr>
            <w:r>
              <w:rPr>
                <w:rFonts w:ascii="Arial" w:cs="Arial" w:eastAsia="Arial" w:hAnsi="Arial"/>
                <w:sz w:val="14"/>
                <w:szCs w:val="14"/>
                <w:color w:val="001641"/>
              </w:rPr>
              <w:t>$</w:t>
            </w:r>
          </w:p>
        </w:tc>
        <w:tc>
          <w:tcPr>
            <w:tcW w:w="1020" w:type="dxa"/>
            <w:vAlign w:val="bottom"/>
            <w:tcBorders>
              <w:bottom w:val="single" w:sz="8" w:color="EBE1D2"/>
            </w:tcBorders>
            <w:shd w:val="clear" w:color="auto" w:fill="EBE1D2"/>
          </w:tcPr>
          <w:p>
            <w:pPr>
              <w:jc w:val="right"/>
              <w:ind w:right="268"/>
              <w:spacing w:after="0"/>
              <w:rPr>
                <w:sz w:val="20"/>
                <w:szCs w:val="20"/>
                <w:color w:val="auto"/>
              </w:rPr>
            </w:pPr>
            <w:r>
              <w:rPr>
                <w:rFonts w:ascii="Arial" w:cs="Arial" w:eastAsia="Arial" w:hAnsi="Arial"/>
                <w:sz w:val="14"/>
                <w:szCs w:val="14"/>
                <w:color w:val="001641"/>
              </w:rPr>
              <w:t>456,981</w:t>
            </w:r>
          </w:p>
        </w:tc>
      </w:tr>
      <w:tr>
        <w:trPr>
          <w:trHeight w:val="209"/>
        </w:trPr>
        <w:tc>
          <w:tcPr>
            <w:tcW w:w="1780" w:type="dxa"/>
            <w:vAlign w:val="bottom"/>
            <w:tcBorders>
              <w:top w:val="single" w:sz="8" w:color="001641"/>
              <w:bottom w:val="single" w:sz="8" w:color="808080"/>
            </w:tcBorders>
          </w:tcPr>
          <w:p>
            <w:pPr>
              <w:spacing w:after="0"/>
              <w:rPr>
                <w:sz w:val="18"/>
                <w:szCs w:val="18"/>
                <w:color w:val="auto"/>
              </w:rPr>
            </w:pPr>
          </w:p>
        </w:tc>
        <w:tc>
          <w:tcPr>
            <w:tcW w:w="1500" w:type="dxa"/>
            <w:vAlign w:val="bottom"/>
            <w:tcBorders>
              <w:top w:val="single" w:sz="8" w:color="001641"/>
              <w:bottom w:val="single" w:sz="8" w:color="808080"/>
            </w:tcBorders>
          </w:tcPr>
          <w:p>
            <w:pPr>
              <w:spacing w:after="0"/>
              <w:rPr>
                <w:sz w:val="18"/>
                <w:szCs w:val="18"/>
                <w:color w:val="auto"/>
              </w:rPr>
            </w:pPr>
          </w:p>
        </w:tc>
        <w:tc>
          <w:tcPr>
            <w:tcW w:w="520" w:type="dxa"/>
            <w:vAlign w:val="bottom"/>
            <w:tcBorders>
              <w:top w:val="single" w:sz="8" w:color="001641"/>
              <w:bottom w:val="single" w:sz="8" w:color="808080"/>
            </w:tcBorders>
          </w:tcPr>
          <w:p>
            <w:pPr>
              <w:spacing w:after="0"/>
              <w:rPr>
                <w:sz w:val="18"/>
                <w:szCs w:val="18"/>
                <w:color w:val="auto"/>
              </w:rPr>
            </w:pPr>
          </w:p>
        </w:tc>
        <w:tc>
          <w:tcPr>
            <w:tcW w:w="980" w:type="dxa"/>
            <w:vAlign w:val="bottom"/>
            <w:tcBorders>
              <w:top w:val="single" w:sz="8" w:color="001641"/>
              <w:bottom w:val="single" w:sz="8" w:color="808080"/>
            </w:tcBorders>
          </w:tcPr>
          <w:p>
            <w:pPr>
              <w:spacing w:after="0"/>
              <w:rPr>
                <w:sz w:val="18"/>
                <w:szCs w:val="18"/>
                <w:color w:val="auto"/>
              </w:rPr>
            </w:pPr>
          </w:p>
        </w:tc>
        <w:tc>
          <w:tcPr>
            <w:tcW w:w="2180" w:type="dxa"/>
            <w:vAlign w:val="bottom"/>
            <w:tcBorders>
              <w:top w:val="single" w:sz="8" w:color="001641"/>
              <w:bottom w:val="single" w:sz="8" w:color="808080"/>
            </w:tcBorders>
          </w:tcPr>
          <w:p>
            <w:pPr>
              <w:spacing w:after="0"/>
              <w:rPr>
                <w:sz w:val="18"/>
                <w:szCs w:val="18"/>
                <w:color w:val="auto"/>
              </w:rPr>
            </w:pPr>
          </w:p>
        </w:tc>
        <w:tc>
          <w:tcPr>
            <w:tcW w:w="1200" w:type="dxa"/>
            <w:vAlign w:val="bottom"/>
            <w:tcBorders>
              <w:top w:val="single" w:sz="8" w:color="001641"/>
              <w:bottom w:val="single" w:sz="8" w:color="808080"/>
            </w:tcBorders>
          </w:tcPr>
          <w:p>
            <w:pPr>
              <w:spacing w:after="0"/>
              <w:rPr>
                <w:sz w:val="18"/>
                <w:szCs w:val="18"/>
                <w:color w:val="auto"/>
              </w:rPr>
            </w:pPr>
          </w:p>
        </w:tc>
        <w:tc>
          <w:tcPr>
            <w:tcW w:w="1020" w:type="dxa"/>
            <w:vAlign w:val="bottom"/>
            <w:tcBorders>
              <w:top w:val="single" w:sz="8" w:color="001641"/>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-6745605</wp:posOffset>
            </wp:positionV>
            <wp:extent cx="448310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128270</wp:posOffset>
            </wp:positionV>
            <wp:extent cx="128905" cy="11176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18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126365</wp:posOffset>
            </wp:positionV>
            <wp:extent cx="6995160"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02" w:name="page103"/>
    <w:bookmarkEnd w:id="10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5" w:lineRule="exact"/>
        <w:rPr>
          <w:sz w:val="20"/>
          <w:szCs w:val="20"/>
          <w:color w:val="auto"/>
        </w:rPr>
      </w:pPr>
    </w:p>
    <w:tbl>
      <w:tblPr>
        <w:tblLayout w:type="fixed"/>
        <w:tblInd w:w="6" w:type="dxa"/>
        <w:tblCellMar>
          <w:top w:w="0" w:type="dxa"/>
          <w:left w:w="0" w:type="dxa"/>
          <w:bottom w:w="0" w:type="dxa"/>
          <w:right w:w="0" w:type="dxa"/>
        </w:tblCellMar>
      </w:tblPr>
      <w:tr>
        <w:trPr>
          <w:trHeight w:val="295"/>
        </w:trPr>
        <w:tc>
          <w:tcPr>
            <w:tcW w:w="1780" w:type="dxa"/>
            <w:vAlign w:val="bottom"/>
            <w:shd w:val="clear" w:color="auto" w:fill="001641"/>
          </w:tcPr>
          <w:p>
            <w:pPr>
              <w:spacing w:after="0"/>
              <w:rPr>
                <w:sz w:val="24"/>
                <w:szCs w:val="24"/>
                <w:color w:val="auto"/>
              </w:rPr>
            </w:pPr>
          </w:p>
        </w:tc>
        <w:tc>
          <w:tcPr>
            <w:tcW w:w="1500" w:type="dxa"/>
            <w:vAlign w:val="bottom"/>
            <w:shd w:val="clear" w:color="auto" w:fill="BFA071"/>
          </w:tcPr>
          <w:p>
            <w:pPr>
              <w:spacing w:after="0"/>
              <w:rPr>
                <w:sz w:val="24"/>
                <w:szCs w:val="24"/>
                <w:color w:val="auto"/>
              </w:rPr>
            </w:pPr>
          </w:p>
        </w:tc>
        <w:tc>
          <w:tcPr>
            <w:tcW w:w="600" w:type="dxa"/>
            <w:vAlign w:val="bottom"/>
            <w:shd w:val="clear" w:color="auto" w:fill="BFA071"/>
          </w:tcPr>
          <w:p>
            <w:pPr>
              <w:spacing w:after="0"/>
              <w:rPr>
                <w:sz w:val="24"/>
                <w:szCs w:val="24"/>
                <w:color w:val="auto"/>
              </w:rPr>
            </w:pPr>
          </w:p>
        </w:tc>
        <w:tc>
          <w:tcPr>
            <w:tcW w:w="900" w:type="dxa"/>
            <w:vAlign w:val="bottom"/>
            <w:shd w:val="clear" w:color="auto" w:fill="BFA071"/>
          </w:tcPr>
          <w:p>
            <w:pPr>
              <w:spacing w:after="0"/>
              <w:rPr>
                <w:sz w:val="24"/>
                <w:szCs w:val="24"/>
                <w:color w:val="auto"/>
              </w:rPr>
            </w:pPr>
          </w:p>
        </w:tc>
        <w:tc>
          <w:tcPr>
            <w:tcW w:w="2180" w:type="dxa"/>
            <w:vAlign w:val="bottom"/>
            <w:shd w:val="clear" w:color="auto" w:fill="BFA071"/>
          </w:tcPr>
          <w:p>
            <w:pPr>
              <w:ind w:left="300"/>
              <w:spacing w:after="0"/>
              <w:rPr>
                <w:sz w:val="20"/>
                <w:szCs w:val="20"/>
                <w:color w:val="auto"/>
              </w:rPr>
            </w:pPr>
            <w:r>
              <w:rPr>
                <w:rFonts w:ascii="Arial" w:cs="Arial" w:eastAsia="Arial" w:hAnsi="Arial"/>
                <w:sz w:val="14"/>
                <w:szCs w:val="14"/>
                <w:b w:val="1"/>
                <w:bCs w:val="1"/>
                <w:color w:val="FFFFFF"/>
              </w:rPr>
              <w:t>Stock Awards</w:t>
            </w:r>
          </w:p>
        </w:tc>
        <w:tc>
          <w:tcPr>
            <w:tcW w:w="1340" w:type="dxa"/>
            <w:vAlign w:val="bottom"/>
            <w:shd w:val="clear" w:color="auto" w:fill="BFA071"/>
          </w:tcPr>
          <w:p>
            <w:pPr>
              <w:spacing w:after="0"/>
              <w:rPr>
                <w:sz w:val="24"/>
                <w:szCs w:val="24"/>
                <w:color w:val="auto"/>
              </w:rPr>
            </w:pPr>
          </w:p>
        </w:tc>
        <w:tc>
          <w:tcPr>
            <w:tcW w:w="880" w:type="dxa"/>
            <w:vAlign w:val="bottom"/>
            <w:shd w:val="clear" w:color="auto" w:fill="BFA071"/>
          </w:tcPr>
          <w:p>
            <w:pPr>
              <w:spacing w:after="0"/>
              <w:rPr>
                <w:sz w:val="24"/>
                <w:szCs w:val="24"/>
                <w:color w:val="auto"/>
              </w:rPr>
            </w:pPr>
          </w:p>
        </w:tc>
      </w:tr>
      <w:tr>
        <w:trPr>
          <w:trHeight w:val="209"/>
        </w:trPr>
        <w:tc>
          <w:tcPr>
            <w:tcW w:w="1780" w:type="dxa"/>
            <w:vAlign w:val="bottom"/>
            <w:shd w:val="clear" w:color="auto" w:fill="001641"/>
          </w:tcPr>
          <w:p>
            <w:pPr>
              <w:spacing w:after="0"/>
              <w:rPr>
                <w:sz w:val="18"/>
                <w:szCs w:val="18"/>
                <w:color w:val="auto"/>
              </w:rPr>
            </w:pPr>
          </w:p>
        </w:tc>
        <w:tc>
          <w:tcPr>
            <w:tcW w:w="1500" w:type="dxa"/>
            <w:vAlign w:val="bottom"/>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Number of</w:t>
            </w:r>
          </w:p>
        </w:tc>
        <w:tc>
          <w:tcPr>
            <w:tcW w:w="1500" w:type="dxa"/>
            <w:vAlign w:val="bottom"/>
            <w:gridSpan w:val="2"/>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Market Value</w:t>
            </w:r>
          </w:p>
        </w:tc>
        <w:tc>
          <w:tcPr>
            <w:tcW w:w="2180" w:type="dxa"/>
            <w:vAlign w:val="bottom"/>
            <w:shd w:val="clear" w:color="auto" w:fill="BFA071"/>
          </w:tcPr>
          <w:p>
            <w:pPr>
              <w:jc w:val="right"/>
              <w:ind w:right="228"/>
              <w:spacing w:after="0"/>
              <w:rPr>
                <w:sz w:val="20"/>
                <w:szCs w:val="20"/>
                <w:color w:val="auto"/>
              </w:rPr>
            </w:pPr>
            <w:r>
              <w:rPr>
                <w:rFonts w:ascii="Arial" w:cs="Arial" w:eastAsia="Arial" w:hAnsi="Arial"/>
                <w:sz w:val="14"/>
                <w:szCs w:val="14"/>
                <w:b w:val="1"/>
                <w:bCs w:val="1"/>
                <w:color w:val="FFFFFF"/>
              </w:rPr>
              <w:t>Equity Incentive Plan</w:t>
            </w:r>
          </w:p>
        </w:tc>
        <w:tc>
          <w:tcPr>
            <w:tcW w:w="2220" w:type="dxa"/>
            <w:vAlign w:val="bottom"/>
            <w:gridSpan w:val="2"/>
            <w:shd w:val="clear" w:color="auto" w:fill="BFA071"/>
          </w:tcPr>
          <w:p>
            <w:pPr>
              <w:jc w:val="right"/>
              <w:ind w:right="68"/>
              <w:spacing w:after="0"/>
              <w:rPr>
                <w:sz w:val="20"/>
                <w:szCs w:val="20"/>
                <w:color w:val="auto"/>
              </w:rPr>
            </w:pPr>
            <w:r>
              <w:rPr>
                <w:rFonts w:ascii="Arial" w:cs="Arial" w:eastAsia="Arial" w:hAnsi="Arial"/>
                <w:sz w:val="14"/>
                <w:szCs w:val="14"/>
                <w:b w:val="1"/>
                <w:bCs w:val="1"/>
                <w:color w:val="FFFFFF"/>
              </w:rPr>
              <w:t>Equity Incentive Plan</w:t>
            </w:r>
          </w:p>
        </w:tc>
      </w:tr>
      <w:tr>
        <w:trPr>
          <w:trHeight w:val="162"/>
        </w:trPr>
        <w:tc>
          <w:tcPr>
            <w:tcW w:w="1780" w:type="dxa"/>
            <w:vAlign w:val="bottom"/>
            <w:shd w:val="clear" w:color="auto" w:fill="001641"/>
          </w:tcPr>
          <w:p>
            <w:pPr>
              <w:spacing w:after="0"/>
              <w:rPr>
                <w:sz w:val="14"/>
                <w:szCs w:val="14"/>
                <w:color w:val="auto"/>
              </w:rPr>
            </w:pPr>
          </w:p>
        </w:tc>
        <w:tc>
          <w:tcPr>
            <w:tcW w:w="1500" w:type="dxa"/>
            <w:vAlign w:val="bottom"/>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Shares or</w:t>
            </w:r>
          </w:p>
        </w:tc>
        <w:tc>
          <w:tcPr>
            <w:tcW w:w="1500" w:type="dxa"/>
            <w:vAlign w:val="bottom"/>
            <w:gridSpan w:val="2"/>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of Shares or</w:t>
            </w:r>
          </w:p>
        </w:tc>
        <w:tc>
          <w:tcPr>
            <w:tcW w:w="2180" w:type="dxa"/>
            <w:vAlign w:val="bottom"/>
            <w:shd w:val="clear" w:color="auto" w:fill="BFA071"/>
          </w:tcPr>
          <w:p>
            <w:pPr>
              <w:jc w:val="right"/>
              <w:ind w:right="228"/>
              <w:spacing w:after="0"/>
              <w:rPr>
                <w:sz w:val="20"/>
                <w:szCs w:val="20"/>
                <w:color w:val="auto"/>
              </w:rPr>
            </w:pPr>
            <w:r>
              <w:rPr>
                <w:rFonts w:ascii="Arial" w:cs="Arial" w:eastAsia="Arial" w:hAnsi="Arial"/>
                <w:sz w:val="14"/>
                <w:szCs w:val="14"/>
                <w:b w:val="1"/>
                <w:bCs w:val="1"/>
                <w:color w:val="FFFFFF"/>
              </w:rPr>
              <w:t>Awards: Number of</w:t>
            </w:r>
          </w:p>
        </w:tc>
        <w:tc>
          <w:tcPr>
            <w:tcW w:w="2220" w:type="dxa"/>
            <w:vAlign w:val="bottom"/>
            <w:gridSpan w:val="2"/>
            <w:shd w:val="clear" w:color="auto" w:fill="BFA071"/>
          </w:tcPr>
          <w:p>
            <w:pPr>
              <w:jc w:val="right"/>
              <w:ind w:right="68"/>
              <w:spacing w:after="0"/>
              <w:rPr>
                <w:sz w:val="20"/>
                <w:szCs w:val="20"/>
                <w:color w:val="auto"/>
              </w:rPr>
            </w:pPr>
            <w:r>
              <w:rPr>
                <w:rFonts w:ascii="Arial" w:cs="Arial" w:eastAsia="Arial" w:hAnsi="Arial"/>
                <w:sz w:val="14"/>
                <w:szCs w:val="14"/>
                <w:b w:val="1"/>
                <w:bCs w:val="1"/>
                <w:color w:val="FFFFFF"/>
              </w:rPr>
              <w:t>Awards: Market or Payout</w:t>
            </w:r>
          </w:p>
        </w:tc>
      </w:tr>
      <w:tr>
        <w:trPr>
          <w:trHeight w:val="162"/>
        </w:trPr>
        <w:tc>
          <w:tcPr>
            <w:tcW w:w="1780" w:type="dxa"/>
            <w:vAlign w:val="bottom"/>
            <w:shd w:val="clear" w:color="auto" w:fill="001641"/>
          </w:tcPr>
          <w:p>
            <w:pPr>
              <w:spacing w:after="0"/>
              <w:rPr>
                <w:sz w:val="14"/>
                <w:szCs w:val="14"/>
                <w:color w:val="auto"/>
              </w:rPr>
            </w:pPr>
          </w:p>
        </w:tc>
        <w:tc>
          <w:tcPr>
            <w:tcW w:w="1500" w:type="dxa"/>
            <w:vAlign w:val="bottom"/>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Units of Stock</w:t>
            </w:r>
          </w:p>
        </w:tc>
        <w:tc>
          <w:tcPr>
            <w:tcW w:w="1500" w:type="dxa"/>
            <w:vAlign w:val="bottom"/>
            <w:gridSpan w:val="2"/>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Units of Stock</w:t>
            </w:r>
          </w:p>
        </w:tc>
        <w:tc>
          <w:tcPr>
            <w:tcW w:w="2180" w:type="dxa"/>
            <w:vAlign w:val="bottom"/>
            <w:shd w:val="clear" w:color="auto" w:fill="BFA071"/>
          </w:tcPr>
          <w:p>
            <w:pPr>
              <w:jc w:val="right"/>
              <w:ind w:right="228"/>
              <w:spacing w:after="0"/>
              <w:rPr>
                <w:sz w:val="20"/>
                <w:szCs w:val="20"/>
                <w:color w:val="auto"/>
              </w:rPr>
            </w:pPr>
            <w:r>
              <w:rPr>
                <w:rFonts w:ascii="Arial" w:cs="Arial" w:eastAsia="Arial" w:hAnsi="Arial"/>
                <w:sz w:val="14"/>
                <w:szCs w:val="14"/>
                <w:b w:val="1"/>
                <w:bCs w:val="1"/>
                <w:color w:val="FFFFFF"/>
              </w:rPr>
              <w:t>Unearned Shares, Units</w:t>
            </w:r>
          </w:p>
        </w:tc>
        <w:tc>
          <w:tcPr>
            <w:tcW w:w="2220" w:type="dxa"/>
            <w:vAlign w:val="bottom"/>
            <w:gridSpan w:val="2"/>
            <w:shd w:val="clear" w:color="auto" w:fill="BFA071"/>
          </w:tcPr>
          <w:p>
            <w:pPr>
              <w:jc w:val="right"/>
              <w:ind w:right="68"/>
              <w:spacing w:after="0"/>
              <w:rPr>
                <w:sz w:val="20"/>
                <w:szCs w:val="20"/>
                <w:color w:val="auto"/>
              </w:rPr>
            </w:pPr>
            <w:r>
              <w:rPr>
                <w:rFonts w:ascii="Arial" w:cs="Arial" w:eastAsia="Arial" w:hAnsi="Arial"/>
                <w:sz w:val="14"/>
                <w:szCs w:val="14"/>
                <w:b w:val="1"/>
                <w:bCs w:val="1"/>
                <w:color w:val="FFFFFF"/>
              </w:rPr>
              <w:t>Value of Unearned Shares,</w:t>
            </w:r>
          </w:p>
        </w:tc>
      </w:tr>
      <w:tr>
        <w:trPr>
          <w:trHeight w:val="162"/>
        </w:trPr>
        <w:tc>
          <w:tcPr>
            <w:tcW w:w="1780" w:type="dxa"/>
            <w:vAlign w:val="bottom"/>
            <w:shd w:val="clear" w:color="auto" w:fill="001641"/>
          </w:tcPr>
          <w:p>
            <w:pPr>
              <w:spacing w:after="0"/>
              <w:rPr>
                <w:sz w:val="14"/>
                <w:szCs w:val="14"/>
                <w:color w:val="auto"/>
              </w:rPr>
            </w:pPr>
          </w:p>
        </w:tc>
        <w:tc>
          <w:tcPr>
            <w:tcW w:w="1500" w:type="dxa"/>
            <w:vAlign w:val="bottom"/>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That Have Not</w:t>
            </w:r>
          </w:p>
        </w:tc>
        <w:tc>
          <w:tcPr>
            <w:tcW w:w="1500" w:type="dxa"/>
            <w:vAlign w:val="bottom"/>
            <w:gridSpan w:val="2"/>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That Have Not</w:t>
            </w:r>
          </w:p>
        </w:tc>
        <w:tc>
          <w:tcPr>
            <w:tcW w:w="2180" w:type="dxa"/>
            <w:vAlign w:val="bottom"/>
            <w:shd w:val="clear" w:color="auto" w:fill="BFA071"/>
          </w:tcPr>
          <w:p>
            <w:pPr>
              <w:jc w:val="right"/>
              <w:ind w:right="228"/>
              <w:spacing w:after="0"/>
              <w:rPr>
                <w:sz w:val="20"/>
                <w:szCs w:val="20"/>
                <w:color w:val="auto"/>
              </w:rPr>
            </w:pPr>
            <w:r>
              <w:rPr>
                <w:rFonts w:ascii="Arial" w:cs="Arial" w:eastAsia="Arial" w:hAnsi="Arial"/>
                <w:sz w:val="14"/>
                <w:szCs w:val="14"/>
                <w:b w:val="1"/>
                <w:bCs w:val="1"/>
                <w:color w:val="FFFFFF"/>
              </w:rPr>
              <w:t>or Other Rights That</w:t>
            </w:r>
          </w:p>
        </w:tc>
        <w:tc>
          <w:tcPr>
            <w:tcW w:w="2220" w:type="dxa"/>
            <w:vAlign w:val="bottom"/>
            <w:gridSpan w:val="2"/>
            <w:shd w:val="clear" w:color="auto" w:fill="BFA071"/>
          </w:tcPr>
          <w:p>
            <w:pPr>
              <w:jc w:val="right"/>
              <w:ind w:right="68"/>
              <w:spacing w:after="0"/>
              <w:rPr>
                <w:sz w:val="20"/>
                <w:szCs w:val="20"/>
                <w:color w:val="auto"/>
              </w:rPr>
            </w:pPr>
            <w:r>
              <w:rPr>
                <w:rFonts w:ascii="Arial" w:cs="Arial" w:eastAsia="Arial" w:hAnsi="Arial"/>
                <w:sz w:val="14"/>
                <w:szCs w:val="14"/>
                <w:b w:val="1"/>
                <w:bCs w:val="1"/>
                <w:color w:val="FFFFFF"/>
              </w:rPr>
              <w:t>Units or Other Rights That</w:t>
            </w:r>
          </w:p>
        </w:tc>
      </w:tr>
      <w:tr>
        <w:trPr>
          <w:trHeight w:val="162"/>
        </w:trPr>
        <w:tc>
          <w:tcPr>
            <w:tcW w:w="1780" w:type="dxa"/>
            <w:vAlign w:val="bottom"/>
            <w:shd w:val="clear" w:color="auto" w:fill="001641"/>
          </w:tcPr>
          <w:p>
            <w:pPr>
              <w:spacing w:after="0"/>
              <w:rPr>
                <w:sz w:val="14"/>
                <w:szCs w:val="14"/>
                <w:color w:val="auto"/>
              </w:rPr>
            </w:pPr>
          </w:p>
        </w:tc>
        <w:tc>
          <w:tcPr>
            <w:tcW w:w="1500" w:type="dxa"/>
            <w:vAlign w:val="bottom"/>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Vested</w:t>
            </w:r>
          </w:p>
        </w:tc>
        <w:tc>
          <w:tcPr>
            <w:tcW w:w="600" w:type="dxa"/>
            <w:vAlign w:val="bottom"/>
            <w:shd w:val="clear" w:color="auto" w:fill="BFA071"/>
          </w:tcPr>
          <w:p>
            <w:pPr>
              <w:spacing w:after="0"/>
              <w:rPr>
                <w:sz w:val="14"/>
                <w:szCs w:val="14"/>
                <w:color w:val="auto"/>
              </w:rPr>
            </w:pPr>
          </w:p>
        </w:tc>
        <w:tc>
          <w:tcPr>
            <w:tcW w:w="900" w:type="dxa"/>
            <w:vAlign w:val="bottom"/>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Vested</w:t>
            </w:r>
          </w:p>
        </w:tc>
        <w:tc>
          <w:tcPr>
            <w:tcW w:w="2180" w:type="dxa"/>
            <w:vAlign w:val="bottom"/>
            <w:shd w:val="clear" w:color="auto" w:fill="BFA071"/>
          </w:tcPr>
          <w:p>
            <w:pPr>
              <w:jc w:val="right"/>
              <w:ind w:right="228"/>
              <w:spacing w:after="0"/>
              <w:rPr>
                <w:sz w:val="20"/>
                <w:szCs w:val="20"/>
                <w:color w:val="auto"/>
              </w:rPr>
            </w:pPr>
            <w:r>
              <w:rPr>
                <w:rFonts w:ascii="Arial" w:cs="Arial" w:eastAsia="Arial" w:hAnsi="Arial"/>
                <w:sz w:val="14"/>
                <w:szCs w:val="14"/>
                <w:b w:val="1"/>
                <w:bCs w:val="1"/>
                <w:color w:val="FFFFFF"/>
              </w:rPr>
              <w:t>Have Not Vested</w:t>
            </w:r>
          </w:p>
        </w:tc>
        <w:tc>
          <w:tcPr>
            <w:tcW w:w="2220" w:type="dxa"/>
            <w:vAlign w:val="bottom"/>
            <w:gridSpan w:val="2"/>
            <w:shd w:val="clear" w:color="auto" w:fill="BFA071"/>
          </w:tcPr>
          <w:p>
            <w:pPr>
              <w:jc w:val="right"/>
              <w:ind w:right="68"/>
              <w:spacing w:after="0"/>
              <w:rPr>
                <w:sz w:val="20"/>
                <w:szCs w:val="20"/>
                <w:color w:val="auto"/>
              </w:rPr>
            </w:pPr>
            <w:r>
              <w:rPr>
                <w:rFonts w:ascii="Arial" w:cs="Arial" w:eastAsia="Arial" w:hAnsi="Arial"/>
                <w:sz w:val="14"/>
                <w:szCs w:val="14"/>
                <w:b w:val="1"/>
                <w:bCs w:val="1"/>
                <w:color w:val="FFFFFF"/>
              </w:rPr>
              <w:t>Have Not Vested</w:t>
            </w:r>
          </w:p>
        </w:tc>
      </w:tr>
      <w:tr>
        <w:trPr>
          <w:trHeight w:val="212"/>
        </w:trPr>
        <w:tc>
          <w:tcPr>
            <w:tcW w:w="1780" w:type="dxa"/>
            <w:vAlign w:val="bottom"/>
            <w:shd w:val="clear" w:color="auto" w:fill="001641"/>
          </w:tcPr>
          <w:p>
            <w:pPr>
              <w:ind w:left="120"/>
              <w:spacing w:after="0"/>
              <w:rPr>
                <w:sz w:val="20"/>
                <w:szCs w:val="20"/>
                <w:color w:val="auto"/>
              </w:rPr>
            </w:pPr>
            <w:r>
              <w:rPr>
                <w:rFonts w:ascii="Arial" w:cs="Arial" w:eastAsia="Arial" w:hAnsi="Arial"/>
                <w:sz w:val="14"/>
                <w:szCs w:val="14"/>
                <w:b w:val="1"/>
                <w:bCs w:val="1"/>
                <w:color w:val="FFFFFF"/>
              </w:rPr>
              <w:t>Name</w:t>
            </w:r>
          </w:p>
        </w:tc>
        <w:tc>
          <w:tcPr>
            <w:tcW w:w="1500" w:type="dxa"/>
            <w:vAlign w:val="bottom"/>
            <w:shd w:val="clear" w:color="auto" w:fill="BFA071"/>
          </w:tcPr>
          <w:p>
            <w:pPr>
              <w:jc w:val="right"/>
              <w:ind w:right="168"/>
              <w:spacing w:after="0"/>
              <w:rPr>
                <w:sz w:val="20"/>
                <w:szCs w:val="20"/>
                <w:color w:val="auto"/>
              </w:rPr>
            </w:pPr>
            <w:r>
              <w:rPr>
                <w:rFonts w:ascii="Arial" w:cs="Arial" w:eastAsia="Arial" w:hAnsi="Arial"/>
                <w:sz w:val="14"/>
                <w:szCs w:val="14"/>
                <w:b w:val="1"/>
                <w:bCs w:val="1"/>
                <w:color w:val="FFFFFF"/>
              </w:rPr>
              <w:t>(#)</w:t>
            </w:r>
          </w:p>
        </w:tc>
        <w:tc>
          <w:tcPr>
            <w:tcW w:w="600" w:type="dxa"/>
            <w:vAlign w:val="bottom"/>
            <w:shd w:val="clear" w:color="auto" w:fill="BFA071"/>
          </w:tcPr>
          <w:p>
            <w:pPr>
              <w:spacing w:after="0"/>
              <w:rPr>
                <w:sz w:val="18"/>
                <w:szCs w:val="18"/>
                <w:color w:val="auto"/>
              </w:rPr>
            </w:pPr>
          </w:p>
        </w:tc>
        <w:tc>
          <w:tcPr>
            <w:tcW w:w="900" w:type="dxa"/>
            <w:vAlign w:val="bottom"/>
            <w:shd w:val="clear" w:color="auto" w:fill="BFA071"/>
          </w:tcPr>
          <w:p>
            <w:pPr>
              <w:jc w:val="right"/>
              <w:ind w:right="168"/>
              <w:spacing w:after="0"/>
              <w:rPr>
                <w:sz w:val="20"/>
                <w:szCs w:val="20"/>
                <w:color w:val="auto"/>
              </w:rPr>
            </w:pPr>
            <w:r>
              <w:rPr>
                <w:rFonts w:ascii="Arial" w:cs="Arial" w:eastAsia="Arial" w:hAnsi="Arial"/>
                <w:sz w:val="14"/>
                <w:szCs w:val="14"/>
                <w:b w:val="1"/>
                <w:bCs w:val="1"/>
                <w:color w:val="FFFFFF"/>
              </w:rPr>
              <w:t>($)</w:t>
            </w:r>
          </w:p>
        </w:tc>
        <w:tc>
          <w:tcPr>
            <w:tcW w:w="2180" w:type="dxa"/>
            <w:vAlign w:val="bottom"/>
            <w:shd w:val="clear" w:color="auto" w:fill="BFA071"/>
          </w:tcPr>
          <w:p>
            <w:pPr>
              <w:ind w:left="1740"/>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BFA071"/>
          </w:tcPr>
          <w:p>
            <w:pPr>
              <w:spacing w:after="0"/>
              <w:rPr>
                <w:sz w:val="18"/>
                <w:szCs w:val="18"/>
                <w:color w:val="auto"/>
              </w:rPr>
            </w:pPr>
          </w:p>
        </w:tc>
        <w:tc>
          <w:tcPr>
            <w:tcW w:w="880" w:type="dxa"/>
            <w:vAlign w:val="bottom"/>
            <w:shd w:val="clear" w:color="auto" w:fill="BFA071"/>
          </w:tcPr>
          <w:p>
            <w:pPr>
              <w:jc w:val="right"/>
              <w:ind w:right="28"/>
              <w:spacing w:after="0"/>
              <w:rPr>
                <w:sz w:val="20"/>
                <w:szCs w:val="20"/>
                <w:color w:val="auto"/>
              </w:rPr>
            </w:pPr>
            <w:r>
              <w:rPr>
                <w:rFonts w:ascii="Arial" w:cs="Arial" w:eastAsia="Arial" w:hAnsi="Arial"/>
                <w:sz w:val="14"/>
                <w:szCs w:val="14"/>
                <w:b w:val="1"/>
                <w:bCs w:val="1"/>
                <w:color w:val="FFFFFF"/>
              </w:rPr>
              <w:t>($)</w:t>
            </w:r>
          </w:p>
        </w:tc>
      </w:tr>
      <w:tr>
        <w:trPr>
          <w:trHeight w:val="237"/>
        </w:trPr>
        <w:tc>
          <w:tcPr>
            <w:tcW w:w="1780" w:type="dxa"/>
            <w:vAlign w:val="bottom"/>
          </w:tcPr>
          <w:p>
            <w:pPr>
              <w:ind w:left="120"/>
              <w:spacing w:after="0"/>
              <w:rPr>
                <w:sz w:val="20"/>
                <w:szCs w:val="20"/>
                <w:color w:val="auto"/>
              </w:rPr>
            </w:pPr>
            <w:r>
              <w:rPr>
                <w:rFonts w:ascii="Arial" w:cs="Arial" w:eastAsia="Arial" w:hAnsi="Arial"/>
                <w:sz w:val="14"/>
                <w:szCs w:val="14"/>
                <w:b w:val="1"/>
                <w:bCs w:val="1"/>
                <w:color w:val="001641"/>
              </w:rPr>
              <w:t>Halide Alagoz</w:t>
            </w:r>
          </w:p>
        </w:tc>
        <w:tc>
          <w:tcPr>
            <w:tcW w:w="1500" w:type="dxa"/>
            <w:vAlign w:val="bottom"/>
            <w:tcBorders>
              <w:bottom w:val="single" w:sz="8" w:color="BFA071"/>
            </w:tcBorders>
            <w:shd w:val="clear" w:color="auto" w:fill="EBE1D2"/>
          </w:tcPr>
          <w:p>
            <w:pPr>
              <w:spacing w:after="0"/>
              <w:rPr>
                <w:sz w:val="20"/>
                <w:szCs w:val="20"/>
                <w:color w:val="auto"/>
              </w:rPr>
            </w:pPr>
          </w:p>
        </w:tc>
        <w:tc>
          <w:tcPr>
            <w:tcW w:w="600" w:type="dxa"/>
            <w:vAlign w:val="bottom"/>
            <w:tcBorders>
              <w:bottom w:val="single" w:sz="8" w:color="BFA071"/>
            </w:tcBorders>
            <w:shd w:val="clear" w:color="auto" w:fill="EBE1D2"/>
          </w:tcPr>
          <w:p>
            <w:pPr>
              <w:spacing w:after="0"/>
              <w:rPr>
                <w:sz w:val="20"/>
                <w:szCs w:val="20"/>
                <w:color w:val="auto"/>
              </w:rPr>
            </w:pPr>
          </w:p>
        </w:tc>
        <w:tc>
          <w:tcPr>
            <w:tcW w:w="900" w:type="dxa"/>
            <w:vAlign w:val="bottom"/>
            <w:tcBorders>
              <w:bottom w:val="single" w:sz="8" w:color="BFA071"/>
            </w:tcBorders>
            <w:shd w:val="clear" w:color="auto" w:fill="EBE1D2"/>
          </w:tcPr>
          <w:p>
            <w:pPr>
              <w:spacing w:after="0"/>
              <w:rPr>
                <w:sz w:val="20"/>
                <w:szCs w:val="20"/>
                <w:color w:val="auto"/>
              </w:rPr>
            </w:pPr>
          </w:p>
        </w:tc>
        <w:tc>
          <w:tcPr>
            <w:tcW w:w="2180" w:type="dxa"/>
            <w:vAlign w:val="bottom"/>
            <w:tcBorders>
              <w:bottom w:val="single" w:sz="8" w:color="BFA071"/>
            </w:tcBorders>
            <w:shd w:val="clear" w:color="auto" w:fill="EBE1D2"/>
          </w:tcPr>
          <w:p>
            <w:pPr>
              <w:spacing w:after="0"/>
              <w:rPr>
                <w:sz w:val="20"/>
                <w:szCs w:val="20"/>
                <w:color w:val="auto"/>
              </w:rPr>
            </w:pPr>
          </w:p>
        </w:tc>
        <w:tc>
          <w:tcPr>
            <w:tcW w:w="1340" w:type="dxa"/>
            <w:vAlign w:val="bottom"/>
            <w:tcBorders>
              <w:bottom w:val="single" w:sz="8" w:color="BFA071"/>
            </w:tcBorders>
            <w:shd w:val="clear" w:color="auto" w:fill="EBE1D2"/>
          </w:tcPr>
          <w:p>
            <w:pPr>
              <w:spacing w:after="0"/>
              <w:rPr>
                <w:sz w:val="20"/>
                <w:szCs w:val="20"/>
                <w:color w:val="auto"/>
              </w:rPr>
            </w:pPr>
          </w:p>
        </w:tc>
        <w:tc>
          <w:tcPr>
            <w:tcW w:w="880" w:type="dxa"/>
            <w:vAlign w:val="bottom"/>
            <w:tcBorders>
              <w:bottom w:val="single" w:sz="8" w:color="BFA071"/>
            </w:tcBorders>
            <w:shd w:val="clear" w:color="auto" w:fill="EBE1D2"/>
          </w:tcPr>
          <w:p>
            <w:pPr>
              <w:spacing w:after="0"/>
              <w:rPr>
                <w:sz w:val="20"/>
                <w:szCs w:val="20"/>
                <w:color w:val="auto"/>
              </w:rPr>
            </w:pPr>
          </w:p>
        </w:tc>
      </w:tr>
      <w:tr>
        <w:trPr>
          <w:trHeight w:val="257"/>
        </w:trPr>
        <w:tc>
          <w:tcPr>
            <w:tcW w:w="1780" w:type="dxa"/>
            <w:vAlign w:val="bottom"/>
          </w:tcPr>
          <w:p>
            <w:pPr>
              <w:spacing w:after="0"/>
              <w:rPr>
                <w:sz w:val="22"/>
                <w:szCs w:val="22"/>
                <w:color w:val="auto"/>
              </w:rPr>
            </w:pPr>
          </w:p>
        </w:tc>
        <w:tc>
          <w:tcPr>
            <w:tcW w:w="1500" w:type="dxa"/>
            <w:vAlign w:val="bottom"/>
            <w:tcBorders>
              <w:bottom w:val="single" w:sz="8" w:color="BFA071"/>
            </w:tcBorders>
            <w:shd w:val="clear" w:color="auto" w:fill="EBE1D2"/>
          </w:tcPr>
          <w:p>
            <w:pPr>
              <w:jc w:val="right"/>
              <w:ind w:right="288"/>
              <w:spacing w:after="0" w:line="256" w:lineRule="exact"/>
              <w:rPr>
                <w:sz w:val="20"/>
                <w:szCs w:val="20"/>
                <w:color w:val="auto"/>
              </w:rPr>
            </w:pPr>
            <w:r>
              <w:rPr>
                <w:rFonts w:ascii="Arial" w:cs="Arial" w:eastAsia="Arial" w:hAnsi="Arial"/>
                <w:sz w:val="14"/>
                <w:szCs w:val="14"/>
                <w:color w:val="001641"/>
              </w:rPr>
              <w:t>1,668</w:t>
            </w:r>
            <w:r>
              <w:rPr>
                <w:rFonts w:ascii="Arial" w:cs="Arial" w:eastAsia="Arial" w:hAnsi="Arial"/>
                <w:sz w:val="23"/>
                <w:szCs w:val="23"/>
                <w:color w:val="001641"/>
                <w:vertAlign w:val="superscript"/>
              </w:rPr>
              <w:t>3</w:t>
            </w:r>
          </w:p>
        </w:tc>
        <w:tc>
          <w:tcPr>
            <w:tcW w:w="600" w:type="dxa"/>
            <w:vAlign w:val="bottom"/>
            <w:tcBorders>
              <w:bottom w:val="single" w:sz="8" w:color="BFA071"/>
            </w:tcBorders>
            <w:shd w:val="clear" w:color="auto" w:fill="EBE1D2"/>
          </w:tcPr>
          <w:p>
            <w:pPr>
              <w:jc w:val="right"/>
              <w:spacing w:after="0"/>
              <w:rPr>
                <w:sz w:val="20"/>
                <w:szCs w:val="20"/>
                <w:color w:val="auto"/>
              </w:rPr>
            </w:pPr>
            <w:r>
              <w:rPr>
                <w:rFonts w:ascii="Arial" w:cs="Arial" w:eastAsia="Arial" w:hAnsi="Arial"/>
                <w:sz w:val="14"/>
                <w:szCs w:val="14"/>
                <w:color w:val="001641"/>
              </w:rPr>
              <w:t>$</w:t>
            </w:r>
          </w:p>
        </w:tc>
        <w:tc>
          <w:tcPr>
            <w:tcW w:w="900" w:type="dxa"/>
            <w:vAlign w:val="bottom"/>
            <w:tcBorders>
              <w:bottom w:val="single" w:sz="8" w:color="BFA071"/>
            </w:tcBorders>
            <w:shd w:val="clear" w:color="auto" w:fill="EBE1D2"/>
          </w:tcPr>
          <w:p>
            <w:pPr>
              <w:jc w:val="right"/>
              <w:ind w:right="248"/>
              <w:spacing w:after="0"/>
              <w:rPr>
                <w:sz w:val="20"/>
                <w:szCs w:val="20"/>
                <w:color w:val="auto"/>
              </w:rPr>
            </w:pPr>
            <w:r>
              <w:rPr>
                <w:rFonts w:ascii="Arial" w:cs="Arial" w:eastAsia="Arial" w:hAnsi="Arial"/>
                <w:sz w:val="14"/>
                <w:szCs w:val="14"/>
                <w:color w:val="001641"/>
              </w:rPr>
              <w:t>546,804</w:t>
            </w:r>
          </w:p>
        </w:tc>
        <w:tc>
          <w:tcPr>
            <w:tcW w:w="2180" w:type="dxa"/>
            <w:vAlign w:val="bottom"/>
            <w:tcBorders>
              <w:bottom w:val="single" w:sz="8" w:color="BFA071"/>
            </w:tcBorders>
            <w:shd w:val="clear" w:color="auto" w:fill="EBE1D2"/>
          </w:tcPr>
          <w:p>
            <w:pPr>
              <w:spacing w:after="0"/>
              <w:rPr>
                <w:sz w:val="22"/>
                <w:szCs w:val="22"/>
                <w:color w:val="auto"/>
              </w:rPr>
            </w:pPr>
          </w:p>
        </w:tc>
        <w:tc>
          <w:tcPr>
            <w:tcW w:w="1340" w:type="dxa"/>
            <w:vAlign w:val="bottom"/>
            <w:tcBorders>
              <w:bottom w:val="single" w:sz="8" w:color="BFA071"/>
            </w:tcBorders>
            <w:shd w:val="clear" w:color="auto" w:fill="EBE1D2"/>
          </w:tcPr>
          <w:p>
            <w:pPr>
              <w:spacing w:after="0"/>
              <w:rPr>
                <w:sz w:val="22"/>
                <w:szCs w:val="22"/>
                <w:color w:val="auto"/>
              </w:rPr>
            </w:pPr>
          </w:p>
        </w:tc>
        <w:tc>
          <w:tcPr>
            <w:tcW w:w="880" w:type="dxa"/>
            <w:vAlign w:val="bottom"/>
            <w:tcBorders>
              <w:bottom w:val="single" w:sz="8" w:color="BFA071"/>
            </w:tcBorders>
            <w:shd w:val="clear" w:color="auto" w:fill="EBE1D2"/>
          </w:tcPr>
          <w:p>
            <w:pPr>
              <w:spacing w:after="0"/>
              <w:rPr>
                <w:sz w:val="22"/>
                <w:szCs w:val="22"/>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5,002</w:t>
            </w:r>
            <w:r>
              <w:rPr>
                <w:rFonts w:ascii="Arial" w:cs="Arial" w:eastAsia="Arial" w:hAnsi="Arial"/>
                <w:sz w:val="23"/>
                <w:szCs w:val="23"/>
                <w:color w:val="001641"/>
                <w:vertAlign w:val="superscript"/>
              </w:rPr>
              <w:t>1</w:t>
            </w:r>
          </w:p>
        </w:tc>
        <w:tc>
          <w:tcPr>
            <w:tcW w:w="1500" w:type="dxa"/>
            <w:vAlign w:val="bottom"/>
            <w:tcBorders>
              <w:bottom w:val="single" w:sz="8" w:color="BFA071"/>
            </w:tcBorders>
            <w:gridSpan w:val="2"/>
            <w:shd w:val="clear" w:color="auto" w:fill="EBE1D2"/>
          </w:tcPr>
          <w:p>
            <w:pPr>
              <w:jc w:val="right"/>
              <w:ind w:right="248"/>
              <w:spacing w:after="0"/>
              <w:rPr>
                <w:sz w:val="20"/>
                <w:szCs w:val="20"/>
                <w:color w:val="auto"/>
              </w:rPr>
            </w:pPr>
            <w:r>
              <w:rPr>
                <w:rFonts w:ascii="Arial" w:cs="Arial" w:eastAsia="Arial" w:hAnsi="Arial"/>
                <w:sz w:val="14"/>
                <w:szCs w:val="14"/>
                <w:color w:val="001641"/>
              </w:rPr>
              <w:t>$1,639,756</w:t>
            </w:r>
          </w:p>
        </w:tc>
        <w:tc>
          <w:tcPr>
            <w:tcW w:w="2180" w:type="dxa"/>
            <w:vAlign w:val="bottom"/>
            <w:tcBorders>
              <w:bottom w:val="single" w:sz="8" w:color="BFA071"/>
            </w:tcBorders>
            <w:shd w:val="clear" w:color="auto" w:fill="EBE1D2"/>
          </w:tcPr>
          <w:p>
            <w:pPr>
              <w:spacing w:after="0"/>
              <w:rPr>
                <w:sz w:val="21"/>
                <w:szCs w:val="21"/>
                <w:color w:val="auto"/>
              </w:rPr>
            </w:pPr>
          </w:p>
        </w:tc>
        <w:tc>
          <w:tcPr>
            <w:tcW w:w="1340" w:type="dxa"/>
            <w:vAlign w:val="bottom"/>
            <w:tcBorders>
              <w:bottom w:val="single" w:sz="8" w:color="BFA071"/>
            </w:tcBorders>
            <w:shd w:val="clear" w:color="auto" w:fill="EBE1D2"/>
          </w:tcPr>
          <w:p>
            <w:pPr>
              <w:spacing w:after="0"/>
              <w:rPr>
                <w:sz w:val="21"/>
                <w:szCs w:val="21"/>
                <w:color w:val="auto"/>
              </w:rPr>
            </w:pPr>
          </w:p>
        </w:tc>
        <w:tc>
          <w:tcPr>
            <w:tcW w:w="88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3,719</w:t>
            </w:r>
            <w:r>
              <w:rPr>
                <w:rFonts w:ascii="Arial" w:cs="Arial" w:eastAsia="Arial" w:hAnsi="Arial"/>
                <w:sz w:val="23"/>
                <w:szCs w:val="23"/>
                <w:color w:val="001641"/>
                <w:vertAlign w:val="superscript"/>
              </w:rPr>
              <w:t>2</w:t>
            </w:r>
          </w:p>
        </w:tc>
        <w:tc>
          <w:tcPr>
            <w:tcW w:w="1500" w:type="dxa"/>
            <w:vAlign w:val="bottom"/>
            <w:tcBorders>
              <w:bottom w:val="single" w:sz="8" w:color="BFA071"/>
            </w:tcBorders>
            <w:gridSpan w:val="2"/>
            <w:shd w:val="clear" w:color="auto" w:fill="EBE1D2"/>
          </w:tcPr>
          <w:p>
            <w:pPr>
              <w:jc w:val="right"/>
              <w:ind w:right="248"/>
              <w:spacing w:after="0"/>
              <w:rPr>
                <w:sz w:val="20"/>
                <w:szCs w:val="20"/>
                <w:color w:val="auto"/>
              </w:rPr>
            </w:pPr>
            <w:r>
              <w:rPr>
                <w:rFonts w:ascii="Arial" w:cs="Arial" w:eastAsia="Arial" w:hAnsi="Arial"/>
                <w:sz w:val="14"/>
                <w:szCs w:val="14"/>
                <w:color w:val="001641"/>
              </w:rPr>
              <w:t>$1,219,163</w:t>
            </w:r>
          </w:p>
        </w:tc>
        <w:tc>
          <w:tcPr>
            <w:tcW w:w="2180" w:type="dxa"/>
            <w:vAlign w:val="bottom"/>
            <w:tcBorders>
              <w:bottom w:val="single" w:sz="8" w:color="BFA071"/>
            </w:tcBorders>
            <w:shd w:val="clear" w:color="auto" w:fill="EBE1D2"/>
          </w:tcPr>
          <w:p>
            <w:pPr>
              <w:spacing w:after="0"/>
              <w:rPr>
                <w:sz w:val="21"/>
                <w:szCs w:val="21"/>
                <w:color w:val="auto"/>
              </w:rPr>
            </w:pPr>
          </w:p>
        </w:tc>
        <w:tc>
          <w:tcPr>
            <w:tcW w:w="1340" w:type="dxa"/>
            <w:vAlign w:val="bottom"/>
            <w:tcBorders>
              <w:bottom w:val="single" w:sz="8" w:color="BFA071"/>
            </w:tcBorders>
            <w:shd w:val="clear" w:color="auto" w:fill="EBE1D2"/>
          </w:tcPr>
          <w:p>
            <w:pPr>
              <w:spacing w:after="0"/>
              <w:rPr>
                <w:sz w:val="21"/>
                <w:szCs w:val="21"/>
                <w:color w:val="auto"/>
              </w:rPr>
            </w:pPr>
          </w:p>
        </w:tc>
        <w:tc>
          <w:tcPr>
            <w:tcW w:w="88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3,032</w:t>
            </w:r>
            <w:r>
              <w:rPr>
                <w:rFonts w:ascii="Arial" w:cs="Arial" w:eastAsia="Arial" w:hAnsi="Arial"/>
                <w:sz w:val="23"/>
                <w:szCs w:val="23"/>
                <w:color w:val="001641"/>
                <w:vertAlign w:val="superscript"/>
              </w:rPr>
              <w:t>4</w:t>
            </w:r>
          </w:p>
        </w:tc>
        <w:tc>
          <w:tcPr>
            <w:tcW w:w="600" w:type="dxa"/>
            <w:vAlign w:val="bottom"/>
            <w:tcBorders>
              <w:bottom w:val="single" w:sz="8" w:color="BFA071"/>
            </w:tcBorders>
            <w:shd w:val="clear" w:color="auto" w:fill="EBE1D2"/>
          </w:tcPr>
          <w:p>
            <w:pPr>
              <w:jc w:val="right"/>
              <w:spacing w:after="0"/>
              <w:rPr>
                <w:sz w:val="20"/>
                <w:szCs w:val="20"/>
                <w:color w:val="auto"/>
              </w:rPr>
            </w:pPr>
            <w:r>
              <w:rPr>
                <w:rFonts w:ascii="Arial" w:cs="Arial" w:eastAsia="Arial" w:hAnsi="Arial"/>
                <w:sz w:val="14"/>
                <w:szCs w:val="14"/>
                <w:color w:val="001641"/>
              </w:rPr>
              <w:t>$</w:t>
            </w:r>
          </w:p>
        </w:tc>
        <w:tc>
          <w:tcPr>
            <w:tcW w:w="900" w:type="dxa"/>
            <w:vAlign w:val="bottom"/>
            <w:tcBorders>
              <w:bottom w:val="single" w:sz="8" w:color="BFA071"/>
            </w:tcBorders>
            <w:shd w:val="clear" w:color="auto" w:fill="EBE1D2"/>
          </w:tcPr>
          <w:p>
            <w:pPr>
              <w:jc w:val="right"/>
              <w:ind w:right="248"/>
              <w:spacing w:after="0"/>
              <w:rPr>
                <w:sz w:val="20"/>
                <w:szCs w:val="20"/>
                <w:color w:val="auto"/>
              </w:rPr>
            </w:pPr>
            <w:r>
              <w:rPr>
                <w:rFonts w:ascii="Arial" w:cs="Arial" w:eastAsia="Arial" w:hAnsi="Arial"/>
                <w:sz w:val="14"/>
                <w:szCs w:val="14"/>
                <w:color w:val="001641"/>
              </w:rPr>
              <w:t>993,950</w:t>
            </w:r>
          </w:p>
        </w:tc>
        <w:tc>
          <w:tcPr>
            <w:tcW w:w="2180" w:type="dxa"/>
            <w:vAlign w:val="bottom"/>
            <w:tcBorders>
              <w:bottom w:val="single" w:sz="8" w:color="BFA071"/>
            </w:tcBorders>
            <w:shd w:val="clear" w:color="auto" w:fill="EBE1D2"/>
          </w:tcPr>
          <w:p>
            <w:pPr>
              <w:spacing w:after="0"/>
              <w:rPr>
                <w:sz w:val="21"/>
                <w:szCs w:val="21"/>
                <w:color w:val="auto"/>
              </w:rPr>
            </w:pPr>
          </w:p>
        </w:tc>
        <w:tc>
          <w:tcPr>
            <w:tcW w:w="1340" w:type="dxa"/>
            <w:vAlign w:val="bottom"/>
            <w:tcBorders>
              <w:bottom w:val="single" w:sz="8" w:color="BFA071"/>
            </w:tcBorders>
            <w:shd w:val="clear" w:color="auto" w:fill="EBE1D2"/>
          </w:tcPr>
          <w:p>
            <w:pPr>
              <w:spacing w:after="0"/>
              <w:rPr>
                <w:sz w:val="21"/>
                <w:szCs w:val="21"/>
                <w:color w:val="auto"/>
              </w:rPr>
            </w:pPr>
          </w:p>
        </w:tc>
        <w:tc>
          <w:tcPr>
            <w:tcW w:w="88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600" w:type="dxa"/>
            <w:vAlign w:val="bottom"/>
            <w:tcBorders>
              <w:bottom w:val="single" w:sz="8" w:color="BFA071"/>
            </w:tcBorders>
            <w:shd w:val="clear" w:color="auto" w:fill="EBE1D2"/>
          </w:tcPr>
          <w:p>
            <w:pPr>
              <w:spacing w:after="0"/>
              <w:rPr>
                <w:sz w:val="21"/>
                <w:szCs w:val="21"/>
                <w:color w:val="auto"/>
              </w:rPr>
            </w:pPr>
          </w:p>
        </w:tc>
        <w:tc>
          <w:tcPr>
            <w:tcW w:w="90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ind w:left="1220"/>
              <w:spacing w:after="0" w:line="250" w:lineRule="exact"/>
              <w:rPr>
                <w:sz w:val="20"/>
                <w:szCs w:val="20"/>
                <w:color w:val="auto"/>
              </w:rPr>
            </w:pPr>
            <w:r>
              <w:rPr>
                <w:rFonts w:ascii="Arial" w:cs="Arial" w:eastAsia="Arial" w:hAnsi="Arial"/>
                <w:sz w:val="14"/>
                <w:szCs w:val="14"/>
                <w:color w:val="001641"/>
              </w:rPr>
              <w:t>4,548</w:t>
            </w:r>
            <w:r>
              <w:rPr>
                <w:rFonts w:ascii="Arial" w:cs="Arial" w:eastAsia="Arial" w:hAnsi="Arial"/>
                <w:sz w:val="23"/>
                <w:szCs w:val="23"/>
                <w:color w:val="001641"/>
                <w:vertAlign w:val="superscript"/>
              </w:rPr>
              <w:t>6</w:t>
            </w:r>
          </w:p>
        </w:tc>
        <w:tc>
          <w:tcPr>
            <w:tcW w:w="2220" w:type="dxa"/>
            <w:vAlign w:val="bottom"/>
            <w:tcBorders>
              <w:bottom w:val="single" w:sz="8" w:color="BFA071"/>
            </w:tcBorders>
            <w:gridSpan w:val="2"/>
            <w:shd w:val="clear" w:color="auto" w:fill="EBE1D2"/>
          </w:tcPr>
          <w:p>
            <w:pPr>
              <w:jc w:val="right"/>
              <w:ind w:right="228"/>
              <w:spacing w:after="0"/>
              <w:rPr>
                <w:sz w:val="20"/>
                <w:szCs w:val="20"/>
                <w:color w:val="auto"/>
              </w:rPr>
            </w:pPr>
            <w:r>
              <w:rPr>
                <w:rFonts w:ascii="Arial" w:cs="Arial" w:eastAsia="Arial" w:hAnsi="Arial"/>
                <w:sz w:val="14"/>
                <w:szCs w:val="14"/>
                <w:color w:val="001641"/>
              </w:rPr>
              <w:t>$1,490,925</w:t>
            </w: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600" w:type="dxa"/>
            <w:vAlign w:val="bottom"/>
            <w:tcBorders>
              <w:bottom w:val="single" w:sz="8" w:color="BFA071"/>
            </w:tcBorders>
            <w:shd w:val="clear" w:color="auto" w:fill="EBE1D2"/>
          </w:tcPr>
          <w:p>
            <w:pPr>
              <w:spacing w:after="0"/>
              <w:rPr>
                <w:sz w:val="21"/>
                <w:szCs w:val="21"/>
                <w:color w:val="auto"/>
              </w:rPr>
            </w:pPr>
          </w:p>
        </w:tc>
        <w:tc>
          <w:tcPr>
            <w:tcW w:w="90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ind w:left="1220"/>
              <w:spacing w:after="0" w:line="250" w:lineRule="exact"/>
              <w:rPr>
                <w:sz w:val="20"/>
                <w:szCs w:val="20"/>
                <w:color w:val="auto"/>
              </w:rPr>
            </w:pPr>
            <w:r>
              <w:rPr>
                <w:rFonts w:ascii="Arial" w:cs="Arial" w:eastAsia="Arial" w:hAnsi="Arial"/>
                <w:sz w:val="14"/>
                <w:szCs w:val="14"/>
                <w:color w:val="001641"/>
              </w:rPr>
              <w:t>3,600</w:t>
            </w:r>
            <w:r>
              <w:rPr>
                <w:rFonts w:ascii="Arial" w:cs="Arial" w:eastAsia="Arial" w:hAnsi="Arial"/>
                <w:sz w:val="23"/>
                <w:szCs w:val="23"/>
                <w:color w:val="001641"/>
                <w:vertAlign w:val="superscript"/>
              </w:rPr>
              <w:t>7</w:t>
            </w:r>
          </w:p>
        </w:tc>
        <w:tc>
          <w:tcPr>
            <w:tcW w:w="2220" w:type="dxa"/>
            <w:vAlign w:val="bottom"/>
            <w:tcBorders>
              <w:bottom w:val="single" w:sz="8" w:color="BFA071"/>
            </w:tcBorders>
            <w:gridSpan w:val="2"/>
            <w:shd w:val="clear" w:color="auto" w:fill="EBE1D2"/>
          </w:tcPr>
          <w:p>
            <w:pPr>
              <w:jc w:val="right"/>
              <w:ind w:right="228"/>
              <w:spacing w:after="0"/>
              <w:rPr>
                <w:sz w:val="20"/>
                <w:szCs w:val="20"/>
                <w:color w:val="auto"/>
              </w:rPr>
            </w:pPr>
            <w:r>
              <w:rPr>
                <w:rFonts w:ascii="Arial" w:cs="Arial" w:eastAsia="Arial" w:hAnsi="Arial"/>
                <w:sz w:val="14"/>
                <w:szCs w:val="14"/>
                <w:color w:val="001641"/>
              </w:rPr>
              <w:t>$1,180,152</w:t>
            </w: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3,450</w:t>
            </w:r>
            <w:r>
              <w:rPr>
                <w:rFonts w:ascii="Arial" w:cs="Arial" w:eastAsia="Arial" w:hAnsi="Arial"/>
                <w:sz w:val="23"/>
                <w:szCs w:val="23"/>
                <w:color w:val="001641"/>
                <w:vertAlign w:val="superscript"/>
              </w:rPr>
              <w:t>5</w:t>
            </w:r>
          </w:p>
        </w:tc>
        <w:tc>
          <w:tcPr>
            <w:tcW w:w="1500" w:type="dxa"/>
            <w:vAlign w:val="bottom"/>
            <w:tcBorders>
              <w:bottom w:val="single" w:sz="8" w:color="BFA071"/>
            </w:tcBorders>
            <w:gridSpan w:val="2"/>
            <w:shd w:val="clear" w:color="auto" w:fill="EBE1D2"/>
          </w:tcPr>
          <w:p>
            <w:pPr>
              <w:jc w:val="right"/>
              <w:ind w:right="248"/>
              <w:spacing w:after="0"/>
              <w:rPr>
                <w:sz w:val="20"/>
                <w:szCs w:val="20"/>
                <w:color w:val="auto"/>
              </w:rPr>
            </w:pPr>
            <w:r>
              <w:rPr>
                <w:rFonts w:ascii="Arial" w:cs="Arial" w:eastAsia="Arial" w:hAnsi="Arial"/>
                <w:sz w:val="14"/>
                <w:szCs w:val="14"/>
                <w:color w:val="001641"/>
              </w:rPr>
              <w:t>$1,130,979</w:t>
            </w:r>
          </w:p>
        </w:tc>
        <w:tc>
          <w:tcPr>
            <w:tcW w:w="2180" w:type="dxa"/>
            <w:vAlign w:val="bottom"/>
            <w:tcBorders>
              <w:bottom w:val="single" w:sz="8" w:color="BFA071"/>
            </w:tcBorders>
            <w:shd w:val="clear" w:color="auto" w:fill="EBE1D2"/>
          </w:tcPr>
          <w:p>
            <w:pPr>
              <w:spacing w:after="0"/>
              <w:rPr>
                <w:sz w:val="21"/>
                <w:szCs w:val="21"/>
                <w:color w:val="auto"/>
              </w:rPr>
            </w:pPr>
          </w:p>
        </w:tc>
        <w:tc>
          <w:tcPr>
            <w:tcW w:w="1340" w:type="dxa"/>
            <w:vAlign w:val="bottom"/>
            <w:tcBorders>
              <w:bottom w:val="single" w:sz="8" w:color="BFA071"/>
            </w:tcBorders>
            <w:shd w:val="clear" w:color="auto" w:fill="EBE1D2"/>
          </w:tcPr>
          <w:p>
            <w:pPr>
              <w:spacing w:after="0"/>
              <w:rPr>
                <w:sz w:val="21"/>
                <w:szCs w:val="21"/>
                <w:color w:val="auto"/>
              </w:rPr>
            </w:pPr>
          </w:p>
        </w:tc>
        <w:tc>
          <w:tcPr>
            <w:tcW w:w="88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600" w:type="dxa"/>
            <w:vAlign w:val="bottom"/>
            <w:tcBorders>
              <w:bottom w:val="single" w:sz="8" w:color="BFA071"/>
            </w:tcBorders>
            <w:shd w:val="clear" w:color="auto" w:fill="EBE1D2"/>
          </w:tcPr>
          <w:p>
            <w:pPr>
              <w:spacing w:after="0"/>
              <w:rPr>
                <w:sz w:val="21"/>
                <w:szCs w:val="21"/>
                <w:color w:val="auto"/>
              </w:rPr>
            </w:pPr>
          </w:p>
        </w:tc>
        <w:tc>
          <w:tcPr>
            <w:tcW w:w="90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ind w:left="1220"/>
              <w:spacing w:after="0" w:line="250" w:lineRule="exact"/>
              <w:rPr>
                <w:sz w:val="20"/>
                <w:szCs w:val="20"/>
                <w:color w:val="auto"/>
              </w:rPr>
            </w:pPr>
            <w:r>
              <w:rPr>
                <w:rFonts w:ascii="Arial" w:cs="Arial" w:eastAsia="Arial" w:hAnsi="Arial"/>
                <w:sz w:val="14"/>
                <w:szCs w:val="14"/>
                <w:color w:val="001641"/>
              </w:rPr>
              <w:t>3,452</w:t>
            </w:r>
            <w:r>
              <w:rPr>
                <w:rFonts w:ascii="Arial" w:cs="Arial" w:eastAsia="Arial" w:hAnsi="Arial"/>
                <w:sz w:val="23"/>
                <w:szCs w:val="23"/>
                <w:color w:val="001641"/>
                <w:vertAlign w:val="superscript"/>
              </w:rPr>
              <w:t>8</w:t>
            </w:r>
          </w:p>
        </w:tc>
        <w:tc>
          <w:tcPr>
            <w:tcW w:w="2220" w:type="dxa"/>
            <w:vAlign w:val="bottom"/>
            <w:tcBorders>
              <w:bottom w:val="single" w:sz="8" w:color="BFA071"/>
            </w:tcBorders>
            <w:gridSpan w:val="2"/>
            <w:shd w:val="clear" w:color="auto" w:fill="EBE1D2"/>
          </w:tcPr>
          <w:p>
            <w:pPr>
              <w:jc w:val="right"/>
              <w:ind w:right="228"/>
              <w:spacing w:after="0"/>
              <w:rPr>
                <w:sz w:val="20"/>
                <w:szCs w:val="20"/>
                <w:color w:val="auto"/>
              </w:rPr>
            </w:pPr>
            <w:r>
              <w:rPr>
                <w:rFonts w:ascii="Arial" w:cs="Arial" w:eastAsia="Arial" w:hAnsi="Arial"/>
                <w:sz w:val="14"/>
                <w:szCs w:val="14"/>
                <w:color w:val="001641"/>
              </w:rPr>
              <w:t>$1,131,635</w:t>
            </w:r>
          </w:p>
        </w:tc>
      </w:tr>
      <w:tr>
        <w:trPr>
          <w:trHeight w:val="250"/>
        </w:trPr>
        <w:tc>
          <w:tcPr>
            <w:tcW w:w="1780" w:type="dxa"/>
            <w:vAlign w:val="bottom"/>
            <w:tcBorders>
              <w:bottom w:val="single" w:sz="8" w:color="BFA071"/>
            </w:tcBorders>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600" w:type="dxa"/>
            <w:vAlign w:val="bottom"/>
            <w:tcBorders>
              <w:bottom w:val="single" w:sz="8" w:color="BFA071"/>
            </w:tcBorders>
            <w:shd w:val="clear" w:color="auto" w:fill="EBE1D2"/>
          </w:tcPr>
          <w:p>
            <w:pPr>
              <w:spacing w:after="0"/>
              <w:rPr>
                <w:sz w:val="21"/>
                <w:szCs w:val="21"/>
                <w:color w:val="auto"/>
              </w:rPr>
            </w:pPr>
          </w:p>
        </w:tc>
        <w:tc>
          <w:tcPr>
            <w:tcW w:w="90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ind w:left="1220"/>
              <w:spacing w:after="0" w:line="250" w:lineRule="exact"/>
              <w:rPr>
                <w:sz w:val="20"/>
                <w:szCs w:val="20"/>
                <w:color w:val="auto"/>
              </w:rPr>
            </w:pPr>
            <w:r>
              <w:rPr>
                <w:rFonts w:ascii="Arial" w:cs="Arial" w:eastAsia="Arial" w:hAnsi="Arial"/>
                <w:sz w:val="14"/>
                <w:szCs w:val="14"/>
                <w:color w:val="001641"/>
              </w:rPr>
              <w:t>2,322</w:t>
            </w:r>
            <w:r>
              <w:rPr>
                <w:rFonts w:ascii="Arial" w:cs="Arial" w:eastAsia="Arial" w:hAnsi="Arial"/>
                <w:sz w:val="23"/>
                <w:szCs w:val="23"/>
                <w:color w:val="001641"/>
                <w:vertAlign w:val="superscript"/>
              </w:rPr>
              <w:t>9</w:t>
            </w:r>
          </w:p>
        </w:tc>
        <w:tc>
          <w:tcPr>
            <w:tcW w:w="1340" w:type="dxa"/>
            <w:vAlign w:val="bottom"/>
            <w:tcBorders>
              <w:bottom w:val="single" w:sz="8" w:color="BFA071"/>
            </w:tcBorders>
            <w:shd w:val="clear" w:color="auto" w:fill="EBE1D2"/>
          </w:tcPr>
          <w:p>
            <w:pPr>
              <w:jc w:val="right"/>
              <w:spacing w:after="0"/>
              <w:rPr>
                <w:sz w:val="20"/>
                <w:szCs w:val="20"/>
                <w:color w:val="auto"/>
              </w:rPr>
            </w:pPr>
            <w:r>
              <w:rPr>
                <w:rFonts w:ascii="Arial" w:cs="Arial" w:eastAsia="Arial" w:hAnsi="Arial"/>
                <w:sz w:val="14"/>
                <w:szCs w:val="14"/>
                <w:color w:val="001641"/>
              </w:rPr>
              <w:t>$</w:t>
            </w:r>
          </w:p>
        </w:tc>
        <w:tc>
          <w:tcPr>
            <w:tcW w:w="8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761,198</w:t>
            </w:r>
          </w:p>
        </w:tc>
      </w:tr>
      <w:tr>
        <w:trPr>
          <w:trHeight w:val="217"/>
        </w:trPr>
        <w:tc>
          <w:tcPr>
            <w:tcW w:w="1780" w:type="dxa"/>
            <w:vAlign w:val="bottom"/>
          </w:tcPr>
          <w:p>
            <w:pPr>
              <w:ind w:left="120"/>
              <w:spacing w:after="0"/>
              <w:rPr>
                <w:sz w:val="20"/>
                <w:szCs w:val="20"/>
                <w:color w:val="auto"/>
              </w:rPr>
            </w:pPr>
            <w:r>
              <w:rPr>
                <w:rFonts w:ascii="Arial" w:cs="Arial" w:eastAsia="Arial" w:hAnsi="Arial"/>
                <w:sz w:val="14"/>
                <w:szCs w:val="14"/>
                <w:b w:val="1"/>
                <w:bCs w:val="1"/>
                <w:color w:val="001641"/>
              </w:rPr>
              <w:t>David Lauren</w:t>
            </w:r>
          </w:p>
        </w:tc>
        <w:tc>
          <w:tcPr>
            <w:tcW w:w="1500" w:type="dxa"/>
            <w:vAlign w:val="bottom"/>
            <w:tcBorders>
              <w:bottom w:val="single" w:sz="8" w:color="BFA071"/>
            </w:tcBorders>
            <w:shd w:val="clear" w:color="auto" w:fill="EBE1D2"/>
          </w:tcPr>
          <w:p>
            <w:pPr>
              <w:spacing w:after="0"/>
              <w:rPr>
                <w:sz w:val="18"/>
                <w:szCs w:val="18"/>
                <w:color w:val="auto"/>
              </w:rPr>
            </w:pPr>
          </w:p>
        </w:tc>
        <w:tc>
          <w:tcPr>
            <w:tcW w:w="600" w:type="dxa"/>
            <w:vAlign w:val="bottom"/>
            <w:tcBorders>
              <w:bottom w:val="single" w:sz="8" w:color="BFA071"/>
            </w:tcBorders>
            <w:shd w:val="clear" w:color="auto" w:fill="EBE1D2"/>
          </w:tcPr>
          <w:p>
            <w:pPr>
              <w:spacing w:after="0"/>
              <w:rPr>
                <w:sz w:val="18"/>
                <w:szCs w:val="18"/>
                <w:color w:val="auto"/>
              </w:rPr>
            </w:pPr>
          </w:p>
        </w:tc>
        <w:tc>
          <w:tcPr>
            <w:tcW w:w="900" w:type="dxa"/>
            <w:vAlign w:val="bottom"/>
            <w:tcBorders>
              <w:bottom w:val="single" w:sz="8" w:color="BFA071"/>
            </w:tcBorders>
            <w:shd w:val="clear" w:color="auto" w:fill="EBE1D2"/>
          </w:tcPr>
          <w:p>
            <w:pPr>
              <w:spacing w:after="0"/>
              <w:rPr>
                <w:sz w:val="18"/>
                <w:szCs w:val="18"/>
                <w:color w:val="auto"/>
              </w:rPr>
            </w:pPr>
          </w:p>
        </w:tc>
        <w:tc>
          <w:tcPr>
            <w:tcW w:w="2180" w:type="dxa"/>
            <w:vAlign w:val="bottom"/>
            <w:tcBorders>
              <w:bottom w:val="single" w:sz="8" w:color="BFA071"/>
            </w:tcBorders>
            <w:shd w:val="clear" w:color="auto" w:fill="EBE1D2"/>
          </w:tcPr>
          <w:p>
            <w:pPr>
              <w:spacing w:after="0"/>
              <w:rPr>
                <w:sz w:val="18"/>
                <w:szCs w:val="18"/>
                <w:color w:val="auto"/>
              </w:rPr>
            </w:pPr>
          </w:p>
        </w:tc>
        <w:tc>
          <w:tcPr>
            <w:tcW w:w="1340" w:type="dxa"/>
            <w:vAlign w:val="bottom"/>
            <w:tcBorders>
              <w:bottom w:val="single" w:sz="8" w:color="BFA071"/>
            </w:tcBorders>
            <w:shd w:val="clear" w:color="auto" w:fill="EBE1D2"/>
          </w:tcPr>
          <w:p>
            <w:pPr>
              <w:spacing w:after="0"/>
              <w:rPr>
                <w:sz w:val="18"/>
                <w:szCs w:val="18"/>
                <w:color w:val="auto"/>
              </w:rPr>
            </w:pPr>
          </w:p>
        </w:tc>
        <w:tc>
          <w:tcPr>
            <w:tcW w:w="880" w:type="dxa"/>
            <w:vAlign w:val="bottom"/>
            <w:tcBorders>
              <w:bottom w:val="single" w:sz="8" w:color="BFA071"/>
            </w:tcBorders>
            <w:shd w:val="clear" w:color="auto" w:fill="EBE1D2"/>
          </w:tcPr>
          <w:p>
            <w:pPr>
              <w:spacing w:after="0"/>
              <w:rPr>
                <w:sz w:val="18"/>
                <w:szCs w:val="18"/>
                <w:color w:val="auto"/>
              </w:rPr>
            </w:pPr>
          </w:p>
        </w:tc>
      </w:tr>
      <w:tr>
        <w:trPr>
          <w:trHeight w:val="257"/>
        </w:trPr>
        <w:tc>
          <w:tcPr>
            <w:tcW w:w="1780" w:type="dxa"/>
            <w:vAlign w:val="bottom"/>
          </w:tcPr>
          <w:p>
            <w:pPr>
              <w:spacing w:after="0"/>
              <w:rPr>
                <w:sz w:val="22"/>
                <w:szCs w:val="22"/>
                <w:color w:val="auto"/>
              </w:rPr>
            </w:pPr>
          </w:p>
        </w:tc>
        <w:tc>
          <w:tcPr>
            <w:tcW w:w="1500" w:type="dxa"/>
            <w:vAlign w:val="bottom"/>
            <w:tcBorders>
              <w:bottom w:val="single" w:sz="8" w:color="BFA071"/>
            </w:tcBorders>
            <w:shd w:val="clear" w:color="auto" w:fill="EBE1D2"/>
          </w:tcPr>
          <w:p>
            <w:pPr>
              <w:jc w:val="right"/>
              <w:ind w:right="288"/>
              <w:spacing w:after="0" w:line="256" w:lineRule="exact"/>
              <w:rPr>
                <w:sz w:val="20"/>
                <w:szCs w:val="20"/>
                <w:color w:val="auto"/>
              </w:rPr>
            </w:pPr>
            <w:r>
              <w:rPr>
                <w:rFonts w:ascii="Arial" w:cs="Arial" w:eastAsia="Arial" w:hAnsi="Arial"/>
                <w:sz w:val="14"/>
                <w:szCs w:val="14"/>
                <w:color w:val="001641"/>
              </w:rPr>
              <w:t>1,390</w:t>
            </w:r>
            <w:r>
              <w:rPr>
                <w:rFonts w:ascii="Arial" w:cs="Arial" w:eastAsia="Arial" w:hAnsi="Arial"/>
                <w:sz w:val="23"/>
                <w:szCs w:val="23"/>
                <w:color w:val="001641"/>
                <w:vertAlign w:val="superscript"/>
              </w:rPr>
              <w:t>3</w:t>
            </w:r>
          </w:p>
        </w:tc>
        <w:tc>
          <w:tcPr>
            <w:tcW w:w="600" w:type="dxa"/>
            <w:vAlign w:val="bottom"/>
            <w:tcBorders>
              <w:bottom w:val="single" w:sz="8" w:color="BFA071"/>
            </w:tcBorders>
            <w:shd w:val="clear" w:color="auto" w:fill="EBE1D2"/>
          </w:tcPr>
          <w:p>
            <w:pPr>
              <w:jc w:val="right"/>
              <w:spacing w:after="0"/>
              <w:rPr>
                <w:sz w:val="20"/>
                <w:szCs w:val="20"/>
                <w:color w:val="auto"/>
              </w:rPr>
            </w:pPr>
            <w:r>
              <w:rPr>
                <w:rFonts w:ascii="Arial" w:cs="Arial" w:eastAsia="Arial" w:hAnsi="Arial"/>
                <w:sz w:val="14"/>
                <w:szCs w:val="14"/>
                <w:color w:val="001641"/>
              </w:rPr>
              <w:t>$</w:t>
            </w:r>
          </w:p>
        </w:tc>
        <w:tc>
          <w:tcPr>
            <w:tcW w:w="900" w:type="dxa"/>
            <w:vAlign w:val="bottom"/>
            <w:tcBorders>
              <w:bottom w:val="single" w:sz="8" w:color="BFA071"/>
            </w:tcBorders>
            <w:shd w:val="clear" w:color="auto" w:fill="EBE1D2"/>
          </w:tcPr>
          <w:p>
            <w:pPr>
              <w:jc w:val="right"/>
              <w:ind w:right="248"/>
              <w:spacing w:after="0"/>
              <w:rPr>
                <w:sz w:val="20"/>
                <w:szCs w:val="20"/>
                <w:color w:val="auto"/>
              </w:rPr>
            </w:pPr>
            <w:r>
              <w:rPr>
                <w:rFonts w:ascii="Arial" w:cs="Arial" w:eastAsia="Arial" w:hAnsi="Arial"/>
                <w:sz w:val="14"/>
                <w:szCs w:val="14"/>
                <w:color w:val="001641"/>
              </w:rPr>
              <w:t>455,670</w:t>
            </w:r>
          </w:p>
        </w:tc>
        <w:tc>
          <w:tcPr>
            <w:tcW w:w="2180" w:type="dxa"/>
            <w:vAlign w:val="bottom"/>
            <w:tcBorders>
              <w:bottom w:val="single" w:sz="8" w:color="BFA071"/>
            </w:tcBorders>
            <w:shd w:val="clear" w:color="auto" w:fill="EBE1D2"/>
          </w:tcPr>
          <w:p>
            <w:pPr>
              <w:spacing w:after="0"/>
              <w:rPr>
                <w:sz w:val="22"/>
                <w:szCs w:val="22"/>
                <w:color w:val="auto"/>
              </w:rPr>
            </w:pPr>
          </w:p>
        </w:tc>
        <w:tc>
          <w:tcPr>
            <w:tcW w:w="1340" w:type="dxa"/>
            <w:vAlign w:val="bottom"/>
            <w:tcBorders>
              <w:bottom w:val="single" w:sz="8" w:color="BFA071"/>
            </w:tcBorders>
            <w:shd w:val="clear" w:color="auto" w:fill="EBE1D2"/>
          </w:tcPr>
          <w:p>
            <w:pPr>
              <w:spacing w:after="0"/>
              <w:rPr>
                <w:sz w:val="22"/>
                <w:szCs w:val="22"/>
                <w:color w:val="auto"/>
              </w:rPr>
            </w:pPr>
          </w:p>
        </w:tc>
        <w:tc>
          <w:tcPr>
            <w:tcW w:w="880" w:type="dxa"/>
            <w:vAlign w:val="bottom"/>
            <w:tcBorders>
              <w:bottom w:val="single" w:sz="8" w:color="BFA071"/>
            </w:tcBorders>
            <w:shd w:val="clear" w:color="auto" w:fill="EBE1D2"/>
          </w:tcPr>
          <w:p>
            <w:pPr>
              <w:spacing w:after="0"/>
              <w:rPr>
                <w:sz w:val="22"/>
                <w:szCs w:val="22"/>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4,168</w:t>
            </w:r>
            <w:r>
              <w:rPr>
                <w:rFonts w:ascii="Arial" w:cs="Arial" w:eastAsia="Arial" w:hAnsi="Arial"/>
                <w:sz w:val="23"/>
                <w:szCs w:val="23"/>
                <w:color w:val="001641"/>
                <w:vertAlign w:val="superscript"/>
              </w:rPr>
              <w:t>1</w:t>
            </w:r>
          </w:p>
        </w:tc>
        <w:tc>
          <w:tcPr>
            <w:tcW w:w="1500" w:type="dxa"/>
            <w:vAlign w:val="bottom"/>
            <w:tcBorders>
              <w:bottom w:val="single" w:sz="8" w:color="BFA071"/>
            </w:tcBorders>
            <w:gridSpan w:val="2"/>
            <w:shd w:val="clear" w:color="auto" w:fill="EBE1D2"/>
          </w:tcPr>
          <w:p>
            <w:pPr>
              <w:jc w:val="right"/>
              <w:ind w:right="248"/>
              <w:spacing w:after="0"/>
              <w:rPr>
                <w:sz w:val="20"/>
                <w:szCs w:val="20"/>
                <w:color w:val="auto"/>
              </w:rPr>
            </w:pPr>
            <w:r>
              <w:rPr>
                <w:rFonts w:ascii="Arial" w:cs="Arial" w:eastAsia="Arial" w:hAnsi="Arial"/>
                <w:sz w:val="14"/>
                <w:szCs w:val="14"/>
                <w:color w:val="001641"/>
              </w:rPr>
              <w:t>$1,366,354</w:t>
            </w:r>
          </w:p>
        </w:tc>
        <w:tc>
          <w:tcPr>
            <w:tcW w:w="2180" w:type="dxa"/>
            <w:vAlign w:val="bottom"/>
            <w:tcBorders>
              <w:bottom w:val="single" w:sz="8" w:color="BFA071"/>
            </w:tcBorders>
            <w:shd w:val="clear" w:color="auto" w:fill="EBE1D2"/>
          </w:tcPr>
          <w:p>
            <w:pPr>
              <w:spacing w:after="0"/>
              <w:rPr>
                <w:sz w:val="21"/>
                <w:szCs w:val="21"/>
                <w:color w:val="auto"/>
              </w:rPr>
            </w:pPr>
          </w:p>
        </w:tc>
        <w:tc>
          <w:tcPr>
            <w:tcW w:w="1340" w:type="dxa"/>
            <w:vAlign w:val="bottom"/>
            <w:tcBorders>
              <w:bottom w:val="single" w:sz="8" w:color="BFA071"/>
            </w:tcBorders>
            <w:shd w:val="clear" w:color="auto" w:fill="EBE1D2"/>
          </w:tcPr>
          <w:p>
            <w:pPr>
              <w:spacing w:after="0"/>
              <w:rPr>
                <w:sz w:val="21"/>
                <w:szCs w:val="21"/>
                <w:color w:val="auto"/>
              </w:rPr>
            </w:pPr>
          </w:p>
        </w:tc>
        <w:tc>
          <w:tcPr>
            <w:tcW w:w="88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3,099</w:t>
            </w:r>
            <w:r>
              <w:rPr>
                <w:rFonts w:ascii="Arial" w:cs="Arial" w:eastAsia="Arial" w:hAnsi="Arial"/>
                <w:sz w:val="23"/>
                <w:szCs w:val="23"/>
                <w:color w:val="001641"/>
                <w:vertAlign w:val="superscript"/>
              </w:rPr>
              <w:t>2</w:t>
            </w:r>
          </w:p>
        </w:tc>
        <w:tc>
          <w:tcPr>
            <w:tcW w:w="1500" w:type="dxa"/>
            <w:vAlign w:val="bottom"/>
            <w:tcBorders>
              <w:bottom w:val="single" w:sz="8" w:color="BFA071"/>
            </w:tcBorders>
            <w:gridSpan w:val="2"/>
            <w:shd w:val="clear" w:color="auto" w:fill="EBE1D2"/>
          </w:tcPr>
          <w:p>
            <w:pPr>
              <w:jc w:val="right"/>
              <w:ind w:right="248"/>
              <w:spacing w:after="0"/>
              <w:rPr>
                <w:sz w:val="20"/>
                <w:szCs w:val="20"/>
                <w:color w:val="auto"/>
              </w:rPr>
            </w:pPr>
            <w:r>
              <w:rPr>
                <w:rFonts w:ascii="Arial" w:cs="Arial" w:eastAsia="Arial" w:hAnsi="Arial"/>
                <w:sz w:val="14"/>
                <w:szCs w:val="14"/>
                <w:color w:val="001641"/>
              </w:rPr>
              <w:t>$1,015,914</w:t>
            </w:r>
          </w:p>
        </w:tc>
        <w:tc>
          <w:tcPr>
            <w:tcW w:w="2180" w:type="dxa"/>
            <w:vAlign w:val="bottom"/>
            <w:tcBorders>
              <w:bottom w:val="single" w:sz="8" w:color="BFA071"/>
            </w:tcBorders>
            <w:shd w:val="clear" w:color="auto" w:fill="EBE1D2"/>
          </w:tcPr>
          <w:p>
            <w:pPr>
              <w:spacing w:after="0"/>
              <w:rPr>
                <w:sz w:val="21"/>
                <w:szCs w:val="21"/>
                <w:color w:val="auto"/>
              </w:rPr>
            </w:pPr>
          </w:p>
        </w:tc>
        <w:tc>
          <w:tcPr>
            <w:tcW w:w="1340" w:type="dxa"/>
            <w:vAlign w:val="bottom"/>
            <w:tcBorders>
              <w:bottom w:val="single" w:sz="8" w:color="BFA071"/>
            </w:tcBorders>
            <w:shd w:val="clear" w:color="auto" w:fill="EBE1D2"/>
          </w:tcPr>
          <w:p>
            <w:pPr>
              <w:spacing w:after="0"/>
              <w:rPr>
                <w:sz w:val="21"/>
                <w:szCs w:val="21"/>
                <w:color w:val="auto"/>
              </w:rPr>
            </w:pPr>
          </w:p>
        </w:tc>
        <w:tc>
          <w:tcPr>
            <w:tcW w:w="88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2,022</w:t>
            </w:r>
            <w:r>
              <w:rPr>
                <w:rFonts w:ascii="Arial" w:cs="Arial" w:eastAsia="Arial" w:hAnsi="Arial"/>
                <w:sz w:val="23"/>
                <w:szCs w:val="23"/>
                <w:color w:val="001641"/>
                <w:vertAlign w:val="superscript"/>
              </w:rPr>
              <w:t>4</w:t>
            </w:r>
          </w:p>
        </w:tc>
        <w:tc>
          <w:tcPr>
            <w:tcW w:w="600" w:type="dxa"/>
            <w:vAlign w:val="bottom"/>
            <w:tcBorders>
              <w:bottom w:val="single" w:sz="8" w:color="BFA071"/>
            </w:tcBorders>
            <w:shd w:val="clear" w:color="auto" w:fill="EBE1D2"/>
          </w:tcPr>
          <w:p>
            <w:pPr>
              <w:jc w:val="right"/>
              <w:spacing w:after="0"/>
              <w:rPr>
                <w:sz w:val="20"/>
                <w:szCs w:val="20"/>
                <w:color w:val="auto"/>
              </w:rPr>
            </w:pPr>
            <w:r>
              <w:rPr>
                <w:rFonts w:ascii="Arial" w:cs="Arial" w:eastAsia="Arial" w:hAnsi="Arial"/>
                <w:sz w:val="14"/>
                <w:szCs w:val="14"/>
                <w:color w:val="001641"/>
              </w:rPr>
              <w:t>$</w:t>
            </w:r>
          </w:p>
        </w:tc>
        <w:tc>
          <w:tcPr>
            <w:tcW w:w="900" w:type="dxa"/>
            <w:vAlign w:val="bottom"/>
            <w:tcBorders>
              <w:bottom w:val="single" w:sz="8" w:color="BFA071"/>
            </w:tcBorders>
            <w:shd w:val="clear" w:color="auto" w:fill="EBE1D2"/>
          </w:tcPr>
          <w:p>
            <w:pPr>
              <w:jc w:val="right"/>
              <w:ind w:right="248"/>
              <w:spacing w:after="0"/>
              <w:rPr>
                <w:sz w:val="20"/>
                <w:szCs w:val="20"/>
                <w:color w:val="auto"/>
              </w:rPr>
            </w:pPr>
            <w:r>
              <w:rPr>
                <w:rFonts w:ascii="Arial" w:cs="Arial" w:eastAsia="Arial" w:hAnsi="Arial"/>
                <w:sz w:val="14"/>
                <w:szCs w:val="14"/>
                <w:color w:val="001641"/>
              </w:rPr>
              <w:t>662,852</w:t>
            </w:r>
          </w:p>
        </w:tc>
        <w:tc>
          <w:tcPr>
            <w:tcW w:w="2180" w:type="dxa"/>
            <w:vAlign w:val="bottom"/>
            <w:tcBorders>
              <w:bottom w:val="single" w:sz="8" w:color="BFA071"/>
            </w:tcBorders>
            <w:shd w:val="clear" w:color="auto" w:fill="EBE1D2"/>
          </w:tcPr>
          <w:p>
            <w:pPr>
              <w:spacing w:after="0"/>
              <w:rPr>
                <w:sz w:val="21"/>
                <w:szCs w:val="21"/>
                <w:color w:val="auto"/>
              </w:rPr>
            </w:pPr>
          </w:p>
        </w:tc>
        <w:tc>
          <w:tcPr>
            <w:tcW w:w="1340" w:type="dxa"/>
            <w:vAlign w:val="bottom"/>
            <w:tcBorders>
              <w:bottom w:val="single" w:sz="8" w:color="BFA071"/>
            </w:tcBorders>
            <w:shd w:val="clear" w:color="auto" w:fill="EBE1D2"/>
          </w:tcPr>
          <w:p>
            <w:pPr>
              <w:spacing w:after="0"/>
              <w:rPr>
                <w:sz w:val="21"/>
                <w:szCs w:val="21"/>
                <w:color w:val="auto"/>
              </w:rPr>
            </w:pPr>
          </w:p>
        </w:tc>
        <w:tc>
          <w:tcPr>
            <w:tcW w:w="88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600" w:type="dxa"/>
            <w:vAlign w:val="bottom"/>
            <w:tcBorders>
              <w:bottom w:val="single" w:sz="8" w:color="BFA071"/>
            </w:tcBorders>
            <w:shd w:val="clear" w:color="auto" w:fill="EBE1D2"/>
          </w:tcPr>
          <w:p>
            <w:pPr>
              <w:spacing w:after="0"/>
              <w:rPr>
                <w:sz w:val="21"/>
                <w:szCs w:val="21"/>
                <w:color w:val="auto"/>
              </w:rPr>
            </w:pPr>
          </w:p>
        </w:tc>
        <w:tc>
          <w:tcPr>
            <w:tcW w:w="90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ind w:left="1220"/>
              <w:spacing w:after="0" w:line="250" w:lineRule="exact"/>
              <w:rPr>
                <w:sz w:val="20"/>
                <w:szCs w:val="20"/>
                <w:color w:val="auto"/>
              </w:rPr>
            </w:pPr>
            <w:r>
              <w:rPr>
                <w:rFonts w:ascii="Arial" w:cs="Arial" w:eastAsia="Arial" w:hAnsi="Arial"/>
                <w:sz w:val="14"/>
                <w:szCs w:val="14"/>
                <w:color w:val="001641"/>
              </w:rPr>
              <w:t>3,032</w:t>
            </w:r>
            <w:r>
              <w:rPr>
                <w:rFonts w:ascii="Arial" w:cs="Arial" w:eastAsia="Arial" w:hAnsi="Arial"/>
                <w:sz w:val="23"/>
                <w:szCs w:val="23"/>
                <w:color w:val="001641"/>
                <w:vertAlign w:val="superscript"/>
              </w:rPr>
              <w:t>6</w:t>
            </w:r>
          </w:p>
        </w:tc>
        <w:tc>
          <w:tcPr>
            <w:tcW w:w="1340" w:type="dxa"/>
            <w:vAlign w:val="bottom"/>
            <w:tcBorders>
              <w:bottom w:val="single" w:sz="8" w:color="BFA071"/>
            </w:tcBorders>
            <w:shd w:val="clear" w:color="auto" w:fill="EBE1D2"/>
          </w:tcPr>
          <w:p>
            <w:pPr>
              <w:jc w:val="right"/>
              <w:spacing w:after="0"/>
              <w:rPr>
                <w:sz w:val="20"/>
                <w:szCs w:val="20"/>
                <w:color w:val="auto"/>
              </w:rPr>
            </w:pPr>
            <w:r>
              <w:rPr>
                <w:rFonts w:ascii="Arial" w:cs="Arial" w:eastAsia="Arial" w:hAnsi="Arial"/>
                <w:sz w:val="14"/>
                <w:szCs w:val="14"/>
                <w:color w:val="001641"/>
              </w:rPr>
              <w:t>$</w:t>
            </w:r>
          </w:p>
        </w:tc>
        <w:tc>
          <w:tcPr>
            <w:tcW w:w="8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993,950</w:t>
            </w: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600" w:type="dxa"/>
            <w:vAlign w:val="bottom"/>
            <w:tcBorders>
              <w:bottom w:val="single" w:sz="8" w:color="BFA071"/>
            </w:tcBorders>
            <w:shd w:val="clear" w:color="auto" w:fill="EBE1D2"/>
          </w:tcPr>
          <w:p>
            <w:pPr>
              <w:spacing w:after="0"/>
              <w:rPr>
                <w:sz w:val="21"/>
                <w:szCs w:val="21"/>
                <w:color w:val="auto"/>
              </w:rPr>
            </w:pPr>
          </w:p>
        </w:tc>
        <w:tc>
          <w:tcPr>
            <w:tcW w:w="90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ind w:left="1220"/>
              <w:spacing w:after="0" w:line="250" w:lineRule="exact"/>
              <w:rPr>
                <w:sz w:val="20"/>
                <w:szCs w:val="20"/>
                <w:color w:val="auto"/>
              </w:rPr>
            </w:pPr>
            <w:r>
              <w:rPr>
                <w:rFonts w:ascii="Arial" w:cs="Arial" w:eastAsia="Arial" w:hAnsi="Arial"/>
                <w:sz w:val="14"/>
                <w:szCs w:val="14"/>
                <w:color w:val="001641"/>
              </w:rPr>
              <w:t>2,400</w:t>
            </w:r>
            <w:r>
              <w:rPr>
                <w:rFonts w:ascii="Arial" w:cs="Arial" w:eastAsia="Arial" w:hAnsi="Arial"/>
                <w:sz w:val="23"/>
                <w:szCs w:val="23"/>
                <w:color w:val="001641"/>
                <w:vertAlign w:val="superscript"/>
              </w:rPr>
              <w:t>7</w:t>
            </w:r>
          </w:p>
        </w:tc>
        <w:tc>
          <w:tcPr>
            <w:tcW w:w="1340" w:type="dxa"/>
            <w:vAlign w:val="bottom"/>
            <w:tcBorders>
              <w:bottom w:val="single" w:sz="8" w:color="BFA071"/>
            </w:tcBorders>
            <w:shd w:val="clear" w:color="auto" w:fill="EBE1D2"/>
          </w:tcPr>
          <w:p>
            <w:pPr>
              <w:jc w:val="right"/>
              <w:spacing w:after="0"/>
              <w:rPr>
                <w:sz w:val="20"/>
                <w:szCs w:val="20"/>
                <w:color w:val="auto"/>
              </w:rPr>
            </w:pPr>
            <w:r>
              <w:rPr>
                <w:rFonts w:ascii="Arial" w:cs="Arial" w:eastAsia="Arial" w:hAnsi="Arial"/>
                <w:sz w:val="14"/>
                <w:szCs w:val="14"/>
                <w:color w:val="001641"/>
              </w:rPr>
              <w:t>$</w:t>
            </w:r>
          </w:p>
        </w:tc>
        <w:tc>
          <w:tcPr>
            <w:tcW w:w="8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786,768</w:t>
            </w: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jc w:val="right"/>
              <w:ind w:right="288"/>
              <w:spacing w:after="0" w:line="250" w:lineRule="exact"/>
              <w:rPr>
                <w:sz w:val="20"/>
                <w:szCs w:val="20"/>
                <w:color w:val="auto"/>
              </w:rPr>
            </w:pPr>
            <w:r>
              <w:rPr>
                <w:rFonts w:ascii="Arial" w:cs="Arial" w:eastAsia="Arial" w:hAnsi="Arial"/>
                <w:sz w:val="14"/>
                <w:szCs w:val="14"/>
                <w:color w:val="001641"/>
              </w:rPr>
              <w:t>2,070</w:t>
            </w:r>
            <w:r>
              <w:rPr>
                <w:rFonts w:ascii="Arial" w:cs="Arial" w:eastAsia="Arial" w:hAnsi="Arial"/>
                <w:sz w:val="23"/>
                <w:szCs w:val="23"/>
                <w:color w:val="001641"/>
                <w:vertAlign w:val="superscript"/>
              </w:rPr>
              <w:t>5</w:t>
            </w:r>
          </w:p>
        </w:tc>
        <w:tc>
          <w:tcPr>
            <w:tcW w:w="600" w:type="dxa"/>
            <w:vAlign w:val="bottom"/>
            <w:tcBorders>
              <w:bottom w:val="single" w:sz="8" w:color="BFA071"/>
            </w:tcBorders>
            <w:shd w:val="clear" w:color="auto" w:fill="EBE1D2"/>
          </w:tcPr>
          <w:p>
            <w:pPr>
              <w:jc w:val="right"/>
              <w:spacing w:after="0"/>
              <w:rPr>
                <w:sz w:val="20"/>
                <w:szCs w:val="20"/>
                <w:color w:val="auto"/>
              </w:rPr>
            </w:pPr>
            <w:r>
              <w:rPr>
                <w:rFonts w:ascii="Arial" w:cs="Arial" w:eastAsia="Arial" w:hAnsi="Arial"/>
                <w:sz w:val="14"/>
                <w:szCs w:val="14"/>
                <w:color w:val="001641"/>
              </w:rPr>
              <w:t>$</w:t>
            </w:r>
          </w:p>
        </w:tc>
        <w:tc>
          <w:tcPr>
            <w:tcW w:w="900" w:type="dxa"/>
            <w:vAlign w:val="bottom"/>
            <w:tcBorders>
              <w:bottom w:val="single" w:sz="8" w:color="BFA071"/>
            </w:tcBorders>
            <w:shd w:val="clear" w:color="auto" w:fill="EBE1D2"/>
          </w:tcPr>
          <w:p>
            <w:pPr>
              <w:jc w:val="right"/>
              <w:ind w:right="248"/>
              <w:spacing w:after="0"/>
              <w:rPr>
                <w:sz w:val="20"/>
                <w:szCs w:val="20"/>
                <w:color w:val="auto"/>
              </w:rPr>
            </w:pPr>
            <w:r>
              <w:rPr>
                <w:rFonts w:ascii="Arial" w:cs="Arial" w:eastAsia="Arial" w:hAnsi="Arial"/>
                <w:sz w:val="14"/>
                <w:szCs w:val="14"/>
                <w:color w:val="001641"/>
              </w:rPr>
              <w:t>678,587</w:t>
            </w:r>
          </w:p>
        </w:tc>
        <w:tc>
          <w:tcPr>
            <w:tcW w:w="2180" w:type="dxa"/>
            <w:vAlign w:val="bottom"/>
            <w:tcBorders>
              <w:bottom w:val="single" w:sz="8" w:color="BFA071"/>
            </w:tcBorders>
            <w:shd w:val="clear" w:color="auto" w:fill="EBE1D2"/>
          </w:tcPr>
          <w:p>
            <w:pPr>
              <w:spacing w:after="0"/>
              <w:rPr>
                <w:sz w:val="21"/>
                <w:szCs w:val="21"/>
                <w:color w:val="auto"/>
              </w:rPr>
            </w:pPr>
          </w:p>
        </w:tc>
        <w:tc>
          <w:tcPr>
            <w:tcW w:w="1340" w:type="dxa"/>
            <w:vAlign w:val="bottom"/>
            <w:tcBorders>
              <w:bottom w:val="single" w:sz="8" w:color="BFA071"/>
            </w:tcBorders>
            <w:shd w:val="clear" w:color="auto" w:fill="EBE1D2"/>
          </w:tcPr>
          <w:p>
            <w:pPr>
              <w:spacing w:after="0"/>
              <w:rPr>
                <w:sz w:val="21"/>
                <w:szCs w:val="21"/>
                <w:color w:val="auto"/>
              </w:rPr>
            </w:pPr>
          </w:p>
        </w:tc>
        <w:tc>
          <w:tcPr>
            <w:tcW w:w="880" w:type="dxa"/>
            <w:vAlign w:val="bottom"/>
            <w:tcBorders>
              <w:bottom w:val="single" w:sz="8" w:color="BFA071"/>
            </w:tcBorders>
            <w:shd w:val="clear" w:color="auto" w:fill="EBE1D2"/>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1500" w:type="dxa"/>
            <w:vAlign w:val="bottom"/>
            <w:tcBorders>
              <w:bottom w:val="single" w:sz="8" w:color="BFA071"/>
            </w:tcBorders>
            <w:shd w:val="clear" w:color="auto" w:fill="EBE1D2"/>
          </w:tcPr>
          <w:p>
            <w:pPr>
              <w:spacing w:after="0"/>
              <w:rPr>
                <w:sz w:val="21"/>
                <w:szCs w:val="21"/>
                <w:color w:val="auto"/>
              </w:rPr>
            </w:pPr>
          </w:p>
        </w:tc>
        <w:tc>
          <w:tcPr>
            <w:tcW w:w="600" w:type="dxa"/>
            <w:vAlign w:val="bottom"/>
            <w:tcBorders>
              <w:bottom w:val="single" w:sz="8" w:color="BFA071"/>
            </w:tcBorders>
            <w:shd w:val="clear" w:color="auto" w:fill="EBE1D2"/>
          </w:tcPr>
          <w:p>
            <w:pPr>
              <w:spacing w:after="0"/>
              <w:rPr>
                <w:sz w:val="21"/>
                <w:szCs w:val="21"/>
                <w:color w:val="auto"/>
              </w:rPr>
            </w:pPr>
          </w:p>
        </w:tc>
        <w:tc>
          <w:tcPr>
            <w:tcW w:w="900" w:type="dxa"/>
            <w:vAlign w:val="bottom"/>
            <w:tcBorders>
              <w:bottom w:val="single" w:sz="8" w:color="BFA071"/>
            </w:tcBorders>
            <w:shd w:val="clear" w:color="auto" w:fill="EBE1D2"/>
          </w:tcPr>
          <w:p>
            <w:pPr>
              <w:spacing w:after="0"/>
              <w:rPr>
                <w:sz w:val="21"/>
                <w:szCs w:val="21"/>
                <w:color w:val="auto"/>
              </w:rPr>
            </w:pPr>
          </w:p>
        </w:tc>
        <w:tc>
          <w:tcPr>
            <w:tcW w:w="2180" w:type="dxa"/>
            <w:vAlign w:val="bottom"/>
            <w:tcBorders>
              <w:bottom w:val="single" w:sz="8" w:color="BFA071"/>
            </w:tcBorders>
            <w:shd w:val="clear" w:color="auto" w:fill="EBE1D2"/>
          </w:tcPr>
          <w:p>
            <w:pPr>
              <w:ind w:left="1220"/>
              <w:spacing w:after="0" w:line="250" w:lineRule="exact"/>
              <w:rPr>
                <w:sz w:val="20"/>
                <w:szCs w:val="20"/>
                <w:color w:val="auto"/>
              </w:rPr>
            </w:pPr>
            <w:r>
              <w:rPr>
                <w:rFonts w:ascii="Arial" w:cs="Arial" w:eastAsia="Arial" w:hAnsi="Arial"/>
                <w:sz w:val="14"/>
                <w:szCs w:val="14"/>
                <w:color w:val="001641"/>
              </w:rPr>
              <w:t>2,070</w:t>
            </w:r>
            <w:r>
              <w:rPr>
                <w:rFonts w:ascii="Arial" w:cs="Arial" w:eastAsia="Arial" w:hAnsi="Arial"/>
                <w:sz w:val="23"/>
                <w:szCs w:val="23"/>
                <w:color w:val="001641"/>
                <w:vertAlign w:val="superscript"/>
              </w:rPr>
              <w:t>8</w:t>
            </w:r>
          </w:p>
        </w:tc>
        <w:tc>
          <w:tcPr>
            <w:tcW w:w="1340" w:type="dxa"/>
            <w:vAlign w:val="bottom"/>
            <w:tcBorders>
              <w:bottom w:val="single" w:sz="8" w:color="BFA071"/>
            </w:tcBorders>
            <w:shd w:val="clear" w:color="auto" w:fill="EBE1D2"/>
          </w:tcPr>
          <w:p>
            <w:pPr>
              <w:jc w:val="right"/>
              <w:spacing w:after="0"/>
              <w:rPr>
                <w:sz w:val="20"/>
                <w:szCs w:val="20"/>
                <w:color w:val="auto"/>
              </w:rPr>
            </w:pPr>
            <w:r>
              <w:rPr>
                <w:rFonts w:ascii="Arial" w:cs="Arial" w:eastAsia="Arial" w:hAnsi="Arial"/>
                <w:sz w:val="14"/>
                <w:szCs w:val="14"/>
                <w:color w:val="001641"/>
              </w:rPr>
              <w:t>$</w:t>
            </w:r>
          </w:p>
        </w:tc>
        <w:tc>
          <w:tcPr>
            <w:tcW w:w="8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678,587</w:t>
            </w:r>
          </w:p>
        </w:tc>
      </w:tr>
      <w:tr>
        <w:trPr>
          <w:trHeight w:val="216"/>
        </w:trPr>
        <w:tc>
          <w:tcPr>
            <w:tcW w:w="1780" w:type="dxa"/>
            <w:vAlign w:val="bottom"/>
          </w:tcPr>
          <w:p>
            <w:pPr>
              <w:spacing w:after="0"/>
              <w:rPr>
                <w:sz w:val="18"/>
                <w:szCs w:val="18"/>
                <w:color w:val="auto"/>
              </w:rPr>
            </w:pPr>
          </w:p>
        </w:tc>
        <w:tc>
          <w:tcPr>
            <w:tcW w:w="1500" w:type="dxa"/>
            <w:vAlign w:val="bottom"/>
            <w:tcBorders>
              <w:bottom w:val="single" w:sz="8" w:color="EBE1D2"/>
            </w:tcBorders>
            <w:shd w:val="clear" w:color="auto" w:fill="EBE1D2"/>
          </w:tcPr>
          <w:p>
            <w:pPr>
              <w:spacing w:after="0"/>
              <w:rPr>
                <w:sz w:val="18"/>
                <w:szCs w:val="18"/>
                <w:color w:val="auto"/>
              </w:rPr>
            </w:pPr>
          </w:p>
        </w:tc>
        <w:tc>
          <w:tcPr>
            <w:tcW w:w="600" w:type="dxa"/>
            <w:vAlign w:val="bottom"/>
            <w:tcBorders>
              <w:bottom w:val="single" w:sz="8" w:color="EBE1D2"/>
            </w:tcBorders>
            <w:shd w:val="clear" w:color="auto" w:fill="EBE1D2"/>
          </w:tcPr>
          <w:p>
            <w:pPr>
              <w:spacing w:after="0"/>
              <w:rPr>
                <w:sz w:val="18"/>
                <w:szCs w:val="18"/>
                <w:color w:val="auto"/>
              </w:rPr>
            </w:pPr>
          </w:p>
        </w:tc>
        <w:tc>
          <w:tcPr>
            <w:tcW w:w="900" w:type="dxa"/>
            <w:vAlign w:val="bottom"/>
            <w:tcBorders>
              <w:bottom w:val="single" w:sz="8" w:color="EBE1D2"/>
            </w:tcBorders>
            <w:shd w:val="clear" w:color="auto" w:fill="EBE1D2"/>
          </w:tcPr>
          <w:p>
            <w:pPr>
              <w:spacing w:after="0"/>
              <w:rPr>
                <w:sz w:val="18"/>
                <w:szCs w:val="18"/>
                <w:color w:val="auto"/>
              </w:rPr>
            </w:pPr>
          </w:p>
        </w:tc>
        <w:tc>
          <w:tcPr>
            <w:tcW w:w="2180" w:type="dxa"/>
            <w:vAlign w:val="bottom"/>
            <w:tcBorders>
              <w:bottom w:val="single" w:sz="8" w:color="EBE1D2"/>
            </w:tcBorders>
            <w:shd w:val="clear" w:color="auto" w:fill="EBE1D2"/>
          </w:tcPr>
          <w:p>
            <w:pPr>
              <w:ind w:left="1220"/>
              <w:spacing w:after="0" w:line="210" w:lineRule="exact"/>
              <w:rPr>
                <w:sz w:val="20"/>
                <w:szCs w:val="20"/>
                <w:color w:val="auto"/>
              </w:rPr>
            </w:pPr>
            <w:r>
              <w:rPr>
                <w:rFonts w:ascii="Arial" w:cs="Arial" w:eastAsia="Arial" w:hAnsi="Arial"/>
                <w:sz w:val="14"/>
                <w:szCs w:val="14"/>
                <w:color w:val="001641"/>
              </w:rPr>
              <w:t>1,394</w:t>
            </w:r>
            <w:r>
              <w:rPr>
                <w:rFonts w:ascii="Arial" w:cs="Arial" w:eastAsia="Arial" w:hAnsi="Arial"/>
                <w:sz w:val="23"/>
                <w:szCs w:val="23"/>
                <w:color w:val="001641"/>
                <w:vertAlign w:val="superscript"/>
              </w:rPr>
              <w:t>9</w:t>
            </w:r>
            <w:r>
              <w:rPr>
                <w:rFonts w:ascii="Arial" w:cs="Arial" w:eastAsia="Arial" w:hAnsi="Arial"/>
                <w:sz w:val="14"/>
                <w:szCs w:val="14"/>
                <w:color w:val="001641"/>
              </w:rPr>
              <w:t xml:space="preserve"> </w:t>
            </w:r>
          </w:p>
        </w:tc>
        <w:tc>
          <w:tcPr>
            <w:tcW w:w="1340" w:type="dxa"/>
            <w:vAlign w:val="bottom"/>
            <w:tcBorders>
              <w:bottom w:val="single" w:sz="8" w:color="EBE1D2"/>
            </w:tcBorders>
            <w:shd w:val="clear" w:color="auto" w:fill="EBE1D2"/>
          </w:tcPr>
          <w:p>
            <w:pPr>
              <w:jc w:val="right"/>
              <w:spacing w:after="0"/>
              <w:rPr>
                <w:sz w:val="20"/>
                <w:szCs w:val="20"/>
                <w:color w:val="auto"/>
              </w:rPr>
            </w:pPr>
            <w:r>
              <w:rPr>
                <w:rFonts w:ascii="Arial" w:cs="Arial" w:eastAsia="Arial" w:hAnsi="Arial"/>
                <w:sz w:val="14"/>
                <w:szCs w:val="14"/>
                <w:color w:val="001641"/>
              </w:rPr>
              <w:t>$</w:t>
            </w:r>
          </w:p>
        </w:tc>
        <w:tc>
          <w:tcPr>
            <w:tcW w:w="880" w:type="dxa"/>
            <w:vAlign w:val="bottom"/>
            <w:tcBorders>
              <w:bottom w:val="single" w:sz="8" w:color="EBE1D2"/>
            </w:tcBorders>
            <w:shd w:val="clear" w:color="auto" w:fill="EBE1D2"/>
          </w:tcPr>
          <w:p>
            <w:pPr>
              <w:jc w:val="right"/>
              <w:ind w:right="228"/>
              <w:spacing w:after="0"/>
              <w:rPr>
                <w:sz w:val="20"/>
                <w:szCs w:val="20"/>
                <w:color w:val="auto"/>
              </w:rPr>
            </w:pPr>
            <w:r>
              <w:rPr>
                <w:rFonts w:ascii="Arial" w:cs="Arial" w:eastAsia="Arial" w:hAnsi="Arial"/>
                <w:sz w:val="14"/>
                <w:szCs w:val="14"/>
                <w:color w:val="001641"/>
              </w:rPr>
              <w:t>456,981</w:t>
            </w:r>
          </w:p>
        </w:tc>
      </w:tr>
      <w:tr>
        <w:trPr>
          <w:trHeight w:val="20"/>
        </w:trPr>
        <w:tc>
          <w:tcPr>
            <w:tcW w:w="1780" w:type="dxa"/>
            <w:vAlign w:val="bottom"/>
            <w:shd w:val="clear" w:color="auto" w:fill="001641"/>
          </w:tcPr>
          <w:p>
            <w:pPr>
              <w:spacing w:after="0" w:line="20" w:lineRule="exact"/>
              <w:rPr>
                <w:sz w:val="1"/>
                <w:szCs w:val="1"/>
                <w:color w:val="auto"/>
              </w:rPr>
            </w:pPr>
          </w:p>
        </w:tc>
        <w:tc>
          <w:tcPr>
            <w:tcW w:w="1500" w:type="dxa"/>
            <w:vAlign w:val="bottom"/>
            <w:shd w:val="clear" w:color="auto" w:fill="001641"/>
          </w:tcPr>
          <w:p>
            <w:pPr>
              <w:spacing w:after="0" w:line="20" w:lineRule="exact"/>
              <w:rPr>
                <w:sz w:val="1"/>
                <w:szCs w:val="1"/>
                <w:color w:val="auto"/>
              </w:rPr>
            </w:pPr>
          </w:p>
        </w:tc>
        <w:tc>
          <w:tcPr>
            <w:tcW w:w="600" w:type="dxa"/>
            <w:vAlign w:val="bottom"/>
            <w:shd w:val="clear" w:color="auto" w:fill="001641"/>
          </w:tcPr>
          <w:p>
            <w:pPr>
              <w:spacing w:after="0" w:line="20" w:lineRule="exact"/>
              <w:rPr>
                <w:sz w:val="1"/>
                <w:szCs w:val="1"/>
                <w:color w:val="auto"/>
              </w:rPr>
            </w:pPr>
          </w:p>
        </w:tc>
        <w:tc>
          <w:tcPr>
            <w:tcW w:w="900" w:type="dxa"/>
            <w:vAlign w:val="bottom"/>
            <w:shd w:val="clear" w:color="auto" w:fill="001641"/>
          </w:tcPr>
          <w:p>
            <w:pPr>
              <w:spacing w:after="0" w:line="20" w:lineRule="exact"/>
              <w:rPr>
                <w:sz w:val="1"/>
                <w:szCs w:val="1"/>
                <w:color w:val="auto"/>
              </w:rPr>
            </w:pPr>
          </w:p>
        </w:tc>
        <w:tc>
          <w:tcPr>
            <w:tcW w:w="2180" w:type="dxa"/>
            <w:vAlign w:val="bottom"/>
            <w:shd w:val="clear" w:color="auto" w:fill="001641"/>
          </w:tcPr>
          <w:p>
            <w:pPr>
              <w:spacing w:after="0" w:line="20" w:lineRule="exact"/>
              <w:rPr>
                <w:sz w:val="1"/>
                <w:szCs w:val="1"/>
                <w:color w:val="auto"/>
              </w:rPr>
            </w:pPr>
          </w:p>
        </w:tc>
        <w:tc>
          <w:tcPr>
            <w:tcW w:w="1340" w:type="dxa"/>
            <w:vAlign w:val="bottom"/>
            <w:shd w:val="clear" w:color="auto" w:fill="001641"/>
          </w:tcPr>
          <w:p>
            <w:pPr>
              <w:spacing w:after="0" w:line="20" w:lineRule="exact"/>
              <w:rPr>
                <w:sz w:val="1"/>
                <w:szCs w:val="1"/>
                <w:color w:val="auto"/>
              </w:rPr>
            </w:pPr>
          </w:p>
        </w:tc>
        <w:tc>
          <w:tcPr>
            <w:tcW w:w="880" w:type="dxa"/>
            <w:vAlign w:val="bottom"/>
            <w:shd w:val="clear" w:color="auto" w:fill="001641"/>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1285875</wp:posOffset>
            </wp:positionH>
            <wp:positionV relativeFrom="paragraph">
              <wp:posOffset>-4062730</wp:posOffset>
            </wp:positionV>
            <wp:extent cx="448310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483100" cy="8255"/>
                    </a:xfrm>
                    <a:prstGeom prst="rect">
                      <a:avLst/>
                    </a:prstGeom>
                    <a:noFill/>
                  </pic:spPr>
                </pic:pic>
              </a:graphicData>
            </a:graphic>
          </wp:anchor>
        </w:drawing>
      </w:r>
    </w:p>
    <w:p>
      <w:pPr>
        <w:spacing w:after="0" w:line="133" w:lineRule="exact"/>
        <w:rPr>
          <w:sz w:val="20"/>
          <w:szCs w:val="20"/>
          <w:color w:val="auto"/>
        </w:rPr>
      </w:pPr>
    </w:p>
    <w:p>
      <w:pPr>
        <w:ind w:left="246" w:right="80" w:hanging="246"/>
        <w:spacing w:after="0" w:line="281" w:lineRule="auto"/>
        <w:tabs>
          <w:tab w:leader="none" w:pos="246" w:val="left"/>
        </w:tabs>
        <w:numPr>
          <w:ilvl w:val="0"/>
          <w:numId w:val="82"/>
        </w:numPr>
        <w:rPr>
          <w:rFonts w:ascii="Arial" w:cs="Arial" w:eastAsia="Arial" w:hAnsi="Arial"/>
          <w:sz w:val="14"/>
          <w:szCs w:val="14"/>
          <w:color w:val="4C4C4C"/>
        </w:rPr>
      </w:pPr>
      <w:r>
        <w:rPr>
          <w:rFonts w:ascii="Arial" w:cs="Arial" w:eastAsia="Arial" w:hAnsi="Arial"/>
          <w:sz w:val="14"/>
          <w:szCs w:val="14"/>
          <w:color w:val="4C4C4C"/>
        </w:rPr>
        <w:t>Amount reflects Fiscal 2024 PSUs-ROIC for which the applicable performance goal was achieved as of March 28, 2026. Fiscal 2024 PSUs-ROIC are included at 200% of target reflecting actual performance achieved. These shares vested and were paid out on June 1, 2026.</w:t>
      </w:r>
    </w:p>
    <w:p>
      <w:pPr>
        <w:spacing w:after="0" w:line="1" w:lineRule="exact"/>
        <w:rPr>
          <w:rFonts w:ascii="Arial" w:cs="Arial" w:eastAsia="Arial" w:hAnsi="Arial"/>
          <w:sz w:val="14"/>
          <w:szCs w:val="14"/>
          <w:color w:val="4C4C4C"/>
        </w:rPr>
      </w:pPr>
    </w:p>
    <w:p>
      <w:pPr>
        <w:ind w:left="246" w:right="140" w:hanging="246"/>
        <w:spacing w:after="0" w:line="281" w:lineRule="auto"/>
        <w:tabs>
          <w:tab w:leader="none" w:pos="246" w:val="left"/>
        </w:tabs>
        <w:numPr>
          <w:ilvl w:val="0"/>
          <w:numId w:val="82"/>
        </w:numPr>
        <w:rPr>
          <w:rFonts w:ascii="Arial" w:cs="Arial" w:eastAsia="Arial" w:hAnsi="Arial"/>
          <w:sz w:val="14"/>
          <w:szCs w:val="14"/>
          <w:color w:val="4C4C4C"/>
        </w:rPr>
      </w:pPr>
      <w:r>
        <w:rPr>
          <w:rFonts w:ascii="Arial" w:cs="Arial" w:eastAsia="Arial" w:hAnsi="Arial"/>
          <w:sz w:val="14"/>
          <w:szCs w:val="14"/>
          <w:color w:val="4C4C4C"/>
        </w:rPr>
        <w:t>Amount reflects Fiscal 2024 PSUs-TSR for which the applicable performance goal was achieved as of March 28, 2026. Fiscal 2024 PSUs-TSR are included at 178.13% of target reflecting actual performance achieved. These shares vested and were paid out on June 1, 2026.</w:t>
      </w:r>
    </w:p>
    <w:p>
      <w:pPr>
        <w:spacing w:after="0" w:line="1" w:lineRule="exact"/>
        <w:rPr>
          <w:rFonts w:ascii="Arial" w:cs="Arial" w:eastAsia="Arial" w:hAnsi="Arial"/>
          <w:sz w:val="14"/>
          <w:szCs w:val="14"/>
          <w:color w:val="4C4C4C"/>
        </w:rPr>
      </w:pPr>
    </w:p>
    <w:p>
      <w:pPr>
        <w:ind w:left="246" w:right="160" w:hanging="246"/>
        <w:spacing w:after="0" w:line="281" w:lineRule="auto"/>
        <w:tabs>
          <w:tab w:leader="none" w:pos="246" w:val="left"/>
        </w:tabs>
        <w:numPr>
          <w:ilvl w:val="0"/>
          <w:numId w:val="82"/>
        </w:numPr>
        <w:rPr>
          <w:rFonts w:ascii="Arial" w:cs="Arial" w:eastAsia="Arial" w:hAnsi="Arial"/>
          <w:sz w:val="14"/>
          <w:szCs w:val="14"/>
          <w:color w:val="4C4C4C"/>
        </w:rPr>
      </w:pPr>
      <w:r>
        <w:rPr>
          <w:rFonts w:ascii="Arial" w:cs="Arial" w:eastAsia="Arial" w:hAnsi="Arial"/>
          <w:sz w:val="14"/>
          <w:szCs w:val="14"/>
          <w:color w:val="4C4C4C"/>
        </w:rPr>
        <w:t>Amount reflects the number of shares of Class A common stock represented by unvested RSUs subject to time-based vesting. RSUs from this award were granted on August 15, 2023, and vest in three equal annual installments on the anniversary date of the grant.</w:t>
      </w:r>
    </w:p>
    <w:p>
      <w:pPr>
        <w:spacing w:after="0" w:line="1" w:lineRule="exact"/>
        <w:rPr>
          <w:rFonts w:ascii="Arial" w:cs="Arial" w:eastAsia="Arial" w:hAnsi="Arial"/>
          <w:sz w:val="14"/>
          <w:szCs w:val="14"/>
          <w:color w:val="4C4C4C"/>
        </w:rPr>
      </w:pPr>
    </w:p>
    <w:p>
      <w:pPr>
        <w:ind w:left="246" w:right="160" w:hanging="246"/>
        <w:spacing w:after="0" w:line="281" w:lineRule="auto"/>
        <w:tabs>
          <w:tab w:leader="none" w:pos="246" w:val="left"/>
        </w:tabs>
        <w:numPr>
          <w:ilvl w:val="0"/>
          <w:numId w:val="82"/>
        </w:numPr>
        <w:rPr>
          <w:rFonts w:ascii="Arial" w:cs="Arial" w:eastAsia="Arial" w:hAnsi="Arial"/>
          <w:sz w:val="14"/>
          <w:szCs w:val="14"/>
          <w:color w:val="4C4C4C"/>
        </w:rPr>
      </w:pPr>
      <w:r>
        <w:rPr>
          <w:rFonts w:ascii="Arial" w:cs="Arial" w:eastAsia="Arial" w:hAnsi="Arial"/>
          <w:sz w:val="14"/>
          <w:szCs w:val="14"/>
          <w:color w:val="4C4C4C"/>
        </w:rPr>
        <w:t>Amount reflects the number of shares of Class A common stock represented by unvested RSUs subject to time-based vesting. RSUs from this award were granted on August 15, 2024, and vest in three equal annual installments on the anniversary date of the grant.</w:t>
      </w:r>
    </w:p>
    <w:p>
      <w:pPr>
        <w:spacing w:after="0" w:line="1" w:lineRule="exact"/>
        <w:rPr>
          <w:rFonts w:ascii="Arial" w:cs="Arial" w:eastAsia="Arial" w:hAnsi="Arial"/>
          <w:sz w:val="14"/>
          <w:szCs w:val="14"/>
          <w:color w:val="4C4C4C"/>
        </w:rPr>
      </w:pPr>
    </w:p>
    <w:p>
      <w:pPr>
        <w:ind w:left="246" w:right="160" w:hanging="246"/>
        <w:spacing w:after="0" w:line="281" w:lineRule="auto"/>
        <w:tabs>
          <w:tab w:leader="none" w:pos="246" w:val="left"/>
        </w:tabs>
        <w:numPr>
          <w:ilvl w:val="0"/>
          <w:numId w:val="82"/>
        </w:numPr>
        <w:rPr>
          <w:rFonts w:ascii="Arial" w:cs="Arial" w:eastAsia="Arial" w:hAnsi="Arial"/>
          <w:sz w:val="14"/>
          <w:szCs w:val="14"/>
          <w:color w:val="4C4C4C"/>
        </w:rPr>
      </w:pPr>
      <w:r>
        <w:rPr>
          <w:rFonts w:ascii="Arial" w:cs="Arial" w:eastAsia="Arial" w:hAnsi="Arial"/>
          <w:sz w:val="14"/>
          <w:szCs w:val="14"/>
          <w:color w:val="4C4C4C"/>
        </w:rPr>
        <w:t>Amount reflects the number of shares of Class A common stock represented by unvested RSUs subject to time-based vesting. RSUs from this award were granted on August 15, 2025, and vest in three equal annual installments on the anniversary date of the grant.</w:t>
      </w:r>
    </w:p>
    <w:p>
      <w:pPr>
        <w:spacing w:after="0" w:line="1" w:lineRule="exact"/>
        <w:rPr>
          <w:rFonts w:ascii="Arial" w:cs="Arial" w:eastAsia="Arial" w:hAnsi="Arial"/>
          <w:sz w:val="14"/>
          <w:szCs w:val="14"/>
          <w:color w:val="4C4C4C"/>
        </w:rPr>
      </w:pPr>
    </w:p>
    <w:p>
      <w:pPr>
        <w:ind w:left="246" w:right="120" w:hanging="246"/>
        <w:spacing w:after="0" w:line="256" w:lineRule="auto"/>
        <w:tabs>
          <w:tab w:leader="none" w:pos="246" w:val="left"/>
        </w:tabs>
        <w:numPr>
          <w:ilvl w:val="0"/>
          <w:numId w:val="82"/>
        </w:numPr>
        <w:rPr>
          <w:rFonts w:ascii="Arial" w:cs="Arial" w:eastAsia="Arial" w:hAnsi="Arial"/>
          <w:sz w:val="14"/>
          <w:szCs w:val="14"/>
          <w:color w:val="4C4C4C"/>
        </w:rPr>
      </w:pPr>
      <w:r>
        <w:rPr>
          <w:rFonts w:ascii="Arial" w:cs="Arial" w:eastAsia="Arial" w:hAnsi="Arial"/>
          <w:sz w:val="14"/>
          <w:szCs w:val="14"/>
          <w:color w:val="4C4C4C"/>
        </w:rPr>
        <w:t>Amount reflects unearned Fiscal 2025 PSUs-ROIC which in accordance with SEC rules are included at maximum performance. See “Compensation Discussion and Analysis Key Components of Executive Compensation – Compensation Element: Long-Term Equity-Based Incentives – Fiscal 2026” for a description of the material terms of these PSUs. Where applicable, shares have been rounded to whole numbers.</w:t>
      </w:r>
    </w:p>
    <w:p>
      <w:pPr>
        <w:spacing w:after="0" w:line="15" w:lineRule="exact"/>
        <w:rPr>
          <w:rFonts w:ascii="Arial" w:cs="Arial" w:eastAsia="Arial" w:hAnsi="Arial"/>
          <w:sz w:val="14"/>
          <w:szCs w:val="14"/>
          <w:color w:val="4C4C4C"/>
        </w:rPr>
      </w:pPr>
    </w:p>
    <w:p>
      <w:pPr>
        <w:ind w:left="246" w:right="120" w:hanging="246"/>
        <w:spacing w:after="0" w:line="256" w:lineRule="auto"/>
        <w:tabs>
          <w:tab w:leader="none" w:pos="246" w:val="left"/>
        </w:tabs>
        <w:numPr>
          <w:ilvl w:val="0"/>
          <w:numId w:val="82"/>
        </w:numPr>
        <w:rPr>
          <w:rFonts w:ascii="Arial" w:cs="Arial" w:eastAsia="Arial" w:hAnsi="Arial"/>
          <w:sz w:val="14"/>
          <w:szCs w:val="14"/>
          <w:color w:val="4C4C4C"/>
        </w:rPr>
      </w:pPr>
      <w:r>
        <w:rPr>
          <w:rFonts w:ascii="Arial" w:cs="Arial" w:eastAsia="Arial" w:hAnsi="Arial"/>
          <w:sz w:val="14"/>
          <w:szCs w:val="14"/>
          <w:color w:val="4C4C4C"/>
        </w:rPr>
        <w:t>Amount reflects unearned Fiscal 2025 PSUs-TSR which in accordance with SEC rules are included at maximum performance. See “Compensation Discussion and Analysis Key Components of Executive Compensation – Compensation Element: Long-Term Equity-Based Incentives – Fiscal 2026” for a description of the material terms of these PSUs. Where applicable, shares have been rounded to whole numbers.</w:t>
      </w:r>
    </w:p>
    <w:p>
      <w:pPr>
        <w:spacing w:after="0" w:line="15" w:lineRule="exact"/>
        <w:rPr>
          <w:rFonts w:ascii="Arial" w:cs="Arial" w:eastAsia="Arial" w:hAnsi="Arial"/>
          <w:sz w:val="14"/>
          <w:szCs w:val="14"/>
          <w:color w:val="4C4C4C"/>
        </w:rPr>
      </w:pPr>
    </w:p>
    <w:p>
      <w:pPr>
        <w:ind w:left="246" w:right="120" w:hanging="246"/>
        <w:spacing w:after="0" w:line="256" w:lineRule="auto"/>
        <w:tabs>
          <w:tab w:leader="none" w:pos="246" w:val="left"/>
        </w:tabs>
        <w:numPr>
          <w:ilvl w:val="0"/>
          <w:numId w:val="82"/>
        </w:numPr>
        <w:rPr>
          <w:rFonts w:ascii="Arial" w:cs="Arial" w:eastAsia="Arial" w:hAnsi="Arial"/>
          <w:sz w:val="14"/>
          <w:szCs w:val="14"/>
          <w:color w:val="4C4C4C"/>
        </w:rPr>
      </w:pPr>
      <w:r>
        <w:rPr>
          <w:rFonts w:ascii="Arial" w:cs="Arial" w:eastAsia="Arial" w:hAnsi="Arial"/>
          <w:sz w:val="14"/>
          <w:szCs w:val="14"/>
          <w:color w:val="4C4C4C"/>
        </w:rPr>
        <w:t>Amount reflects unearned Fiscal 2026 PSUs-ROIC which in accordance with SEC rules are included at maximum performance. See “Compensation Discussion and Analysis Key Components of Executive Compensation – Compensation Element: Long-Term Equity-Based Incentives – Fiscal 2026” for a description of the material terms of these PSUs. Where applicable, shares have been rounded to whole numbers.</w:t>
      </w:r>
    </w:p>
    <w:p>
      <w:pPr>
        <w:spacing w:after="0" w:line="15" w:lineRule="exact"/>
        <w:rPr>
          <w:rFonts w:ascii="Arial" w:cs="Arial" w:eastAsia="Arial" w:hAnsi="Arial"/>
          <w:sz w:val="14"/>
          <w:szCs w:val="14"/>
          <w:color w:val="4C4C4C"/>
        </w:rPr>
      </w:pPr>
    </w:p>
    <w:p>
      <w:pPr>
        <w:ind w:left="246" w:right="120" w:hanging="246"/>
        <w:spacing w:after="0" w:line="256" w:lineRule="auto"/>
        <w:tabs>
          <w:tab w:leader="none" w:pos="246" w:val="left"/>
        </w:tabs>
        <w:numPr>
          <w:ilvl w:val="0"/>
          <w:numId w:val="82"/>
        </w:numPr>
        <w:rPr>
          <w:rFonts w:ascii="Arial" w:cs="Arial" w:eastAsia="Arial" w:hAnsi="Arial"/>
          <w:sz w:val="14"/>
          <w:szCs w:val="14"/>
          <w:color w:val="4C4C4C"/>
        </w:rPr>
      </w:pPr>
      <w:r>
        <w:rPr>
          <w:rFonts w:ascii="Arial" w:cs="Arial" w:eastAsia="Arial" w:hAnsi="Arial"/>
          <w:sz w:val="14"/>
          <w:szCs w:val="14"/>
          <w:color w:val="4C4C4C"/>
        </w:rPr>
        <w:t>Amount reflects unearned Fiscal 2026 PSUs-TSR which in accordance with SEC rules are included at maximum performance. See “Compensation Discussion and Analysis Key Components of Executive Compensation – Compensation Element: Long-Term Equity-Based Incentives – Fiscal 2026” for a description of the material terms of these PSUs. Where applicable, shares have been rounded to whole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58293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82"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92</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03" w:name="page104"/>
    <w:bookmarkEnd w:id="103"/>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STOCK VESTED</w:t>
      </w:r>
    </w:p>
    <w:p>
      <w:pPr>
        <w:spacing w:after="0" w:line="153" w:lineRule="exact"/>
        <w:rPr>
          <w:sz w:val="20"/>
          <w:szCs w:val="20"/>
          <w:color w:val="auto"/>
        </w:rPr>
      </w:pPr>
    </w:p>
    <w:p>
      <w:pPr>
        <w:ind w:left="6" w:right="160"/>
        <w:spacing w:after="0" w:line="286" w:lineRule="auto"/>
        <w:rPr>
          <w:sz w:val="20"/>
          <w:szCs w:val="20"/>
          <w:color w:val="auto"/>
        </w:rPr>
      </w:pPr>
      <w:r>
        <w:rPr>
          <w:rFonts w:ascii="Arial" w:cs="Arial" w:eastAsia="Arial" w:hAnsi="Arial"/>
          <w:sz w:val="16"/>
          <w:szCs w:val="16"/>
          <w:color w:val="auto"/>
        </w:rPr>
        <w:t>The following table provides information concerning the vesting of stock awards during Fiscal 2026 on an aggregated basis for each of our NEOs.</w:t>
      </w:r>
    </w:p>
    <w:p>
      <w:pPr>
        <w:spacing w:after="0" w:line="129" w:lineRule="exact"/>
        <w:rPr>
          <w:sz w:val="20"/>
          <w:szCs w:val="20"/>
          <w:color w:val="auto"/>
        </w:rPr>
      </w:pPr>
    </w:p>
    <w:tbl>
      <w:tblPr>
        <w:tblLayout w:type="fixed"/>
        <w:tblInd w:w="6" w:type="dxa"/>
        <w:tblCellMar>
          <w:top w:w="0" w:type="dxa"/>
          <w:left w:w="0" w:type="dxa"/>
          <w:bottom w:w="0" w:type="dxa"/>
          <w:right w:w="0" w:type="dxa"/>
        </w:tblCellMar>
      </w:tblPr>
      <w:tr>
        <w:trPr>
          <w:trHeight w:val="295"/>
        </w:trPr>
        <w:tc>
          <w:tcPr>
            <w:tcW w:w="4040" w:type="dxa"/>
            <w:vAlign w:val="bottom"/>
            <w:shd w:val="clear" w:color="auto" w:fill="001641"/>
          </w:tcPr>
          <w:p>
            <w:pPr>
              <w:spacing w:after="0"/>
              <w:rPr>
                <w:sz w:val="24"/>
                <w:szCs w:val="24"/>
                <w:color w:val="auto"/>
              </w:rPr>
            </w:pPr>
          </w:p>
        </w:tc>
        <w:tc>
          <w:tcPr>
            <w:tcW w:w="3160" w:type="dxa"/>
            <w:vAlign w:val="bottom"/>
            <w:shd w:val="clear" w:color="auto" w:fill="BFA071"/>
          </w:tcPr>
          <w:p>
            <w:pPr>
              <w:jc w:val="right"/>
              <w:ind w:right="8"/>
              <w:spacing w:after="0"/>
              <w:rPr>
                <w:sz w:val="20"/>
                <w:szCs w:val="20"/>
                <w:color w:val="auto"/>
              </w:rPr>
            </w:pPr>
            <w:r>
              <w:rPr>
                <w:rFonts w:ascii="Arial" w:cs="Arial" w:eastAsia="Arial" w:hAnsi="Arial"/>
                <w:sz w:val="14"/>
                <w:szCs w:val="14"/>
                <w:b w:val="1"/>
                <w:bCs w:val="1"/>
                <w:color w:val="FFFFFF"/>
              </w:rPr>
              <w:t>Stock Awards</w:t>
            </w:r>
          </w:p>
        </w:tc>
        <w:tc>
          <w:tcPr>
            <w:tcW w:w="1980" w:type="dxa"/>
            <w:vAlign w:val="bottom"/>
            <w:shd w:val="clear" w:color="auto" w:fill="BFA071"/>
          </w:tcPr>
          <w:p>
            <w:pPr>
              <w:spacing w:after="0"/>
              <w:rPr>
                <w:sz w:val="24"/>
                <w:szCs w:val="24"/>
                <w:color w:val="auto"/>
              </w:rPr>
            </w:pPr>
          </w:p>
        </w:tc>
      </w:tr>
      <w:tr>
        <w:trPr>
          <w:trHeight w:val="209"/>
        </w:trPr>
        <w:tc>
          <w:tcPr>
            <w:tcW w:w="4040" w:type="dxa"/>
            <w:vAlign w:val="bottom"/>
            <w:shd w:val="clear" w:color="auto" w:fill="001641"/>
          </w:tcPr>
          <w:p>
            <w:pPr>
              <w:spacing w:after="0"/>
              <w:rPr>
                <w:sz w:val="18"/>
                <w:szCs w:val="18"/>
                <w:color w:val="auto"/>
              </w:rPr>
            </w:pPr>
          </w:p>
        </w:tc>
        <w:tc>
          <w:tcPr>
            <w:tcW w:w="3160" w:type="dxa"/>
            <w:vAlign w:val="bottom"/>
            <w:shd w:val="clear" w:color="auto" w:fill="BFA071"/>
          </w:tcPr>
          <w:p>
            <w:pPr>
              <w:jc w:val="right"/>
              <w:ind w:right="248"/>
              <w:spacing w:after="0"/>
              <w:rPr>
                <w:sz w:val="20"/>
                <w:szCs w:val="20"/>
                <w:color w:val="auto"/>
              </w:rPr>
            </w:pPr>
            <w:r>
              <w:rPr>
                <w:rFonts w:ascii="Arial" w:cs="Arial" w:eastAsia="Arial" w:hAnsi="Arial"/>
                <w:sz w:val="14"/>
                <w:szCs w:val="14"/>
                <w:b w:val="1"/>
                <w:bCs w:val="1"/>
                <w:color w:val="FFFFFF"/>
              </w:rPr>
              <w:t>Number of Shares Acquired on Vesting</w:t>
            </w:r>
          </w:p>
        </w:tc>
        <w:tc>
          <w:tcPr>
            <w:tcW w:w="1980" w:type="dxa"/>
            <w:vAlign w:val="bottom"/>
            <w:shd w:val="clear" w:color="auto" w:fill="BFA071"/>
          </w:tcPr>
          <w:p>
            <w:pPr>
              <w:jc w:val="right"/>
              <w:ind w:right="68"/>
              <w:spacing w:after="0"/>
              <w:rPr>
                <w:sz w:val="20"/>
                <w:szCs w:val="20"/>
                <w:color w:val="auto"/>
              </w:rPr>
            </w:pPr>
            <w:r>
              <w:rPr>
                <w:rFonts w:ascii="Arial" w:cs="Arial" w:eastAsia="Arial" w:hAnsi="Arial"/>
                <w:sz w:val="14"/>
                <w:szCs w:val="14"/>
                <w:b w:val="1"/>
                <w:bCs w:val="1"/>
                <w:color w:val="FFFFFF"/>
              </w:rPr>
              <w:t>Value Realized on Vesting</w:t>
            </w:r>
          </w:p>
        </w:tc>
      </w:tr>
      <w:tr>
        <w:trPr>
          <w:trHeight w:val="212"/>
        </w:trPr>
        <w:tc>
          <w:tcPr>
            <w:tcW w:w="4040" w:type="dxa"/>
            <w:vAlign w:val="bottom"/>
            <w:shd w:val="clear" w:color="auto" w:fill="001641"/>
          </w:tcPr>
          <w:p>
            <w:pPr>
              <w:ind w:left="120"/>
              <w:spacing w:after="0"/>
              <w:rPr>
                <w:sz w:val="20"/>
                <w:szCs w:val="20"/>
                <w:color w:val="auto"/>
              </w:rPr>
            </w:pPr>
            <w:r>
              <w:rPr>
                <w:rFonts w:ascii="Arial" w:cs="Arial" w:eastAsia="Arial" w:hAnsi="Arial"/>
                <w:sz w:val="14"/>
                <w:szCs w:val="14"/>
                <w:b w:val="1"/>
                <w:bCs w:val="1"/>
                <w:color w:val="FFFFFF"/>
              </w:rPr>
              <w:t>Name</w:t>
            </w:r>
          </w:p>
        </w:tc>
        <w:tc>
          <w:tcPr>
            <w:tcW w:w="3160" w:type="dxa"/>
            <w:vAlign w:val="bottom"/>
            <w:shd w:val="clear" w:color="auto" w:fill="BFA071"/>
          </w:tcPr>
          <w:p>
            <w:pPr>
              <w:jc w:val="right"/>
              <w:ind w:right="208"/>
              <w:spacing w:after="0"/>
              <w:rPr>
                <w:sz w:val="20"/>
                <w:szCs w:val="20"/>
                <w:color w:val="auto"/>
              </w:rPr>
            </w:pPr>
            <w:r>
              <w:rPr>
                <w:rFonts w:ascii="Arial" w:cs="Arial" w:eastAsia="Arial" w:hAnsi="Arial"/>
                <w:sz w:val="14"/>
                <w:szCs w:val="14"/>
                <w:b w:val="1"/>
                <w:bCs w:val="1"/>
                <w:color w:val="FFFFFF"/>
              </w:rPr>
              <w:t>(#)</w:t>
            </w:r>
          </w:p>
        </w:tc>
        <w:tc>
          <w:tcPr>
            <w:tcW w:w="1980" w:type="dxa"/>
            <w:vAlign w:val="bottom"/>
            <w:shd w:val="clear" w:color="auto" w:fill="BFA071"/>
          </w:tcPr>
          <w:p>
            <w:pPr>
              <w:jc w:val="right"/>
              <w:ind w:right="28"/>
              <w:spacing w:after="0"/>
              <w:rPr>
                <w:sz w:val="20"/>
                <w:szCs w:val="20"/>
                <w:color w:val="auto"/>
              </w:rPr>
            </w:pPr>
            <w:r>
              <w:rPr>
                <w:rFonts w:ascii="Arial" w:cs="Arial" w:eastAsia="Arial" w:hAnsi="Arial"/>
                <w:sz w:val="14"/>
                <w:szCs w:val="14"/>
                <w:b w:val="1"/>
                <w:bCs w:val="1"/>
                <w:color w:val="FFFFFF"/>
              </w:rPr>
              <w:t>($)</w:t>
            </w:r>
          </w:p>
        </w:tc>
      </w:tr>
      <w:tr>
        <w:trPr>
          <w:trHeight w:val="270"/>
        </w:trPr>
        <w:tc>
          <w:tcPr>
            <w:tcW w:w="4040" w:type="dxa"/>
            <w:vAlign w:val="bottom"/>
            <w:tcBorders>
              <w:bottom w:val="single" w:sz="8" w:color="BFA071"/>
            </w:tcBorders>
          </w:tcPr>
          <w:p>
            <w:pPr>
              <w:ind w:left="120"/>
              <w:spacing w:after="0"/>
              <w:rPr>
                <w:sz w:val="20"/>
                <w:szCs w:val="20"/>
                <w:color w:val="auto"/>
              </w:rPr>
            </w:pPr>
            <w:r>
              <w:rPr>
                <w:rFonts w:ascii="Arial" w:cs="Arial" w:eastAsia="Arial" w:hAnsi="Arial"/>
                <w:sz w:val="14"/>
                <w:szCs w:val="14"/>
                <w:b w:val="1"/>
                <w:bCs w:val="1"/>
                <w:color w:val="001641"/>
              </w:rPr>
              <w:t>Ralph Lauren</w:t>
            </w:r>
            <w:r>
              <w:rPr>
                <w:rFonts w:ascii="Arial" w:cs="Arial" w:eastAsia="Arial" w:hAnsi="Arial"/>
                <w:sz w:val="23"/>
                <w:szCs w:val="23"/>
                <w:b w:val="1"/>
                <w:bCs w:val="1"/>
                <w:color w:val="001641"/>
                <w:vertAlign w:val="superscript"/>
              </w:rPr>
              <w:t>1</w:t>
            </w:r>
          </w:p>
        </w:tc>
        <w:tc>
          <w:tcPr>
            <w:tcW w:w="3160" w:type="dxa"/>
            <w:vAlign w:val="bottom"/>
            <w:tcBorders>
              <w:bottom w:val="single" w:sz="8" w:color="BFA071"/>
            </w:tcBorders>
            <w:shd w:val="clear" w:color="auto" w:fill="EBE1D2"/>
          </w:tcPr>
          <w:p>
            <w:pPr>
              <w:jc w:val="right"/>
              <w:ind w:right="588"/>
              <w:spacing w:after="0"/>
              <w:rPr>
                <w:sz w:val="20"/>
                <w:szCs w:val="20"/>
                <w:color w:val="auto"/>
              </w:rPr>
            </w:pPr>
            <w:r>
              <w:rPr>
                <w:rFonts w:ascii="Arial" w:cs="Arial" w:eastAsia="Arial" w:hAnsi="Arial"/>
                <w:sz w:val="14"/>
                <w:szCs w:val="14"/>
                <w:color w:val="001641"/>
              </w:rPr>
              <w:t>206,839</w:t>
            </w:r>
          </w:p>
        </w:tc>
        <w:tc>
          <w:tcPr>
            <w:tcW w:w="19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56,822,919</w:t>
            </w:r>
          </w:p>
        </w:tc>
      </w:tr>
      <w:tr>
        <w:trPr>
          <w:trHeight w:val="250"/>
        </w:trPr>
        <w:tc>
          <w:tcPr>
            <w:tcW w:w="4040" w:type="dxa"/>
            <w:vAlign w:val="bottom"/>
            <w:tcBorders>
              <w:bottom w:val="single" w:sz="8" w:color="BFA071"/>
            </w:tcBorders>
          </w:tcPr>
          <w:p>
            <w:pPr>
              <w:ind w:left="120"/>
              <w:spacing w:after="0" w:line="250" w:lineRule="exact"/>
              <w:rPr>
                <w:sz w:val="20"/>
                <w:szCs w:val="20"/>
                <w:color w:val="auto"/>
              </w:rPr>
            </w:pPr>
            <w:r>
              <w:rPr>
                <w:rFonts w:ascii="Arial" w:cs="Arial" w:eastAsia="Arial" w:hAnsi="Arial"/>
                <w:sz w:val="14"/>
                <w:szCs w:val="14"/>
                <w:b w:val="1"/>
                <w:bCs w:val="1"/>
                <w:color w:val="001641"/>
              </w:rPr>
              <w:t>Patrice Louvet</w:t>
            </w:r>
            <w:r>
              <w:rPr>
                <w:rFonts w:ascii="Arial" w:cs="Arial" w:eastAsia="Arial" w:hAnsi="Arial"/>
                <w:sz w:val="23"/>
                <w:szCs w:val="23"/>
                <w:b w:val="1"/>
                <w:bCs w:val="1"/>
                <w:color w:val="001641"/>
                <w:vertAlign w:val="superscript"/>
              </w:rPr>
              <w:t>2</w:t>
            </w:r>
          </w:p>
        </w:tc>
        <w:tc>
          <w:tcPr>
            <w:tcW w:w="3160" w:type="dxa"/>
            <w:vAlign w:val="bottom"/>
            <w:tcBorders>
              <w:bottom w:val="single" w:sz="8" w:color="BFA071"/>
            </w:tcBorders>
            <w:shd w:val="clear" w:color="auto" w:fill="EBE1D2"/>
          </w:tcPr>
          <w:p>
            <w:pPr>
              <w:jc w:val="right"/>
              <w:ind w:right="588"/>
              <w:spacing w:after="0"/>
              <w:rPr>
                <w:sz w:val="20"/>
                <w:szCs w:val="20"/>
                <w:color w:val="auto"/>
              </w:rPr>
            </w:pPr>
            <w:r>
              <w:rPr>
                <w:rFonts w:ascii="Arial" w:cs="Arial" w:eastAsia="Arial" w:hAnsi="Arial"/>
                <w:sz w:val="14"/>
                <w:szCs w:val="14"/>
                <w:color w:val="001641"/>
              </w:rPr>
              <w:t>130,990</w:t>
            </w:r>
          </w:p>
        </w:tc>
        <w:tc>
          <w:tcPr>
            <w:tcW w:w="19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36,664,331</w:t>
            </w:r>
          </w:p>
        </w:tc>
      </w:tr>
      <w:tr>
        <w:trPr>
          <w:trHeight w:val="250"/>
        </w:trPr>
        <w:tc>
          <w:tcPr>
            <w:tcW w:w="4040" w:type="dxa"/>
            <w:vAlign w:val="bottom"/>
            <w:tcBorders>
              <w:bottom w:val="single" w:sz="8" w:color="BFA071"/>
            </w:tcBorders>
          </w:tcPr>
          <w:p>
            <w:pPr>
              <w:ind w:left="120"/>
              <w:spacing w:after="0" w:line="250" w:lineRule="exact"/>
              <w:rPr>
                <w:sz w:val="20"/>
                <w:szCs w:val="20"/>
                <w:color w:val="auto"/>
              </w:rPr>
            </w:pPr>
            <w:r>
              <w:rPr>
                <w:rFonts w:ascii="Arial" w:cs="Arial" w:eastAsia="Arial" w:hAnsi="Arial"/>
                <w:sz w:val="14"/>
                <w:szCs w:val="14"/>
                <w:b w:val="1"/>
                <w:bCs w:val="1"/>
                <w:color w:val="001641"/>
              </w:rPr>
              <w:t>Robert Ranftl</w:t>
            </w:r>
            <w:r>
              <w:rPr>
                <w:rFonts w:ascii="Arial" w:cs="Arial" w:eastAsia="Arial" w:hAnsi="Arial"/>
                <w:sz w:val="23"/>
                <w:szCs w:val="23"/>
                <w:b w:val="1"/>
                <w:bCs w:val="1"/>
                <w:color w:val="001641"/>
                <w:vertAlign w:val="superscript"/>
              </w:rPr>
              <w:t>3</w:t>
            </w:r>
          </w:p>
        </w:tc>
        <w:tc>
          <w:tcPr>
            <w:tcW w:w="3160" w:type="dxa"/>
            <w:vAlign w:val="bottom"/>
            <w:tcBorders>
              <w:bottom w:val="single" w:sz="8" w:color="BFA071"/>
            </w:tcBorders>
            <w:shd w:val="clear" w:color="auto" w:fill="EBE1D2"/>
          </w:tcPr>
          <w:p>
            <w:pPr>
              <w:jc w:val="right"/>
              <w:ind w:right="588"/>
              <w:spacing w:after="0"/>
              <w:rPr>
                <w:sz w:val="20"/>
                <w:szCs w:val="20"/>
                <w:color w:val="auto"/>
              </w:rPr>
            </w:pPr>
            <w:r>
              <w:rPr>
                <w:rFonts w:ascii="Arial" w:cs="Arial" w:eastAsia="Arial" w:hAnsi="Arial"/>
                <w:sz w:val="14"/>
                <w:szCs w:val="14"/>
                <w:color w:val="001641"/>
              </w:rPr>
              <w:t>19,698</w:t>
            </w:r>
          </w:p>
        </w:tc>
        <w:tc>
          <w:tcPr>
            <w:tcW w:w="19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5,506,059</w:t>
            </w:r>
          </w:p>
        </w:tc>
      </w:tr>
      <w:tr>
        <w:trPr>
          <w:trHeight w:val="250"/>
        </w:trPr>
        <w:tc>
          <w:tcPr>
            <w:tcW w:w="4040" w:type="dxa"/>
            <w:vAlign w:val="bottom"/>
            <w:tcBorders>
              <w:bottom w:val="single" w:sz="8" w:color="BFA071"/>
            </w:tcBorders>
          </w:tcPr>
          <w:p>
            <w:pPr>
              <w:ind w:left="120"/>
              <w:spacing w:after="0" w:line="250" w:lineRule="exact"/>
              <w:rPr>
                <w:sz w:val="20"/>
                <w:szCs w:val="20"/>
                <w:color w:val="auto"/>
              </w:rPr>
            </w:pPr>
            <w:r>
              <w:rPr>
                <w:rFonts w:ascii="Arial" w:cs="Arial" w:eastAsia="Arial" w:hAnsi="Arial"/>
                <w:sz w:val="14"/>
                <w:szCs w:val="14"/>
                <w:b w:val="1"/>
                <w:bCs w:val="1"/>
                <w:color w:val="001641"/>
              </w:rPr>
              <w:t>Justin Picicci</w:t>
            </w:r>
            <w:r>
              <w:rPr>
                <w:rFonts w:ascii="Arial" w:cs="Arial" w:eastAsia="Arial" w:hAnsi="Arial"/>
                <w:sz w:val="23"/>
                <w:szCs w:val="23"/>
                <w:b w:val="1"/>
                <w:bCs w:val="1"/>
                <w:color w:val="001641"/>
                <w:vertAlign w:val="superscript"/>
              </w:rPr>
              <w:t>4</w:t>
            </w:r>
          </w:p>
        </w:tc>
        <w:tc>
          <w:tcPr>
            <w:tcW w:w="3160" w:type="dxa"/>
            <w:vAlign w:val="bottom"/>
            <w:tcBorders>
              <w:bottom w:val="single" w:sz="8" w:color="BFA071"/>
            </w:tcBorders>
            <w:shd w:val="clear" w:color="auto" w:fill="EBE1D2"/>
          </w:tcPr>
          <w:p>
            <w:pPr>
              <w:jc w:val="right"/>
              <w:ind w:right="588"/>
              <w:spacing w:after="0"/>
              <w:rPr>
                <w:sz w:val="20"/>
                <w:szCs w:val="20"/>
                <w:color w:val="auto"/>
              </w:rPr>
            </w:pPr>
            <w:r>
              <w:rPr>
                <w:rFonts w:ascii="Arial" w:cs="Arial" w:eastAsia="Arial" w:hAnsi="Arial"/>
                <w:sz w:val="14"/>
                <w:szCs w:val="14"/>
                <w:color w:val="001641"/>
              </w:rPr>
              <w:t>5,244</w:t>
            </w:r>
          </w:p>
        </w:tc>
        <w:tc>
          <w:tcPr>
            <w:tcW w:w="19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1,519,423</w:t>
            </w:r>
          </w:p>
        </w:tc>
      </w:tr>
      <w:tr>
        <w:trPr>
          <w:trHeight w:val="250"/>
        </w:trPr>
        <w:tc>
          <w:tcPr>
            <w:tcW w:w="4040" w:type="dxa"/>
            <w:vAlign w:val="bottom"/>
            <w:tcBorders>
              <w:bottom w:val="single" w:sz="8" w:color="BFA071"/>
            </w:tcBorders>
          </w:tcPr>
          <w:p>
            <w:pPr>
              <w:ind w:left="120"/>
              <w:spacing w:after="0" w:line="250" w:lineRule="exact"/>
              <w:rPr>
                <w:sz w:val="20"/>
                <w:szCs w:val="20"/>
                <w:color w:val="auto"/>
              </w:rPr>
            </w:pPr>
            <w:r>
              <w:rPr>
                <w:rFonts w:ascii="Arial" w:cs="Arial" w:eastAsia="Arial" w:hAnsi="Arial"/>
                <w:sz w:val="14"/>
                <w:szCs w:val="14"/>
                <w:b w:val="1"/>
                <w:bCs w:val="1"/>
                <w:color w:val="001641"/>
              </w:rPr>
              <w:t>Halide Alagoz</w:t>
            </w:r>
            <w:r>
              <w:rPr>
                <w:rFonts w:ascii="Arial" w:cs="Arial" w:eastAsia="Arial" w:hAnsi="Arial"/>
                <w:sz w:val="23"/>
                <w:szCs w:val="23"/>
                <w:b w:val="1"/>
                <w:bCs w:val="1"/>
                <w:color w:val="001641"/>
                <w:vertAlign w:val="superscript"/>
              </w:rPr>
              <w:t>5</w:t>
            </w:r>
          </w:p>
        </w:tc>
        <w:tc>
          <w:tcPr>
            <w:tcW w:w="3160" w:type="dxa"/>
            <w:vAlign w:val="bottom"/>
            <w:tcBorders>
              <w:bottom w:val="single" w:sz="8" w:color="BFA071"/>
            </w:tcBorders>
            <w:shd w:val="clear" w:color="auto" w:fill="EBE1D2"/>
          </w:tcPr>
          <w:p>
            <w:pPr>
              <w:jc w:val="right"/>
              <w:ind w:right="588"/>
              <w:spacing w:after="0"/>
              <w:rPr>
                <w:sz w:val="20"/>
                <w:szCs w:val="20"/>
                <w:color w:val="auto"/>
              </w:rPr>
            </w:pPr>
            <w:r>
              <w:rPr>
                <w:rFonts w:ascii="Arial" w:cs="Arial" w:eastAsia="Arial" w:hAnsi="Arial"/>
                <w:sz w:val="14"/>
                <w:szCs w:val="14"/>
                <w:color w:val="001641"/>
              </w:rPr>
              <w:t>15,861</w:t>
            </w:r>
          </w:p>
        </w:tc>
        <w:tc>
          <w:tcPr>
            <w:tcW w:w="1980" w:type="dxa"/>
            <w:vAlign w:val="bottom"/>
            <w:tcBorders>
              <w:bottom w:val="single" w:sz="8" w:color="BFA071"/>
            </w:tcBorders>
            <w:shd w:val="clear" w:color="auto" w:fill="EBE1D2"/>
          </w:tcPr>
          <w:p>
            <w:pPr>
              <w:jc w:val="right"/>
              <w:ind w:right="228"/>
              <w:spacing w:after="0"/>
              <w:rPr>
                <w:sz w:val="20"/>
                <w:szCs w:val="20"/>
                <w:color w:val="auto"/>
              </w:rPr>
            </w:pPr>
            <w:r>
              <w:rPr>
                <w:rFonts w:ascii="Arial" w:cs="Arial" w:eastAsia="Arial" w:hAnsi="Arial"/>
                <w:sz w:val="14"/>
                <w:szCs w:val="14"/>
                <w:color w:val="001641"/>
              </w:rPr>
              <w:t>4,434,683</w:t>
            </w:r>
          </w:p>
        </w:tc>
      </w:tr>
      <w:tr>
        <w:trPr>
          <w:trHeight w:val="217"/>
        </w:trPr>
        <w:tc>
          <w:tcPr>
            <w:tcW w:w="4040" w:type="dxa"/>
            <w:vAlign w:val="bottom"/>
          </w:tcPr>
          <w:p>
            <w:pPr>
              <w:ind w:left="120"/>
              <w:spacing w:after="0" w:line="210" w:lineRule="exact"/>
              <w:rPr>
                <w:sz w:val="20"/>
                <w:szCs w:val="20"/>
                <w:color w:val="auto"/>
              </w:rPr>
            </w:pPr>
            <w:r>
              <w:rPr>
                <w:rFonts w:ascii="Arial" w:cs="Arial" w:eastAsia="Arial" w:hAnsi="Arial"/>
                <w:sz w:val="14"/>
                <w:szCs w:val="14"/>
                <w:b w:val="1"/>
                <w:bCs w:val="1"/>
                <w:color w:val="001641"/>
              </w:rPr>
              <w:t>David Lauren</w:t>
            </w:r>
            <w:r>
              <w:rPr>
                <w:rFonts w:ascii="Arial" w:cs="Arial" w:eastAsia="Arial" w:hAnsi="Arial"/>
                <w:sz w:val="23"/>
                <w:szCs w:val="23"/>
                <w:b w:val="1"/>
                <w:bCs w:val="1"/>
                <w:color w:val="001641"/>
                <w:vertAlign w:val="superscript"/>
              </w:rPr>
              <w:t>6</w:t>
            </w:r>
          </w:p>
        </w:tc>
        <w:tc>
          <w:tcPr>
            <w:tcW w:w="3160" w:type="dxa"/>
            <w:vAlign w:val="bottom"/>
            <w:tcBorders>
              <w:bottom w:val="single" w:sz="8" w:color="EBE1D2"/>
            </w:tcBorders>
            <w:shd w:val="clear" w:color="auto" w:fill="EBE1D2"/>
          </w:tcPr>
          <w:p>
            <w:pPr>
              <w:jc w:val="right"/>
              <w:ind w:right="588"/>
              <w:spacing w:after="0"/>
              <w:rPr>
                <w:sz w:val="20"/>
                <w:szCs w:val="20"/>
                <w:color w:val="auto"/>
              </w:rPr>
            </w:pPr>
            <w:r>
              <w:rPr>
                <w:rFonts w:ascii="Arial" w:cs="Arial" w:eastAsia="Arial" w:hAnsi="Arial"/>
                <w:sz w:val="14"/>
                <w:szCs w:val="14"/>
                <w:color w:val="001641"/>
              </w:rPr>
              <w:t>10,587</w:t>
            </w:r>
          </w:p>
        </w:tc>
        <w:tc>
          <w:tcPr>
            <w:tcW w:w="1980" w:type="dxa"/>
            <w:vAlign w:val="bottom"/>
            <w:tcBorders>
              <w:bottom w:val="single" w:sz="8" w:color="EBE1D2"/>
            </w:tcBorders>
            <w:shd w:val="clear" w:color="auto" w:fill="EBE1D2"/>
          </w:tcPr>
          <w:p>
            <w:pPr>
              <w:jc w:val="right"/>
              <w:ind w:right="228"/>
              <w:spacing w:after="0"/>
              <w:rPr>
                <w:sz w:val="20"/>
                <w:szCs w:val="20"/>
                <w:color w:val="auto"/>
              </w:rPr>
            </w:pPr>
            <w:r>
              <w:rPr>
                <w:rFonts w:ascii="Arial" w:cs="Arial" w:eastAsia="Arial" w:hAnsi="Arial"/>
                <w:sz w:val="14"/>
                <w:szCs w:val="14"/>
                <w:color w:val="001641"/>
              </w:rPr>
              <w:t>2,963,697</w:t>
            </w:r>
          </w:p>
        </w:tc>
      </w:tr>
      <w:tr>
        <w:trPr>
          <w:trHeight w:val="20"/>
        </w:trPr>
        <w:tc>
          <w:tcPr>
            <w:tcW w:w="4040" w:type="dxa"/>
            <w:vAlign w:val="bottom"/>
            <w:shd w:val="clear" w:color="auto" w:fill="001641"/>
          </w:tcPr>
          <w:p>
            <w:pPr>
              <w:spacing w:after="0" w:line="20" w:lineRule="exact"/>
              <w:rPr>
                <w:sz w:val="1"/>
                <w:szCs w:val="1"/>
                <w:color w:val="auto"/>
              </w:rPr>
            </w:pPr>
          </w:p>
        </w:tc>
        <w:tc>
          <w:tcPr>
            <w:tcW w:w="3160" w:type="dxa"/>
            <w:vAlign w:val="bottom"/>
            <w:shd w:val="clear" w:color="auto" w:fill="001641"/>
          </w:tcPr>
          <w:p>
            <w:pPr>
              <w:spacing w:after="0" w:line="20" w:lineRule="exact"/>
              <w:rPr>
                <w:sz w:val="1"/>
                <w:szCs w:val="1"/>
                <w:color w:val="auto"/>
              </w:rPr>
            </w:pPr>
          </w:p>
        </w:tc>
        <w:tc>
          <w:tcPr>
            <w:tcW w:w="1980" w:type="dxa"/>
            <w:vAlign w:val="bottom"/>
            <w:shd w:val="clear" w:color="auto" w:fill="001641"/>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-1285240</wp:posOffset>
            </wp:positionV>
            <wp:extent cx="30943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33" w:lineRule="exact"/>
        <w:rPr>
          <w:sz w:val="20"/>
          <w:szCs w:val="20"/>
          <w:color w:val="auto"/>
        </w:rPr>
      </w:pPr>
    </w:p>
    <w:p>
      <w:pPr>
        <w:ind w:left="246" w:right="140" w:hanging="246"/>
        <w:spacing w:after="0" w:line="263" w:lineRule="auto"/>
        <w:tabs>
          <w:tab w:leader="none" w:pos="246" w:val="left"/>
        </w:tabs>
        <w:numPr>
          <w:ilvl w:val="0"/>
          <w:numId w:val="83"/>
        </w:numPr>
        <w:rPr>
          <w:rFonts w:ascii="Arial" w:cs="Arial" w:eastAsia="Arial" w:hAnsi="Arial"/>
          <w:sz w:val="14"/>
          <w:szCs w:val="14"/>
          <w:color w:val="4C4C4C"/>
        </w:rPr>
      </w:pPr>
      <w:r>
        <w:rPr>
          <w:rFonts w:ascii="Arial" w:cs="Arial" w:eastAsia="Arial" w:hAnsi="Arial"/>
          <w:sz w:val="14"/>
          <w:szCs w:val="14"/>
          <w:color w:val="4C4C4C"/>
        </w:rPr>
        <w:t>In connection with the vesting of his performance-based stock awards, Mr. R. Lauren acquired 200,198 shares on June 2, 2025 with a market price of $274.58 and the table includes a cash payment of $213.18 in lieu of fractional shares representing 0.776 shares of Class A Common Stock. Market price is based upon the average of the high and the low stock prices on that day.</w:t>
      </w:r>
    </w:p>
    <w:p>
      <w:pPr>
        <w:spacing w:after="0" w:line="10" w:lineRule="exact"/>
        <w:rPr>
          <w:rFonts w:ascii="Arial" w:cs="Arial" w:eastAsia="Arial" w:hAnsi="Arial"/>
          <w:sz w:val="14"/>
          <w:szCs w:val="14"/>
          <w:color w:val="4C4C4C"/>
        </w:rPr>
      </w:pPr>
    </w:p>
    <w:p>
      <w:pPr>
        <w:ind w:left="246" w:right="120"/>
        <w:spacing w:after="0" w:line="252" w:lineRule="auto"/>
        <w:rPr>
          <w:rFonts w:ascii="Arial" w:cs="Arial" w:eastAsia="Arial" w:hAnsi="Arial"/>
          <w:sz w:val="14"/>
          <w:szCs w:val="14"/>
          <w:color w:val="4C4C4C"/>
        </w:rPr>
      </w:pPr>
      <w:r>
        <w:rPr>
          <w:rFonts w:ascii="Arial" w:cs="Arial" w:eastAsia="Arial" w:hAnsi="Arial"/>
          <w:sz w:val="14"/>
          <w:szCs w:val="14"/>
          <w:color w:val="4C4C4C"/>
        </w:rPr>
        <w:t>Mr. R. Lauren has outstanding vested RSUs whose underlying shares of Class A Common Stock will not be delivered until Mr. R. Lauren’s separation from the Company or, if earlier, upon a change in control. These RSUs are eligible to receive dividend equivalents in the form of additional fully vested RSUs each time we pay an actual cash dividend on our outstanding shares. Additional RSUs of 2,194.68, 1,647.52, 1,503.72 and 1,294.65 were acquired respectively on April 11, 2025, July 11, 2025, October 10, 2025 and January 9, 2026. Market price (based on the average of the high and low stock prices on that day) was $194.360, $287.585, $316.085 and $368.190, respectively.</w:t>
      </w:r>
    </w:p>
    <w:p>
      <w:pPr>
        <w:spacing w:after="0" w:line="18" w:lineRule="exact"/>
        <w:rPr>
          <w:rFonts w:ascii="Arial" w:cs="Arial" w:eastAsia="Arial" w:hAnsi="Arial"/>
          <w:sz w:val="14"/>
          <w:szCs w:val="14"/>
          <w:color w:val="4C4C4C"/>
        </w:rPr>
      </w:pPr>
    </w:p>
    <w:p>
      <w:pPr>
        <w:ind w:left="246" w:right="80" w:hanging="246"/>
        <w:spacing w:after="0" w:line="263" w:lineRule="auto"/>
        <w:tabs>
          <w:tab w:leader="none" w:pos="246" w:val="left"/>
        </w:tabs>
        <w:numPr>
          <w:ilvl w:val="0"/>
          <w:numId w:val="83"/>
        </w:numPr>
        <w:rPr>
          <w:rFonts w:ascii="Arial" w:cs="Arial" w:eastAsia="Arial" w:hAnsi="Arial"/>
          <w:sz w:val="14"/>
          <w:szCs w:val="14"/>
          <w:color w:val="4C4C4C"/>
        </w:rPr>
      </w:pPr>
      <w:r>
        <w:rPr>
          <w:rFonts w:ascii="Arial" w:cs="Arial" w:eastAsia="Arial" w:hAnsi="Arial"/>
          <w:sz w:val="14"/>
          <w:szCs w:val="14"/>
          <w:color w:val="4C4C4C"/>
        </w:rPr>
        <w:t>Mr. Louvet acquired 45,961 shares upon vesting of his RSUs, with a market price of $289.745 on August 15, 2025. In connection with the vesting of his performance-based stock awards, Mr. Louvet acquired 85,029 shares on June 2, 2025 with a market price of $274.58 and the table includes a cash payment of $97.97 in lieu of fractional shares representing 0.3568 shares of Class A Common Stock.</w:t>
      </w:r>
    </w:p>
    <w:p>
      <w:pPr>
        <w:spacing w:after="0" w:line="10" w:lineRule="exact"/>
        <w:rPr>
          <w:rFonts w:ascii="Arial" w:cs="Arial" w:eastAsia="Arial" w:hAnsi="Arial"/>
          <w:sz w:val="14"/>
          <w:szCs w:val="14"/>
          <w:color w:val="4C4C4C"/>
        </w:rPr>
      </w:pPr>
    </w:p>
    <w:p>
      <w:pPr>
        <w:ind w:left="246" w:right="140" w:hanging="246"/>
        <w:spacing w:after="0" w:line="263" w:lineRule="auto"/>
        <w:tabs>
          <w:tab w:leader="none" w:pos="246" w:val="left"/>
        </w:tabs>
        <w:numPr>
          <w:ilvl w:val="0"/>
          <w:numId w:val="83"/>
        </w:numPr>
        <w:rPr>
          <w:rFonts w:ascii="Arial" w:cs="Arial" w:eastAsia="Arial" w:hAnsi="Arial"/>
          <w:sz w:val="14"/>
          <w:szCs w:val="14"/>
          <w:color w:val="4C4C4C"/>
        </w:rPr>
      </w:pPr>
      <w:r>
        <w:rPr>
          <w:rFonts w:ascii="Arial" w:cs="Arial" w:eastAsia="Arial" w:hAnsi="Arial"/>
          <w:sz w:val="14"/>
          <w:szCs w:val="14"/>
          <w:color w:val="4C4C4C"/>
        </w:rPr>
        <w:t>Mr. Ranftl acquired 6,413 shares upon vesting of his RSUs, with a market price of $289.745 on August 15, 2025. In connection with the vesting of his performance-based stock awards, Mr. Ranftl acquired 13,285 shares on June 2, 2025 with a market price of $274.58 and the table includes a cash payment of $129.38 in lieu of fractional shares representing 0.4712 shares of Class A Common Stock.</w:t>
      </w:r>
    </w:p>
    <w:p>
      <w:pPr>
        <w:spacing w:after="0" w:line="10" w:lineRule="exact"/>
        <w:rPr>
          <w:rFonts w:ascii="Arial" w:cs="Arial" w:eastAsia="Arial" w:hAnsi="Arial"/>
          <w:sz w:val="14"/>
          <w:szCs w:val="14"/>
          <w:color w:val="4C4C4C"/>
        </w:rPr>
      </w:pPr>
    </w:p>
    <w:p>
      <w:pPr>
        <w:ind w:left="246" w:hanging="246"/>
        <w:spacing w:after="0"/>
        <w:tabs>
          <w:tab w:leader="none" w:pos="246" w:val="left"/>
        </w:tabs>
        <w:numPr>
          <w:ilvl w:val="0"/>
          <w:numId w:val="83"/>
        </w:numPr>
        <w:rPr>
          <w:rFonts w:ascii="Arial" w:cs="Arial" w:eastAsia="Arial" w:hAnsi="Arial"/>
          <w:sz w:val="14"/>
          <w:szCs w:val="14"/>
          <w:color w:val="4C4C4C"/>
        </w:rPr>
      </w:pPr>
      <w:r>
        <w:rPr>
          <w:rFonts w:ascii="Arial" w:cs="Arial" w:eastAsia="Arial" w:hAnsi="Arial"/>
          <w:sz w:val="14"/>
          <w:szCs w:val="14"/>
          <w:color w:val="4C4C4C"/>
        </w:rPr>
        <w:t>Mr. Picicci acquired 5,244 shares upon vesting of his RSUs, with a market price of $289.745 on August 15, 2025.</w:t>
      </w:r>
    </w:p>
    <w:p>
      <w:pPr>
        <w:spacing w:after="0" w:line="55" w:lineRule="exact"/>
        <w:rPr>
          <w:rFonts w:ascii="Arial" w:cs="Arial" w:eastAsia="Arial" w:hAnsi="Arial"/>
          <w:sz w:val="14"/>
          <w:szCs w:val="14"/>
          <w:color w:val="4C4C4C"/>
        </w:rPr>
      </w:pPr>
    </w:p>
    <w:p>
      <w:pPr>
        <w:ind w:left="246" w:right="20" w:hanging="246"/>
        <w:spacing w:after="0" w:line="263" w:lineRule="auto"/>
        <w:tabs>
          <w:tab w:leader="none" w:pos="246" w:val="left"/>
        </w:tabs>
        <w:numPr>
          <w:ilvl w:val="0"/>
          <w:numId w:val="83"/>
        </w:numPr>
        <w:rPr>
          <w:rFonts w:ascii="Arial" w:cs="Arial" w:eastAsia="Arial" w:hAnsi="Arial"/>
          <w:sz w:val="14"/>
          <w:szCs w:val="14"/>
          <w:color w:val="4C4C4C"/>
        </w:rPr>
      </w:pPr>
      <w:r>
        <w:rPr>
          <w:rFonts w:ascii="Arial" w:cs="Arial" w:eastAsia="Arial" w:hAnsi="Arial"/>
          <w:sz w:val="14"/>
          <w:szCs w:val="14"/>
          <w:color w:val="4C4C4C"/>
        </w:rPr>
        <w:t>Ms. Alagoz acquired 5,232 shares upon vesting of her RSUs, with a market price of $289.745 on August 15, 2025. In connection with the vesting of her performance-based stock awards, Ms. Alagoz acquired 10,629 shares on June 2, 2025 with a market price of $274.58 and the table includes a cash payment of $226.25 in lieu of fractional shares representing 0.824 shares of Class A Common Stock.</w:t>
      </w:r>
    </w:p>
    <w:p>
      <w:pPr>
        <w:spacing w:after="0" w:line="10" w:lineRule="exact"/>
        <w:rPr>
          <w:rFonts w:ascii="Arial" w:cs="Arial" w:eastAsia="Arial" w:hAnsi="Arial"/>
          <w:sz w:val="14"/>
          <w:szCs w:val="14"/>
          <w:color w:val="4C4C4C"/>
        </w:rPr>
      </w:pPr>
    </w:p>
    <w:p>
      <w:pPr>
        <w:ind w:left="246" w:right="100" w:hanging="246"/>
        <w:spacing w:after="0" w:line="263" w:lineRule="auto"/>
        <w:tabs>
          <w:tab w:leader="none" w:pos="246" w:val="left"/>
        </w:tabs>
        <w:numPr>
          <w:ilvl w:val="0"/>
          <w:numId w:val="83"/>
        </w:numPr>
        <w:rPr>
          <w:rFonts w:ascii="Arial" w:cs="Arial" w:eastAsia="Arial" w:hAnsi="Arial"/>
          <w:sz w:val="14"/>
          <w:szCs w:val="14"/>
          <w:color w:val="4C4C4C"/>
        </w:rPr>
      </w:pPr>
      <w:r>
        <w:rPr>
          <w:rFonts w:ascii="Arial" w:cs="Arial" w:eastAsia="Arial" w:hAnsi="Arial"/>
          <w:sz w:val="14"/>
          <w:szCs w:val="14"/>
          <w:color w:val="4C4C4C"/>
        </w:rPr>
        <w:t>Mr. D. Lauren acquired 3,724 shares upon vesting of his RSUs, with a market price of $289.745 on August 15, 2025. In connection with the vesting of his performance-based stock awards, Mr. D. Lauren acquired 6,863 shares on June 2, 2025 with a market price of $274.58 and the table includes a cash payment of $244.05 in lieu of fractional shares representing 0.8888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582930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252730</wp:posOffset>
            </wp:positionV>
            <wp:extent cx="128905" cy="11112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82" w:lineRule="exact"/>
        <w:rPr>
          <w:sz w:val="20"/>
          <w:szCs w:val="20"/>
          <w:color w:val="auto"/>
        </w:rPr>
      </w:pPr>
    </w:p>
    <w:p>
      <w:pPr>
        <w:ind w:left="6546"/>
        <w:spacing w:after="0"/>
        <w:tabs>
          <w:tab w:leader="none" w:pos="9006"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126365</wp:posOffset>
            </wp:positionV>
            <wp:extent cx="6995160" cy="171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04" w:name="page105"/>
    <w:bookmarkEnd w:id="104"/>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NON-QUALIFIED DEFERRED COMPENSATION</w:t>
      </w:r>
    </w:p>
    <w:p>
      <w:pPr>
        <w:spacing w:after="0" w:line="153" w:lineRule="exact"/>
        <w:rPr>
          <w:sz w:val="20"/>
          <w:szCs w:val="20"/>
          <w:color w:val="auto"/>
        </w:rPr>
      </w:pPr>
    </w:p>
    <w:p>
      <w:pPr>
        <w:ind w:left="6" w:right="300"/>
        <w:spacing w:after="0" w:line="286" w:lineRule="auto"/>
        <w:rPr>
          <w:sz w:val="20"/>
          <w:szCs w:val="20"/>
          <w:color w:val="auto"/>
        </w:rPr>
      </w:pPr>
      <w:r>
        <w:rPr>
          <w:rFonts w:ascii="Arial" w:cs="Arial" w:eastAsia="Arial" w:hAnsi="Arial"/>
          <w:sz w:val="16"/>
          <w:szCs w:val="16"/>
          <w:color w:val="auto"/>
        </w:rPr>
        <w:t>The following table provides information with respect to our defined contribution and non-tax-qualified compensation deferral plans for each of our NEOs.</w:t>
      </w:r>
    </w:p>
    <w:p>
      <w:pPr>
        <w:spacing w:after="0" w:line="129" w:lineRule="exact"/>
        <w:rPr>
          <w:sz w:val="20"/>
          <w:szCs w:val="20"/>
          <w:color w:val="auto"/>
        </w:rPr>
      </w:pPr>
    </w:p>
    <w:tbl>
      <w:tblPr>
        <w:tblLayout w:type="fixed"/>
        <w:tblInd w:w="6" w:type="dxa"/>
        <w:tblCellMar>
          <w:top w:w="0" w:type="dxa"/>
          <w:left w:w="0" w:type="dxa"/>
          <w:bottom w:w="0" w:type="dxa"/>
          <w:right w:w="0" w:type="dxa"/>
        </w:tblCellMar>
      </w:tblPr>
      <w:tr>
        <w:trPr>
          <w:trHeight w:val="261"/>
        </w:trPr>
        <w:tc>
          <w:tcPr>
            <w:tcW w:w="1940" w:type="dxa"/>
            <w:vAlign w:val="bottom"/>
            <w:shd w:val="clear" w:color="auto" w:fill="001641"/>
          </w:tcPr>
          <w:p>
            <w:pPr>
              <w:spacing w:after="0"/>
              <w:rPr>
                <w:sz w:val="22"/>
                <w:szCs w:val="22"/>
                <w:color w:val="auto"/>
              </w:rPr>
            </w:pPr>
          </w:p>
        </w:tc>
        <w:tc>
          <w:tcPr>
            <w:tcW w:w="2000" w:type="dxa"/>
            <w:vAlign w:val="bottom"/>
            <w:shd w:val="clear" w:color="auto" w:fill="001641"/>
          </w:tcPr>
          <w:p>
            <w:pPr>
              <w:ind w:left="1060"/>
              <w:spacing w:after="0"/>
              <w:rPr>
                <w:sz w:val="20"/>
                <w:szCs w:val="20"/>
                <w:color w:val="auto"/>
              </w:rPr>
            </w:pPr>
            <w:r>
              <w:rPr>
                <w:rFonts w:ascii="Arial" w:cs="Arial" w:eastAsia="Arial" w:hAnsi="Arial"/>
                <w:sz w:val="14"/>
                <w:szCs w:val="14"/>
                <w:b w:val="1"/>
                <w:bCs w:val="1"/>
                <w:color w:val="FFFFFF"/>
              </w:rPr>
              <w:t>Executive</w:t>
            </w:r>
          </w:p>
        </w:tc>
        <w:tc>
          <w:tcPr>
            <w:tcW w:w="1420" w:type="dxa"/>
            <w:vAlign w:val="bottom"/>
            <w:shd w:val="clear" w:color="auto" w:fill="001641"/>
          </w:tcPr>
          <w:p>
            <w:pPr>
              <w:jc w:val="right"/>
              <w:ind w:right="188"/>
              <w:spacing w:after="0"/>
              <w:rPr>
                <w:sz w:val="20"/>
                <w:szCs w:val="20"/>
                <w:color w:val="auto"/>
              </w:rPr>
            </w:pPr>
            <w:r>
              <w:rPr>
                <w:rFonts w:ascii="Arial" w:cs="Arial" w:eastAsia="Arial" w:hAnsi="Arial"/>
                <w:sz w:val="14"/>
                <w:szCs w:val="14"/>
                <w:b w:val="1"/>
                <w:bCs w:val="1"/>
                <w:color w:val="FFFFFF"/>
              </w:rPr>
              <w:t>Registrant</w:t>
            </w:r>
          </w:p>
        </w:tc>
        <w:tc>
          <w:tcPr>
            <w:tcW w:w="1260" w:type="dxa"/>
            <w:vAlign w:val="bottom"/>
            <w:shd w:val="clear" w:color="auto" w:fill="001641"/>
          </w:tcPr>
          <w:p>
            <w:pPr>
              <w:jc w:val="right"/>
              <w:ind w:right="188"/>
              <w:spacing w:after="0"/>
              <w:rPr>
                <w:sz w:val="20"/>
                <w:szCs w:val="20"/>
                <w:color w:val="auto"/>
              </w:rPr>
            </w:pPr>
            <w:r>
              <w:rPr>
                <w:rFonts w:ascii="Arial" w:cs="Arial" w:eastAsia="Arial" w:hAnsi="Arial"/>
                <w:sz w:val="14"/>
                <w:szCs w:val="14"/>
                <w:b w:val="1"/>
                <w:bCs w:val="1"/>
                <w:color w:val="FFFFFF"/>
              </w:rPr>
              <w:t>Aggregate</w:t>
            </w:r>
          </w:p>
        </w:tc>
        <w:tc>
          <w:tcPr>
            <w:tcW w:w="1360" w:type="dxa"/>
            <w:vAlign w:val="bottom"/>
            <w:shd w:val="clear" w:color="auto" w:fill="001641"/>
          </w:tcPr>
          <w:p>
            <w:pPr>
              <w:ind w:left="380"/>
              <w:spacing w:after="0"/>
              <w:rPr>
                <w:sz w:val="20"/>
                <w:szCs w:val="20"/>
                <w:color w:val="auto"/>
              </w:rPr>
            </w:pPr>
            <w:r>
              <w:rPr>
                <w:rFonts w:ascii="Arial" w:cs="Arial" w:eastAsia="Arial" w:hAnsi="Arial"/>
                <w:sz w:val="14"/>
                <w:szCs w:val="14"/>
                <w:b w:val="1"/>
                <w:bCs w:val="1"/>
                <w:color w:val="FFFFFF"/>
              </w:rPr>
              <w:t>Aggregate</w:t>
            </w:r>
          </w:p>
        </w:tc>
        <w:tc>
          <w:tcPr>
            <w:tcW w:w="1200" w:type="dxa"/>
            <w:vAlign w:val="bottom"/>
            <w:shd w:val="clear" w:color="auto" w:fill="001641"/>
          </w:tcPr>
          <w:p>
            <w:pPr>
              <w:jc w:val="right"/>
              <w:ind w:right="68"/>
              <w:spacing w:after="0"/>
              <w:rPr>
                <w:sz w:val="20"/>
                <w:szCs w:val="20"/>
                <w:color w:val="auto"/>
              </w:rPr>
            </w:pPr>
            <w:r>
              <w:rPr>
                <w:rFonts w:ascii="Arial" w:cs="Arial" w:eastAsia="Arial" w:hAnsi="Arial"/>
                <w:sz w:val="14"/>
                <w:szCs w:val="14"/>
                <w:b w:val="1"/>
                <w:bCs w:val="1"/>
                <w:color w:val="FFFFFF"/>
              </w:rPr>
              <w:t>Aggregate</w:t>
            </w:r>
          </w:p>
        </w:tc>
      </w:tr>
      <w:tr>
        <w:trPr>
          <w:trHeight w:val="162"/>
        </w:trPr>
        <w:tc>
          <w:tcPr>
            <w:tcW w:w="1940" w:type="dxa"/>
            <w:vAlign w:val="bottom"/>
            <w:shd w:val="clear" w:color="auto" w:fill="001641"/>
          </w:tcPr>
          <w:p>
            <w:pPr>
              <w:spacing w:after="0"/>
              <w:rPr>
                <w:sz w:val="14"/>
                <w:szCs w:val="14"/>
                <w:color w:val="auto"/>
              </w:rPr>
            </w:pPr>
          </w:p>
        </w:tc>
        <w:tc>
          <w:tcPr>
            <w:tcW w:w="2000" w:type="dxa"/>
            <w:vAlign w:val="bottom"/>
            <w:shd w:val="clear" w:color="auto" w:fill="001641"/>
          </w:tcPr>
          <w:p>
            <w:pPr>
              <w:jc w:val="right"/>
              <w:ind w:right="168"/>
              <w:spacing w:after="0"/>
              <w:rPr>
                <w:sz w:val="20"/>
                <w:szCs w:val="20"/>
                <w:color w:val="auto"/>
              </w:rPr>
            </w:pPr>
            <w:r>
              <w:rPr>
                <w:rFonts w:ascii="Arial" w:cs="Arial" w:eastAsia="Arial" w:hAnsi="Arial"/>
                <w:sz w:val="14"/>
                <w:szCs w:val="14"/>
                <w:b w:val="1"/>
                <w:bCs w:val="1"/>
                <w:color w:val="FFFFFF"/>
              </w:rPr>
              <w:t>Contributions</w:t>
            </w:r>
          </w:p>
        </w:tc>
        <w:tc>
          <w:tcPr>
            <w:tcW w:w="1420" w:type="dxa"/>
            <w:vAlign w:val="bottom"/>
            <w:shd w:val="clear" w:color="auto" w:fill="001641"/>
          </w:tcPr>
          <w:p>
            <w:pPr>
              <w:jc w:val="right"/>
              <w:ind w:right="188"/>
              <w:spacing w:after="0"/>
              <w:rPr>
                <w:sz w:val="20"/>
                <w:szCs w:val="20"/>
                <w:color w:val="auto"/>
              </w:rPr>
            </w:pPr>
            <w:r>
              <w:rPr>
                <w:rFonts w:ascii="Arial" w:cs="Arial" w:eastAsia="Arial" w:hAnsi="Arial"/>
                <w:sz w:val="14"/>
                <w:szCs w:val="14"/>
                <w:b w:val="1"/>
                <w:bCs w:val="1"/>
                <w:color w:val="FFFFFF"/>
              </w:rPr>
              <w:t>Contributions</w:t>
            </w:r>
          </w:p>
        </w:tc>
        <w:tc>
          <w:tcPr>
            <w:tcW w:w="1260" w:type="dxa"/>
            <w:vAlign w:val="bottom"/>
            <w:shd w:val="clear" w:color="auto" w:fill="001641"/>
          </w:tcPr>
          <w:p>
            <w:pPr>
              <w:jc w:val="right"/>
              <w:ind w:right="188"/>
              <w:spacing w:after="0"/>
              <w:rPr>
                <w:sz w:val="20"/>
                <w:szCs w:val="20"/>
                <w:color w:val="auto"/>
              </w:rPr>
            </w:pPr>
            <w:r>
              <w:rPr>
                <w:rFonts w:ascii="Arial" w:cs="Arial" w:eastAsia="Arial" w:hAnsi="Arial"/>
                <w:sz w:val="14"/>
                <w:szCs w:val="14"/>
                <w:b w:val="1"/>
                <w:bCs w:val="1"/>
                <w:color w:val="FFFFFF"/>
              </w:rPr>
              <w:t>Earnings</w:t>
            </w:r>
          </w:p>
        </w:tc>
        <w:tc>
          <w:tcPr>
            <w:tcW w:w="1360" w:type="dxa"/>
            <w:vAlign w:val="bottom"/>
            <w:shd w:val="clear" w:color="auto" w:fill="001641"/>
          </w:tcPr>
          <w:p>
            <w:pPr>
              <w:jc w:val="right"/>
              <w:ind w:right="168"/>
              <w:spacing w:after="0"/>
              <w:rPr>
                <w:sz w:val="20"/>
                <w:szCs w:val="20"/>
                <w:color w:val="auto"/>
              </w:rPr>
            </w:pPr>
            <w:r>
              <w:rPr>
                <w:rFonts w:ascii="Arial" w:cs="Arial" w:eastAsia="Arial" w:hAnsi="Arial"/>
                <w:sz w:val="14"/>
                <w:szCs w:val="14"/>
                <w:b w:val="1"/>
                <w:bCs w:val="1"/>
                <w:color w:val="FFFFFF"/>
              </w:rPr>
              <w:t>Withdrawals/</w:t>
            </w:r>
          </w:p>
        </w:tc>
        <w:tc>
          <w:tcPr>
            <w:tcW w:w="1200" w:type="dxa"/>
            <w:vAlign w:val="bottom"/>
            <w:shd w:val="clear" w:color="auto" w:fill="001641"/>
          </w:tcPr>
          <w:p>
            <w:pPr>
              <w:jc w:val="right"/>
              <w:ind w:right="68"/>
              <w:spacing w:after="0"/>
              <w:rPr>
                <w:sz w:val="20"/>
                <w:szCs w:val="20"/>
                <w:color w:val="auto"/>
              </w:rPr>
            </w:pPr>
            <w:r>
              <w:rPr>
                <w:rFonts w:ascii="Arial" w:cs="Arial" w:eastAsia="Arial" w:hAnsi="Arial"/>
                <w:sz w:val="14"/>
                <w:szCs w:val="14"/>
                <w:b w:val="1"/>
                <w:bCs w:val="1"/>
                <w:color w:val="FFFFFF"/>
              </w:rPr>
              <w:t>Balance at</w:t>
            </w:r>
          </w:p>
        </w:tc>
      </w:tr>
      <w:tr>
        <w:trPr>
          <w:trHeight w:val="162"/>
        </w:trPr>
        <w:tc>
          <w:tcPr>
            <w:tcW w:w="1940" w:type="dxa"/>
            <w:vAlign w:val="bottom"/>
            <w:shd w:val="clear" w:color="auto" w:fill="001641"/>
          </w:tcPr>
          <w:p>
            <w:pPr>
              <w:spacing w:after="0"/>
              <w:rPr>
                <w:sz w:val="14"/>
                <w:szCs w:val="14"/>
                <w:color w:val="auto"/>
              </w:rPr>
            </w:pPr>
          </w:p>
        </w:tc>
        <w:tc>
          <w:tcPr>
            <w:tcW w:w="2000" w:type="dxa"/>
            <w:vAlign w:val="bottom"/>
            <w:shd w:val="clear" w:color="auto" w:fill="001641"/>
          </w:tcPr>
          <w:p>
            <w:pPr>
              <w:ind w:left="1040"/>
              <w:spacing w:after="0"/>
              <w:rPr>
                <w:sz w:val="20"/>
                <w:szCs w:val="20"/>
                <w:color w:val="auto"/>
              </w:rPr>
            </w:pPr>
            <w:r>
              <w:rPr>
                <w:rFonts w:ascii="Arial" w:cs="Arial" w:eastAsia="Arial" w:hAnsi="Arial"/>
                <w:sz w:val="14"/>
                <w:szCs w:val="14"/>
                <w:b w:val="1"/>
                <w:bCs w:val="1"/>
                <w:color w:val="FFFFFF"/>
              </w:rPr>
              <w:t>in Last FY</w:t>
            </w:r>
          </w:p>
        </w:tc>
        <w:tc>
          <w:tcPr>
            <w:tcW w:w="1420" w:type="dxa"/>
            <w:vAlign w:val="bottom"/>
            <w:shd w:val="clear" w:color="auto" w:fill="001641"/>
          </w:tcPr>
          <w:p>
            <w:pPr>
              <w:jc w:val="right"/>
              <w:ind w:right="188"/>
              <w:spacing w:after="0"/>
              <w:rPr>
                <w:sz w:val="20"/>
                <w:szCs w:val="20"/>
                <w:color w:val="auto"/>
              </w:rPr>
            </w:pPr>
            <w:r>
              <w:rPr>
                <w:rFonts w:ascii="Arial" w:cs="Arial" w:eastAsia="Arial" w:hAnsi="Arial"/>
                <w:sz w:val="14"/>
                <w:szCs w:val="14"/>
                <w:b w:val="1"/>
                <w:bCs w:val="1"/>
                <w:color w:val="FFFFFF"/>
              </w:rPr>
              <w:t>in Last FY</w:t>
            </w:r>
          </w:p>
        </w:tc>
        <w:tc>
          <w:tcPr>
            <w:tcW w:w="1260" w:type="dxa"/>
            <w:vAlign w:val="bottom"/>
            <w:shd w:val="clear" w:color="auto" w:fill="001641"/>
          </w:tcPr>
          <w:p>
            <w:pPr>
              <w:jc w:val="right"/>
              <w:ind w:right="188"/>
              <w:spacing w:after="0"/>
              <w:rPr>
                <w:sz w:val="20"/>
                <w:szCs w:val="20"/>
                <w:color w:val="auto"/>
              </w:rPr>
            </w:pPr>
            <w:r>
              <w:rPr>
                <w:rFonts w:ascii="Arial" w:cs="Arial" w:eastAsia="Arial" w:hAnsi="Arial"/>
                <w:sz w:val="14"/>
                <w:szCs w:val="14"/>
                <w:b w:val="1"/>
                <w:bCs w:val="1"/>
                <w:color w:val="FFFFFF"/>
              </w:rPr>
              <w:t>in Last FY</w:t>
            </w:r>
          </w:p>
        </w:tc>
        <w:tc>
          <w:tcPr>
            <w:tcW w:w="1360" w:type="dxa"/>
            <w:vAlign w:val="bottom"/>
            <w:shd w:val="clear" w:color="auto" w:fill="001641"/>
          </w:tcPr>
          <w:p>
            <w:pPr>
              <w:jc w:val="right"/>
              <w:ind w:right="168"/>
              <w:spacing w:after="0"/>
              <w:rPr>
                <w:sz w:val="20"/>
                <w:szCs w:val="20"/>
                <w:color w:val="auto"/>
              </w:rPr>
            </w:pPr>
            <w:r>
              <w:rPr>
                <w:rFonts w:ascii="Arial" w:cs="Arial" w:eastAsia="Arial" w:hAnsi="Arial"/>
                <w:sz w:val="14"/>
                <w:szCs w:val="14"/>
                <w:b w:val="1"/>
                <w:bCs w:val="1"/>
                <w:color w:val="FFFFFF"/>
              </w:rPr>
              <w:t>Distributions</w:t>
            </w:r>
          </w:p>
        </w:tc>
        <w:tc>
          <w:tcPr>
            <w:tcW w:w="1200" w:type="dxa"/>
            <w:vAlign w:val="bottom"/>
            <w:shd w:val="clear" w:color="auto" w:fill="001641"/>
          </w:tcPr>
          <w:p>
            <w:pPr>
              <w:jc w:val="right"/>
              <w:ind w:right="68"/>
              <w:spacing w:after="0"/>
              <w:rPr>
                <w:sz w:val="20"/>
                <w:szCs w:val="20"/>
                <w:color w:val="auto"/>
              </w:rPr>
            </w:pPr>
            <w:r>
              <w:rPr>
                <w:rFonts w:ascii="Arial" w:cs="Arial" w:eastAsia="Arial" w:hAnsi="Arial"/>
                <w:sz w:val="14"/>
                <w:szCs w:val="14"/>
                <w:b w:val="1"/>
                <w:bCs w:val="1"/>
                <w:color w:val="FFFFFF"/>
              </w:rPr>
              <w:t>Last FYE</w:t>
            </w:r>
          </w:p>
        </w:tc>
      </w:tr>
      <w:tr>
        <w:trPr>
          <w:trHeight w:val="212"/>
        </w:trPr>
        <w:tc>
          <w:tcPr>
            <w:tcW w:w="1940" w:type="dxa"/>
            <w:vAlign w:val="bottom"/>
            <w:shd w:val="clear" w:color="auto" w:fill="001641"/>
          </w:tcPr>
          <w:p>
            <w:pPr>
              <w:ind w:left="120"/>
              <w:spacing w:after="0"/>
              <w:rPr>
                <w:sz w:val="20"/>
                <w:szCs w:val="20"/>
                <w:color w:val="auto"/>
              </w:rPr>
            </w:pPr>
            <w:r>
              <w:rPr>
                <w:rFonts w:ascii="Arial" w:cs="Arial" w:eastAsia="Arial" w:hAnsi="Arial"/>
                <w:sz w:val="14"/>
                <w:szCs w:val="14"/>
                <w:b w:val="1"/>
                <w:bCs w:val="1"/>
                <w:color w:val="FFFFFF"/>
              </w:rPr>
              <w:t>Name</w:t>
            </w:r>
          </w:p>
        </w:tc>
        <w:tc>
          <w:tcPr>
            <w:tcW w:w="2000" w:type="dxa"/>
            <w:vAlign w:val="bottom"/>
            <w:shd w:val="clear" w:color="auto" w:fill="001641"/>
          </w:tcPr>
          <w:p>
            <w:pPr>
              <w:jc w:val="right"/>
              <w:ind w:right="168"/>
              <w:spacing w:after="0"/>
              <w:rPr>
                <w:sz w:val="20"/>
                <w:szCs w:val="20"/>
                <w:color w:val="auto"/>
              </w:rPr>
            </w:pPr>
            <w:r>
              <w:rPr>
                <w:rFonts w:ascii="Arial" w:cs="Arial" w:eastAsia="Arial" w:hAnsi="Arial"/>
                <w:sz w:val="14"/>
                <w:szCs w:val="14"/>
                <w:b w:val="1"/>
                <w:bCs w:val="1"/>
                <w:color w:val="FFFFFF"/>
              </w:rPr>
              <w:t>($)</w:t>
            </w:r>
          </w:p>
        </w:tc>
        <w:tc>
          <w:tcPr>
            <w:tcW w:w="1420" w:type="dxa"/>
            <w:vAlign w:val="bottom"/>
            <w:shd w:val="clear" w:color="auto" w:fill="001641"/>
          </w:tcPr>
          <w:p>
            <w:pPr>
              <w:jc w:val="right"/>
              <w:ind w:right="148"/>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001641"/>
          </w:tcPr>
          <w:p>
            <w:pPr>
              <w:jc w:val="right"/>
              <w:ind w:right="148"/>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001641"/>
          </w:tcPr>
          <w:p>
            <w:pPr>
              <w:jc w:val="right"/>
              <w:ind w:right="168"/>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001641"/>
          </w:tcPr>
          <w:p>
            <w:pPr>
              <w:jc w:val="right"/>
              <w:ind w:right="28"/>
              <w:spacing w:after="0"/>
              <w:rPr>
                <w:sz w:val="20"/>
                <w:szCs w:val="20"/>
                <w:color w:val="auto"/>
              </w:rPr>
            </w:pPr>
            <w:r>
              <w:rPr>
                <w:rFonts w:ascii="Arial" w:cs="Arial" w:eastAsia="Arial" w:hAnsi="Arial"/>
                <w:sz w:val="14"/>
                <w:szCs w:val="14"/>
                <w:b w:val="1"/>
                <w:bCs w:val="1"/>
                <w:color w:val="FFFFFF"/>
              </w:rPr>
              <w:t>($)</w:t>
            </w:r>
          </w:p>
        </w:tc>
      </w:tr>
      <w:tr>
        <w:trPr>
          <w:trHeight w:val="270"/>
        </w:trPr>
        <w:tc>
          <w:tcPr>
            <w:tcW w:w="1940" w:type="dxa"/>
            <w:vAlign w:val="bottom"/>
            <w:tcBorders>
              <w:bottom w:val="single" w:sz="8" w:color="BFA071"/>
            </w:tcBorders>
          </w:tcPr>
          <w:p>
            <w:pPr>
              <w:ind w:left="120"/>
              <w:spacing w:after="0"/>
              <w:rPr>
                <w:sz w:val="20"/>
                <w:szCs w:val="20"/>
                <w:color w:val="auto"/>
              </w:rPr>
            </w:pPr>
            <w:r>
              <w:rPr>
                <w:rFonts w:ascii="Arial" w:cs="Arial" w:eastAsia="Arial" w:hAnsi="Arial"/>
                <w:sz w:val="14"/>
                <w:szCs w:val="14"/>
                <w:b w:val="1"/>
                <w:bCs w:val="1"/>
                <w:color w:val="001641"/>
              </w:rPr>
              <w:t>Ralph Lauren</w:t>
            </w:r>
          </w:p>
        </w:tc>
        <w:tc>
          <w:tcPr>
            <w:tcW w:w="2000" w:type="dxa"/>
            <w:vAlign w:val="bottom"/>
            <w:tcBorders>
              <w:bottom w:val="single" w:sz="8" w:color="BFA071"/>
            </w:tcBorders>
          </w:tcPr>
          <w:p>
            <w:pPr>
              <w:ind w:left="1500"/>
              <w:spacing w:after="0"/>
              <w:rPr>
                <w:sz w:val="20"/>
                <w:szCs w:val="20"/>
                <w:color w:val="auto"/>
              </w:rPr>
            </w:pPr>
            <w:r>
              <w:rPr>
                <w:rFonts w:ascii="Arial" w:cs="Arial" w:eastAsia="Arial" w:hAnsi="Arial"/>
                <w:sz w:val="14"/>
                <w:szCs w:val="14"/>
                <w:color w:val="001641"/>
              </w:rPr>
              <w:t>—</w:t>
            </w:r>
          </w:p>
        </w:tc>
        <w:tc>
          <w:tcPr>
            <w:tcW w:w="1420" w:type="dxa"/>
            <w:vAlign w:val="bottom"/>
            <w:tcBorders>
              <w:bottom w:val="single" w:sz="8" w:color="BFA071"/>
            </w:tcBorders>
          </w:tcPr>
          <w:p>
            <w:pPr>
              <w:jc w:val="right"/>
              <w:ind w:right="148"/>
              <w:spacing w:after="0"/>
              <w:rPr>
                <w:sz w:val="20"/>
                <w:szCs w:val="20"/>
                <w:color w:val="auto"/>
              </w:rPr>
            </w:pPr>
            <w:r>
              <w:rPr>
                <w:rFonts w:ascii="Arial" w:cs="Arial" w:eastAsia="Arial" w:hAnsi="Arial"/>
                <w:sz w:val="14"/>
                <w:szCs w:val="14"/>
                <w:color w:val="001641"/>
              </w:rPr>
              <w:t>1,852,339</w:t>
            </w:r>
            <w:r>
              <w:rPr>
                <w:rFonts w:ascii="Arial" w:cs="Arial" w:eastAsia="Arial" w:hAnsi="Arial"/>
                <w:sz w:val="23"/>
                <w:szCs w:val="23"/>
                <w:color w:val="001641"/>
                <w:vertAlign w:val="superscript"/>
              </w:rPr>
              <w:t>1</w:t>
            </w:r>
          </w:p>
        </w:tc>
        <w:tc>
          <w:tcPr>
            <w:tcW w:w="126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58,378,626</w:t>
            </w:r>
            <w:r>
              <w:rPr>
                <w:rFonts w:ascii="Arial" w:cs="Arial" w:eastAsia="Arial" w:hAnsi="Arial"/>
                <w:sz w:val="23"/>
                <w:szCs w:val="23"/>
                <w:color w:val="001641"/>
                <w:vertAlign w:val="superscript"/>
              </w:rPr>
              <w:t>2</w:t>
            </w:r>
          </w:p>
        </w:tc>
        <w:tc>
          <w:tcPr>
            <w:tcW w:w="1360" w:type="dxa"/>
            <w:vAlign w:val="bottom"/>
            <w:tcBorders>
              <w:bottom w:val="single" w:sz="8" w:color="BFA071"/>
            </w:tcBorders>
          </w:tcPr>
          <w:p>
            <w:pPr>
              <w:ind w:left="880"/>
              <w:spacing w:after="0"/>
              <w:rPr>
                <w:sz w:val="20"/>
                <w:szCs w:val="20"/>
                <w:color w:val="auto"/>
              </w:rPr>
            </w:pPr>
            <w:r>
              <w:rPr>
                <w:rFonts w:ascii="Arial" w:cs="Arial" w:eastAsia="Arial" w:hAnsi="Arial"/>
                <w:sz w:val="14"/>
                <w:szCs w:val="14"/>
                <w:color w:val="001641"/>
              </w:rPr>
              <w:t>—</w:t>
            </w:r>
          </w:p>
        </w:tc>
        <w:tc>
          <w:tcPr>
            <w:tcW w:w="1200" w:type="dxa"/>
            <w:vAlign w:val="bottom"/>
            <w:tcBorders>
              <w:bottom w:val="single" w:sz="8" w:color="BFA071"/>
            </w:tcBorders>
          </w:tcPr>
          <w:p>
            <w:pPr>
              <w:jc w:val="right"/>
              <w:ind w:right="48"/>
              <w:spacing w:after="0"/>
              <w:rPr>
                <w:sz w:val="20"/>
                <w:szCs w:val="20"/>
                <w:color w:val="auto"/>
              </w:rPr>
            </w:pPr>
            <w:r>
              <w:rPr>
                <w:rFonts w:ascii="Arial" w:cs="Arial" w:eastAsia="Arial" w:hAnsi="Arial"/>
                <w:sz w:val="14"/>
                <w:szCs w:val="14"/>
                <w:color w:val="001641"/>
              </w:rPr>
              <w:t>172,557,753</w:t>
            </w:r>
            <w:r>
              <w:rPr>
                <w:rFonts w:ascii="Arial" w:cs="Arial" w:eastAsia="Arial" w:hAnsi="Arial"/>
                <w:sz w:val="23"/>
                <w:szCs w:val="23"/>
                <w:color w:val="001641"/>
                <w:vertAlign w:val="superscript"/>
              </w:rPr>
              <w:t>3</w:t>
            </w:r>
          </w:p>
        </w:tc>
      </w:tr>
      <w:tr>
        <w:trPr>
          <w:trHeight w:val="216"/>
        </w:trPr>
        <w:tc>
          <w:tcPr>
            <w:tcW w:w="1940" w:type="dxa"/>
            <w:vAlign w:val="bottom"/>
            <w:tcBorders>
              <w:bottom w:val="single" w:sz="8" w:color="BFA071"/>
            </w:tcBorders>
          </w:tcPr>
          <w:p>
            <w:pPr>
              <w:ind w:left="120"/>
              <w:spacing w:after="0"/>
              <w:rPr>
                <w:sz w:val="20"/>
                <w:szCs w:val="20"/>
                <w:color w:val="auto"/>
              </w:rPr>
            </w:pPr>
            <w:r>
              <w:rPr>
                <w:rFonts w:ascii="Arial" w:cs="Arial" w:eastAsia="Arial" w:hAnsi="Arial"/>
                <w:sz w:val="14"/>
                <w:szCs w:val="14"/>
                <w:b w:val="1"/>
                <w:bCs w:val="1"/>
                <w:color w:val="001641"/>
              </w:rPr>
              <w:t>Patrice Louvet</w:t>
            </w:r>
          </w:p>
        </w:tc>
        <w:tc>
          <w:tcPr>
            <w:tcW w:w="2000" w:type="dxa"/>
            <w:vAlign w:val="bottom"/>
            <w:tcBorders>
              <w:bottom w:val="single" w:sz="8" w:color="BFA071"/>
            </w:tcBorders>
          </w:tcPr>
          <w:p>
            <w:pPr>
              <w:ind w:left="1500"/>
              <w:spacing w:after="0"/>
              <w:rPr>
                <w:sz w:val="20"/>
                <w:szCs w:val="20"/>
                <w:color w:val="auto"/>
              </w:rPr>
            </w:pPr>
            <w:r>
              <w:rPr>
                <w:rFonts w:ascii="Arial" w:cs="Arial" w:eastAsia="Arial" w:hAnsi="Arial"/>
                <w:sz w:val="14"/>
                <w:szCs w:val="14"/>
                <w:color w:val="001641"/>
              </w:rPr>
              <w:t>—</w:t>
            </w:r>
          </w:p>
        </w:tc>
        <w:tc>
          <w:tcPr>
            <w:tcW w:w="1420" w:type="dxa"/>
            <w:vAlign w:val="bottom"/>
            <w:tcBorders>
              <w:bottom w:val="single" w:sz="8" w:color="BFA071"/>
            </w:tcBorders>
          </w:tcPr>
          <w:p>
            <w:pPr>
              <w:jc w:val="right"/>
              <w:ind w:right="208"/>
              <w:spacing w:after="0"/>
              <w:rPr>
                <w:sz w:val="20"/>
                <w:szCs w:val="20"/>
                <w:color w:val="auto"/>
              </w:rPr>
            </w:pPr>
            <w:r>
              <w:rPr>
                <w:rFonts w:ascii="Arial" w:cs="Arial" w:eastAsia="Arial" w:hAnsi="Arial"/>
                <w:sz w:val="14"/>
                <w:szCs w:val="14"/>
                <w:color w:val="001641"/>
              </w:rPr>
              <w:t>—</w:t>
            </w:r>
          </w:p>
        </w:tc>
        <w:tc>
          <w:tcPr>
            <w:tcW w:w="1260" w:type="dxa"/>
            <w:vAlign w:val="bottom"/>
            <w:tcBorders>
              <w:bottom w:val="single" w:sz="8" w:color="BFA071"/>
            </w:tcBorders>
          </w:tcPr>
          <w:p>
            <w:pPr>
              <w:ind w:left="820"/>
              <w:spacing w:after="0"/>
              <w:rPr>
                <w:sz w:val="20"/>
                <w:szCs w:val="20"/>
                <w:color w:val="auto"/>
              </w:rPr>
            </w:pPr>
            <w:r>
              <w:rPr>
                <w:rFonts w:ascii="Arial" w:cs="Arial" w:eastAsia="Arial" w:hAnsi="Arial"/>
                <w:sz w:val="14"/>
                <w:szCs w:val="14"/>
                <w:color w:val="001641"/>
              </w:rPr>
              <w:t>—</w:t>
            </w:r>
          </w:p>
        </w:tc>
        <w:tc>
          <w:tcPr>
            <w:tcW w:w="1360" w:type="dxa"/>
            <w:vAlign w:val="bottom"/>
            <w:tcBorders>
              <w:bottom w:val="single" w:sz="8" w:color="BFA071"/>
            </w:tcBorders>
          </w:tcPr>
          <w:p>
            <w:pPr>
              <w:ind w:left="880"/>
              <w:spacing w:after="0"/>
              <w:rPr>
                <w:sz w:val="20"/>
                <w:szCs w:val="20"/>
                <w:color w:val="auto"/>
              </w:rPr>
            </w:pPr>
            <w:r>
              <w:rPr>
                <w:rFonts w:ascii="Arial" w:cs="Arial" w:eastAsia="Arial" w:hAnsi="Arial"/>
                <w:sz w:val="14"/>
                <w:szCs w:val="14"/>
                <w:color w:val="001641"/>
              </w:rPr>
              <w:t>—</w:t>
            </w:r>
          </w:p>
        </w:tc>
        <w:tc>
          <w:tcPr>
            <w:tcW w:w="1200" w:type="dxa"/>
            <w:vAlign w:val="bottom"/>
            <w:tcBorders>
              <w:bottom w:val="single" w:sz="8" w:color="BFA071"/>
            </w:tcBorders>
          </w:tcPr>
          <w:p>
            <w:pPr>
              <w:ind w:left="880"/>
              <w:spacing w:after="0"/>
              <w:rPr>
                <w:sz w:val="20"/>
                <w:szCs w:val="20"/>
                <w:color w:val="auto"/>
              </w:rPr>
            </w:pPr>
            <w:r>
              <w:rPr>
                <w:rFonts w:ascii="Arial" w:cs="Arial" w:eastAsia="Arial" w:hAnsi="Arial"/>
                <w:sz w:val="14"/>
                <w:szCs w:val="14"/>
                <w:color w:val="001641"/>
              </w:rPr>
              <w:t>—</w:t>
            </w:r>
          </w:p>
        </w:tc>
      </w:tr>
      <w:tr>
        <w:trPr>
          <w:trHeight w:val="223"/>
        </w:trPr>
        <w:tc>
          <w:tcPr>
            <w:tcW w:w="1940" w:type="dxa"/>
            <w:vAlign w:val="bottom"/>
            <w:tcBorders>
              <w:bottom w:val="single" w:sz="8" w:color="BFA071"/>
            </w:tcBorders>
          </w:tcPr>
          <w:p>
            <w:pPr>
              <w:ind w:left="120"/>
              <w:spacing w:after="0"/>
              <w:rPr>
                <w:sz w:val="20"/>
                <w:szCs w:val="20"/>
                <w:color w:val="auto"/>
              </w:rPr>
            </w:pPr>
            <w:r>
              <w:rPr>
                <w:rFonts w:ascii="Arial" w:cs="Arial" w:eastAsia="Arial" w:hAnsi="Arial"/>
                <w:sz w:val="14"/>
                <w:szCs w:val="14"/>
                <w:b w:val="1"/>
                <w:bCs w:val="1"/>
                <w:color w:val="001641"/>
              </w:rPr>
              <w:t>Robert Ranftl</w:t>
            </w:r>
          </w:p>
        </w:tc>
        <w:tc>
          <w:tcPr>
            <w:tcW w:w="2000" w:type="dxa"/>
            <w:vAlign w:val="bottom"/>
            <w:tcBorders>
              <w:bottom w:val="single" w:sz="8" w:color="BFA071"/>
            </w:tcBorders>
          </w:tcPr>
          <w:p>
            <w:pPr>
              <w:ind w:left="1500"/>
              <w:spacing w:after="0"/>
              <w:rPr>
                <w:sz w:val="20"/>
                <w:szCs w:val="20"/>
                <w:color w:val="auto"/>
              </w:rPr>
            </w:pPr>
            <w:r>
              <w:rPr>
                <w:rFonts w:ascii="Arial" w:cs="Arial" w:eastAsia="Arial" w:hAnsi="Arial"/>
                <w:sz w:val="14"/>
                <w:szCs w:val="14"/>
                <w:color w:val="001641"/>
              </w:rPr>
              <w:t>—</w:t>
            </w:r>
          </w:p>
        </w:tc>
        <w:tc>
          <w:tcPr>
            <w:tcW w:w="1420" w:type="dxa"/>
            <w:vAlign w:val="bottom"/>
            <w:tcBorders>
              <w:bottom w:val="single" w:sz="8" w:color="BFA071"/>
            </w:tcBorders>
          </w:tcPr>
          <w:p>
            <w:pPr>
              <w:jc w:val="right"/>
              <w:ind w:right="208"/>
              <w:spacing w:after="0"/>
              <w:rPr>
                <w:sz w:val="20"/>
                <w:szCs w:val="20"/>
                <w:color w:val="auto"/>
              </w:rPr>
            </w:pPr>
            <w:r>
              <w:rPr>
                <w:rFonts w:ascii="Arial" w:cs="Arial" w:eastAsia="Arial" w:hAnsi="Arial"/>
                <w:sz w:val="14"/>
                <w:szCs w:val="14"/>
                <w:color w:val="001641"/>
              </w:rPr>
              <w:t>—</w:t>
            </w:r>
          </w:p>
        </w:tc>
        <w:tc>
          <w:tcPr>
            <w:tcW w:w="1260" w:type="dxa"/>
            <w:vAlign w:val="bottom"/>
            <w:tcBorders>
              <w:bottom w:val="single" w:sz="8" w:color="BFA071"/>
            </w:tcBorders>
          </w:tcPr>
          <w:p>
            <w:pPr>
              <w:ind w:left="820"/>
              <w:spacing w:after="0"/>
              <w:rPr>
                <w:sz w:val="20"/>
                <w:szCs w:val="20"/>
                <w:color w:val="auto"/>
              </w:rPr>
            </w:pPr>
            <w:r>
              <w:rPr>
                <w:rFonts w:ascii="Arial" w:cs="Arial" w:eastAsia="Arial" w:hAnsi="Arial"/>
                <w:sz w:val="14"/>
                <w:szCs w:val="14"/>
                <w:color w:val="001641"/>
              </w:rPr>
              <w:t>—</w:t>
            </w:r>
          </w:p>
        </w:tc>
        <w:tc>
          <w:tcPr>
            <w:tcW w:w="1360" w:type="dxa"/>
            <w:vAlign w:val="bottom"/>
            <w:tcBorders>
              <w:bottom w:val="single" w:sz="8" w:color="BFA071"/>
            </w:tcBorders>
          </w:tcPr>
          <w:p>
            <w:pPr>
              <w:ind w:left="880"/>
              <w:spacing w:after="0"/>
              <w:rPr>
                <w:sz w:val="20"/>
                <w:szCs w:val="20"/>
                <w:color w:val="auto"/>
              </w:rPr>
            </w:pPr>
            <w:r>
              <w:rPr>
                <w:rFonts w:ascii="Arial" w:cs="Arial" w:eastAsia="Arial" w:hAnsi="Arial"/>
                <w:sz w:val="14"/>
                <w:szCs w:val="14"/>
                <w:color w:val="001641"/>
              </w:rPr>
              <w:t>—</w:t>
            </w:r>
          </w:p>
        </w:tc>
        <w:tc>
          <w:tcPr>
            <w:tcW w:w="1200" w:type="dxa"/>
            <w:vAlign w:val="bottom"/>
            <w:tcBorders>
              <w:bottom w:val="single" w:sz="8" w:color="BFA071"/>
            </w:tcBorders>
          </w:tcPr>
          <w:p>
            <w:pPr>
              <w:ind w:left="880"/>
              <w:spacing w:after="0"/>
              <w:rPr>
                <w:sz w:val="20"/>
                <w:szCs w:val="20"/>
                <w:color w:val="auto"/>
              </w:rPr>
            </w:pPr>
            <w:r>
              <w:rPr>
                <w:rFonts w:ascii="Arial" w:cs="Arial" w:eastAsia="Arial" w:hAnsi="Arial"/>
                <w:sz w:val="14"/>
                <w:szCs w:val="14"/>
                <w:color w:val="001641"/>
              </w:rPr>
              <w:t>—</w:t>
            </w:r>
          </w:p>
        </w:tc>
      </w:tr>
      <w:tr>
        <w:trPr>
          <w:trHeight w:val="223"/>
        </w:trPr>
        <w:tc>
          <w:tcPr>
            <w:tcW w:w="1940" w:type="dxa"/>
            <w:vAlign w:val="bottom"/>
            <w:tcBorders>
              <w:bottom w:val="single" w:sz="8" w:color="BFA071"/>
            </w:tcBorders>
          </w:tcPr>
          <w:p>
            <w:pPr>
              <w:ind w:left="120"/>
              <w:spacing w:after="0"/>
              <w:rPr>
                <w:sz w:val="20"/>
                <w:szCs w:val="20"/>
                <w:color w:val="auto"/>
              </w:rPr>
            </w:pPr>
            <w:r>
              <w:rPr>
                <w:rFonts w:ascii="Arial" w:cs="Arial" w:eastAsia="Arial" w:hAnsi="Arial"/>
                <w:sz w:val="14"/>
                <w:szCs w:val="14"/>
                <w:b w:val="1"/>
                <w:bCs w:val="1"/>
                <w:color w:val="001641"/>
              </w:rPr>
              <w:t>Justin Picicci</w:t>
            </w:r>
          </w:p>
        </w:tc>
        <w:tc>
          <w:tcPr>
            <w:tcW w:w="2000" w:type="dxa"/>
            <w:vAlign w:val="bottom"/>
            <w:tcBorders>
              <w:bottom w:val="single" w:sz="8" w:color="BFA071"/>
            </w:tcBorders>
          </w:tcPr>
          <w:p>
            <w:pPr>
              <w:ind w:left="1500"/>
              <w:spacing w:after="0"/>
              <w:rPr>
                <w:sz w:val="20"/>
                <w:szCs w:val="20"/>
                <w:color w:val="auto"/>
              </w:rPr>
            </w:pPr>
            <w:r>
              <w:rPr>
                <w:rFonts w:ascii="Arial" w:cs="Arial" w:eastAsia="Arial" w:hAnsi="Arial"/>
                <w:sz w:val="14"/>
                <w:szCs w:val="14"/>
                <w:color w:val="001641"/>
              </w:rPr>
              <w:t>—</w:t>
            </w:r>
          </w:p>
        </w:tc>
        <w:tc>
          <w:tcPr>
            <w:tcW w:w="1420" w:type="dxa"/>
            <w:vAlign w:val="bottom"/>
            <w:tcBorders>
              <w:bottom w:val="single" w:sz="8" w:color="BFA071"/>
            </w:tcBorders>
          </w:tcPr>
          <w:p>
            <w:pPr>
              <w:jc w:val="right"/>
              <w:ind w:right="208"/>
              <w:spacing w:after="0"/>
              <w:rPr>
                <w:sz w:val="20"/>
                <w:szCs w:val="20"/>
                <w:color w:val="auto"/>
              </w:rPr>
            </w:pPr>
            <w:r>
              <w:rPr>
                <w:rFonts w:ascii="Arial" w:cs="Arial" w:eastAsia="Arial" w:hAnsi="Arial"/>
                <w:sz w:val="14"/>
                <w:szCs w:val="14"/>
                <w:color w:val="001641"/>
              </w:rPr>
              <w:t>—</w:t>
            </w:r>
          </w:p>
        </w:tc>
        <w:tc>
          <w:tcPr>
            <w:tcW w:w="1260" w:type="dxa"/>
            <w:vAlign w:val="bottom"/>
            <w:tcBorders>
              <w:bottom w:val="single" w:sz="8" w:color="BFA071"/>
            </w:tcBorders>
          </w:tcPr>
          <w:p>
            <w:pPr>
              <w:ind w:left="820"/>
              <w:spacing w:after="0"/>
              <w:rPr>
                <w:sz w:val="20"/>
                <w:szCs w:val="20"/>
                <w:color w:val="auto"/>
              </w:rPr>
            </w:pPr>
            <w:r>
              <w:rPr>
                <w:rFonts w:ascii="Arial" w:cs="Arial" w:eastAsia="Arial" w:hAnsi="Arial"/>
                <w:sz w:val="14"/>
                <w:szCs w:val="14"/>
                <w:color w:val="001641"/>
              </w:rPr>
              <w:t>—</w:t>
            </w:r>
          </w:p>
        </w:tc>
        <w:tc>
          <w:tcPr>
            <w:tcW w:w="1360" w:type="dxa"/>
            <w:vAlign w:val="bottom"/>
            <w:tcBorders>
              <w:bottom w:val="single" w:sz="8" w:color="BFA071"/>
            </w:tcBorders>
          </w:tcPr>
          <w:p>
            <w:pPr>
              <w:ind w:left="880"/>
              <w:spacing w:after="0"/>
              <w:rPr>
                <w:sz w:val="20"/>
                <w:szCs w:val="20"/>
                <w:color w:val="auto"/>
              </w:rPr>
            </w:pPr>
            <w:r>
              <w:rPr>
                <w:rFonts w:ascii="Arial" w:cs="Arial" w:eastAsia="Arial" w:hAnsi="Arial"/>
                <w:sz w:val="14"/>
                <w:szCs w:val="14"/>
                <w:color w:val="001641"/>
              </w:rPr>
              <w:t>—</w:t>
            </w:r>
          </w:p>
        </w:tc>
        <w:tc>
          <w:tcPr>
            <w:tcW w:w="1200" w:type="dxa"/>
            <w:vAlign w:val="bottom"/>
            <w:tcBorders>
              <w:bottom w:val="single" w:sz="8" w:color="BFA071"/>
            </w:tcBorders>
          </w:tcPr>
          <w:p>
            <w:pPr>
              <w:ind w:left="880"/>
              <w:spacing w:after="0"/>
              <w:rPr>
                <w:sz w:val="20"/>
                <w:szCs w:val="20"/>
                <w:color w:val="auto"/>
              </w:rPr>
            </w:pPr>
            <w:r>
              <w:rPr>
                <w:rFonts w:ascii="Arial" w:cs="Arial" w:eastAsia="Arial" w:hAnsi="Arial"/>
                <w:sz w:val="14"/>
                <w:szCs w:val="14"/>
                <w:color w:val="001641"/>
              </w:rPr>
              <w:t>—</w:t>
            </w:r>
          </w:p>
        </w:tc>
      </w:tr>
      <w:tr>
        <w:trPr>
          <w:trHeight w:val="223"/>
        </w:trPr>
        <w:tc>
          <w:tcPr>
            <w:tcW w:w="1940" w:type="dxa"/>
            <w:vAlign w:val="bottom"/>
            <w:tcBorders>
              <w:bottom w:val="single" w:sz="8" w:color="BFA071"/>
            </w:tcBorders>
          </w:tcPr>
          <w:p>
            <w:pPr>
              <w:ind w:left="120"/>
              <w:spacing w:after="0"/>
              <w:rPr>
                <w:sz w:val="20"/>
                <w:szCs w:val="20"/>
                <w:color w:val="auto"/>
              </w:rPr>
            </w:pPr>
            <w:r>
              <w:rPr>
                <w:rFonts w:ascii="Arial" w:cs="Arial" w:eastAsia="Arial" w:hAnsi="Arial"/>
                <w:sz w:val="14"/>
                <w:szCs w:val="14"/>
                <w:b w:val="1"/>
                <w:bCs w:val="1"/>
                <w:color w:val="001641"/>
              </w:rPr>
              <w:t>Halide Alagoz</w:t>
            </w:r>
          </w:p>
        </w:tc>
        <w:tc>
          <w:tcPr>
            <w:tcW w:w="2000" w:type="dxa"/>
            <w:vAlign w:val="bottom"/>
            <w:tcBorders>
              <w:bottom w:val="single" w:sz="8" w:color="BFA071"/>
            </w:tcBorders>
          </w:tcPr>
          <w:p>
            <w:pPr>
              <w:ind w:left="1500"/>
              <w:spacing w:after="0"/>
              <w:rPr>
                <w:sz w:val="20"/>
                <w:szCs w:val="20"/>
                <w:color w:val="auto"/>
              </w:rPr>
            </w:pPr>
            <w:r>
              <w:rPr>
                <w:rFonts w:ascii="Arial" w:cs="Arial" w:eastAsia="Arial" w:hAnsi="Arial"/>
                <w:sz w:val="14"/>
                <w:szCs w:val="14"/>
                <w:color w:val="001641"/>
              </w:rPr>
              <w:t>—</w:t>
            </w:r>
          </w:p>
        </w:tc>
        <w:tc>
          <w:tcPr>
            <w:tcW w:w="1420" w:type="dxa"/>
            <w:vAlign w:val="bottom"/>
            <w:tcBorders>
              <w:bottom w:val="single" w:sz="8" w:color="BFA071"/>
            </w:tcBorders>
          </w:tcPr>
          <w:p>
            <w:pPr>
              <w:jc w:val="right"/>
              <w:ind w:right="208"/>
              <w:spacing w:after="0"/>
              <w:rPr>
                <w:sz w:val="20"/>
                <w:szCs w:val="20"/>
                <w:color w:val="auto"/>
              </w:rPr>
            </w:pPr>
            <w:r>
              <w:rPr>
                <w:rFonts w:ascii="Arial" w:cs="Arial" w:eastAsia="Arial" w:hAnsi="Arial"/>
                <w:sz w:val="14"/>
                <w:szCs w:val="14"/>
                <w:color w:val="001641"/>
              </w:rPr>
              <w:t>—</w:t>
            </w:r>
          </w:p>
        </w:tc>
        <w:tc>
          <w:tcPr>
            <w:tcW w:w="1260" w:type="dxa"/>
            <w:vAlign w:val="bottom"/>
            <w:tcBorders>
              <w:bottom w:val="single" w:sz="8" w:color="BFA071"/>
            </w:tcBorders>
          </w:tcPr>
          <w:p>
            <w:pPr>
              <w:ind w:left="820"/>
              <w:spacing w:after="0"/>
              <w:rPr>
                <w:sz w:val="20"/>
                <w:szCs w:val="20"/>
                <w:color w:val="auto"/>
              </w:rPr>
            </w:pPr>
            <w:r>
              <w:rPr>
                <w:rFonts w:ascii="Arial" w:cs="Arial" w:eastAsia="Arial" w:hAnsi="Arial"/>
                <w:sz w:val="14"/>
                <w:szCs w:val="14"/>
                <w:color w:val="001641"/>
              </w:rPr>
              <w:t>—</w:t>
            </w:r>
          </w:p>
        </w:tc>
        <w:tc>
          <w:tcPr>
            <w:tcW w:w="1360" w:type="dxa"/>
            <w:vAlign w:val="bottom"/>
            <w:tcBorders>
              <w:bottom w:val="single" w:sz="8" w:color="BFA071"/>
            </w:tcBorders>
          </w:tcPr>
          <w:p>
            <w:pPr>
              <w:ind w:left="880"/>
              <w:spacing w:after="0"/>
              <w:rPr>
                <w:sz w:val="20"/>
                <w:szCs w:val="20"/>
                <w:color w:val="auto"/>
              </w:rPr>
            </w:pPr>
            <w:r>
              <w:rPr>
                <w:rFonts w:ascii="Arial" w:cs="Arial" w:eastAsia="Arial" w:hAnsi="Arial"/>
                <w:sz w:val="14"/>
                <w:szCs w:val="14"/>
                <w:color w:val="001641"/>
              </w:rPr>
              <w:t>—</w:t>
            </w:r>
          </w:p>
        </w:tc>
        <w:tc>
          <w:tcPr>
            <w:tcW w:w="1200" w:type="dxa"/>
            <w:vAlign w:val="bottom"/>
            <w:tcBorders>
              <w:bottom w:val="single" w:sz="8" w:color="BFA071"/>
            </w:tcBorders>
          </w:tcPr>
          <w:p>
            <w:pPr>
              <w:ind w:left="880"/>
              <w:spacing w:after="0"/>
              <w:rPr>
                <w:sz w:val="20"/>
                <w:szCs w:val="20"/>
                <w:color w:val="auto"/>
              </w:rPr>
            </w:pPr>
            <w:r>
              <w:rPr>
                <w:rFonts w:ascii="Arial" w:cs="Arial" w:eastAsia="Arial" w:hAnsi="Arial"/>
                <w:sz w:val="14"/>
                <w:szCs w:val="14"/>
                <w:color w:val="001641"/>
              </w:rPr>
              <w:t>—</w:t>
            </w:r>
          </w:p>
        </w:tc>
      </w:tr>
      <w:tr>
        <w:trPr>
          <w:trHeight w:val="215"/>
        </w:trPr>
        <w:tc>
          <w:tcPr>
            <w:tcW w:w="1940" w:type="dxa"/>
            <w:vAlign w:val="bottom"/>
            <w:tcBorders>
              <w:bottom w:val="single" w:sz="8" w:color="001641"/>
            </w:tcBorders>
          </w:tcPr>
          <w:p>
            <w:pPr>
              <w:ind w:left="120"/>
              <w:spacing w:after="0"/>
              <w:rPr>
                <w:sz w:val="20"/>
                <w:szCs w:val="20"/>
                <w:color w:val="auto"/>
              </w:rPr>
            </w:pPr>
            <w:r>
              <w:rPr>
                <w:rFonts w:ascii="Arial" w:cs="Arial" w:eastAsia="Arial" w:hAnsi="Arial"/>
                <w:sz w:val="14"/>
                <w:szCs w:val="14"/>
                <w:b w:val="1"/>
                <w:bCs w:val="1"/>
                <w:color w:val="001641"/>
              </w:rPr>
              <w:t>David Lauren</w:t>
            </w:r>
          </w:p>
        </w:tc>
        <w:tc>
          <w:tcPr>
            <w:tcW w:w="2000" w:type="dxa"/>
            <w:vAlign w:val="bottom"/>
            <w:tcBorders>
              <w:bottom w:val="single" w:sz="8" w:color="001641"/>
            </w:tcBorders>
          </w:tcPr>
          <w:p>
            <w:pPr>
              <w:ind w:left="1500"/>
              <w:spacing w:after="0"/>
              <w:rPr>
                <w:sz w:val="20"/>
                <w:szCs w:val="20"/>
                <w:color w:val="auto"/>
              </w:rPr>
            </w:pPr>
            <w:r>
              <w:rPr>
                <w:rFonts w:ascii="Arial" w:cs="Arial" w:eastAsia="Arial" w:hAnsi="Arial"/>
                <w:sz w:val="14"/>
                <w:szCs w:val="14"/>
                <w:color w:val="001641"/>
              </w:rPr>
              <w:t>—</w:t>
            </w:r>
          </w:p>
        </w:tc>
        <w:tc>
          <w:tcPr>
            <w:tcW w:w="1420" w:type="dxa"/>
            <w:vAlign w:val="bottom"/>
            <w:tcBorders>
              <w:bottom w:val="single" w:sz="8" w:color="001641"/>
            </w:tcBorders>
          </w:tcPr>
          <w:p>
            <w:pPr>
              <w:jc w:val="right"/>
              <w:ind w:right="208"/>
              <w:spacing w:after="0"/>
              <w:rPr>
                <w:sz w:val="20"/>
                <w:szCs w:val="20"/>
                <w:color w:val="auto"/>
              </w:rPr>
            </w:pPr>
            <w:r>
              <w:rPr>
                <w:rFonts w:ascii="Arial" w:cs="Arial" w:eastAsia="Arial" w:hAnsi="Arial"/>
                <w:sz w:val="14"/>
                <w:szCs w:val="14"/>
                <w:color w:val="001641"/>
              </w:rPr>
              <w:t>—</w:t>
            </w:r>
          </w:p>
        </w:tc>
        <w:tc>
          <w:tcPr>
            <w:tcW w:w="1260" w:type="dxa"/>
            <w:vAlign w:val="bottom"/>
            <w:tcBorders>
              <w:bottom w:val="single" w:sz="8" w:color="001641"/>
            </w:tcBorders>
          </w:tcPr>
          <w:p>
            <w:pPr>
              <w:ind w:left="820"/>
              <w:spacing w:after="0"/>
              <w:rPr>
                <w:sz w:val="20"/>
                <w:szCs w:val="20"/>
                <w:color w:val="auto"/>
              </w:rPr>
            </w:pPr>
            <w:r>
              <w:rPr>
                <w:rFonts w:ascii="Arial" w:cs="Arial" w:eastAsia="Arial" w:hAnsi="Arial"/>
                <w:sz w:val="14"/>
                <w:szCs w:val="14"/>
                <w:color w:val="001641"/>
              </w:rPr>
              <w:t>—</w:t>
            </w:r>
          </w:p>
        </w:tc>
        <w:tc>
          <w:tcPr>
            <w:tcW w:w="1360" w:type="dxa"/>
            <w:vAlign w:val="bottom"/>
            <w:tcBorders>
              <w:bottom w:val="single" w:sz="8" w:color="001641"/>
            </w:tcBorders>
          </w:tcPr>
          <w:p>
            <w:pPr>
              <w:ind w:left="880"/>
              <w:spacing w:after="0"/>
              <w:rPr>
                <w:sz w:val="20"/>
                <w:szCs w:val="20"/>
                <w:color w:val="auto"/>
              </w:rPr>
            </w:pPr>
            <w:r>
              <w:rPr>
                <w:rFonts w:ascii="Arial" w:cs="Arial" w:eastAsia="Arial" w:hAnsi="Arial"/>
                <w:sz w:val="14"/>
                <w:szCs w:val="14"/>
                <w:color w:val="001641"/>
              </w:rPr>
              <w:t>—</w:t>
            </w:r>
          </w:p>
        </w:tc>
        <w:tc>
          <w:tcPr>
            <w:tcW w:w="1200" w:type="dxa"/>
            <w:vAlign w:val="bottom"/>
            <w:tcBorders>
              <w:bottom w:val="single" w:sz="8" w:color="001641"/>
            </w:tcBorders>
          </w:tcPr>
          <w:p>
            <w:pPr>
              <w:ind w:left="880"/>
              <w:spacing w:after="0"/>
              <w:rPr>
                <w:sz w:val="20"/>
                <w:szCs w:val="20"/>
                <w:color w:val="auto"/>
              </w:rPr>
            </w:pPr>
            <w:r>
              <w:rPr>
                <w:rFonts w:ascii="Arial" w:cs="Arial" w:eastAsia="Arial" w:hAnsi="Arial"/>
                <w:sz w:val="14"/>
                <w:szCs w:val="14"/>
                <w:color w:val="001641"/>
              </w:rPr>
              <w:t>—</w:t>
            </w:r>
          </w:p>
        </w:tc>
      </w:tr>
    </w:tbl>
    <w:p>
      <w:pPr>
        <w:spacing w:after="0" w:line="153" w:lineRule="exact"/>
        <w:rPr>
          <w:sz w:val="20"/>
          <w:szCs w:val="20"/>
          <w:color w:val="auto"/>
        </w:rPr>
      </w:pPr>
    </w:p>
    <w:p>
      <w:pPr>
        <w:ind w:left="246" w:right="40" w:hanging="246"/>
        <w:spacing w:after="0" w:line="252" w:lineRule="auto"/>
        <w:tabs>
          <w:tab w:leader="none" w:pos="246" w:val="left"/>
        </w:tabs>
        <w:numPr>
          <w:ilvl w:val="0"/>
          <w:numId w:val="84"/>
        </w:numPr>
        <w:rPr>
          <w:rFonts w:ascii="Arial" w:cs="Arial" w:eastAsia="Arial" w:hAnsi="Arial"/>
          <w:sz w:val="14"/>
          <w:szCs w:val="14"/>
          <w:color w:val="4C4C4C"/>
        </w:rPr>
      </w:pPr>
      <w:r>
        <w:rPr>
          <w:rFonts w:ascii="Arial" w:cs="Arial" w:eastAsia="Arial" w:hAnsi="Arial"/>
          <w:sz w:val="14"/>
          <w:szCs w:val="14"/>
          <w:color w:val="4C4C4C"/>
        </w:rPr>
        <w:t>Represents the value of Mr. R. Lauren’s additional RSUs that are granted each time we pay an actual cash dividend on our outstanding shares. Additional RSUs of 2,194.68, 1,647.52, 1,503.72 and 1,294.65 were acquired, respectively on April 11, 2025, July 11, 2025, October 10, 2025 and January 9, 2026 with a market price based on the average of the high and low stock prices on each day. No portion of these additional RSUs has been reported in the Summary Compensation Table as the value of these additional RSUs was factored into the grant date fair value when initially granted.</w:t>
      </w:r>
    </w:p>
    <w:p>
      <w:pPr>
        <w:spacing w:after="0" w:line="18" w:lineRule="exact"/>
        <w:rPr>
          <w:rFonts w:ascii="Arial" w:cs="Arial" w:eastAsia="Arial" w:hAnsi="Arial"/>
          <w:sz w:val="14"/>
          <w:szCs w:val="14"/>
          <w:color w:val="4C4C4C"/>
        </w:rPr>
      </w:pPr>
    </w:p>
    <w:p>
      <w:pPr>
        <w:ind w:left="246" w:right="80" w:hanging="246"/>
        <w:spacing w:after="0" w:line="263" w:lineRule="auto"/>
        <w:tabs>
          <w:tab w:leader="none" w:pos="246" w:val="left"/>
        </w:tabs>
        <w:numPr>
          <w:ilvl w:val="0"/>
          <w:numId w:val="84"/>
        </w:numPr>
        <w:rPr>
          <w:rFonts w:ascii="Arial" w:cs="Arial" w:eastAsia="Arial" w:hAnsi="Arial"/>
          <w:sz w:val="14"/>
          <w:szCs w:val="14"/>
          <w:color w:val="4C4C4C"/>
        </w:rPr>
      </w:pPr>
      <w:r>
        <w:rPr>
          <w:rFonts w:ascii="Arial" w:cs="Arial" w:eastAsia="Arial" w:hAnsi="Arial"/>
          <w:sz w:val="14"/>
          <w:szCs w:val="14"/>
          <w:color w:val="4C4C4C"/>
        </w:rPr>
        <w:t>The amount reflected for Mr. R. Lauren represents appreciation/depreciation accumulated on vested but not delivered RSUs. Appreciation/depreciation accumulated on vested but not delivered RSUs is not included in the Summary Compensation Table as the RSUs do not receive any above-market or preferential earnings.</w:t>
      </w:r>
    </w:p>
    <w:p>
      <w:pPr>
        <w:spacing w:after="0" w:line="10" w:lineRule="exact"/>
        <w:rPr>
          <w:rFonts w:ascii="Arial" w:cs="Arial" w:eastAsia="Arial" w:hAnsi="Arial"/>
          <w:sz w:val="14"/>
          <w:szCs w:val="14"/>
          <w:color w:val="4C4C4C"/>
        </w:rPr>
      </w:pPr>
    </w:p>
    <w:p>
      <w:pPr>
        <w:ind w:left="246" w:right="20" w:hanging="246"/>
        <w:spacing w:after="0" w:line="256" w:lineRule="auto"/>
        <w:tabs>
          <w:tab w:leader="none" w:pos="246" w:val="left"/>
        </w:tabs>
        <w:numPr>
          <w:ilvl w:val="0"/>
          <w:numId w:val="84"/>
        </w:numPr>
        <w:rPr>
          <w:rFonts w:ascii="Arial" w:cs="Arial" w:eastAsia="Arial" w:hAnsi="Arial"/>
          <w:sz w:val="14"/>
          <w:szCs w:val="14"/>
          <w:color w:val="4C4C4C"/>
        </w:rPr>
      </w:pPr>
      <w:r>
        <w:rPr>
          <w:rFonts w:ascii="Arial" w:cs="Arial" w:eastAsia="Arial" w:hAnsi="Arial"/>
          <w:sz w:val="14"/>
          <w:szCs w:val="14"/>
          <w:color w:val="4C4C4C"/>
        </w:rPr>
        <w:t>Mr. R. Lauren’s RSUs are valued at $329.51, the average of the high and the low stock prices as of March 27, 2026, the last business day of Fiscal 2026 on which there were sales of shares. Of the total amount shown in this column, $23,223,863 has been reported in the Summary Compensation Table of prior years’ proxy statements. Mr. R. Lauren’s RSUs have vested but may not be distributed to him until his employment is terminated.</w:t>
      </w:r>
    </w:p>
    <w:p>
      <w:pPr>
        <w:spacing w:after="0" w:line="27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POTENTIAL PAYMENTS UPON TERMINATION OR CHANGE IN CONTROL</w:t>
      </w:r>
    </w:p>
    <w:p>
      <w:pPr>
        <w:spacing w:after="0" w:line="153" w:lineRule="exact"/>
        <w:rPr>
          <w:sz w:val="20"/>
          <w:szCs w:val="20"/>
          <w:color w:val="auto"/>
        </w:rPr>
      </w:pPr>
    </w:p>
    <w:p>
      <w:pPr>
        <w:ind w:left="6" w:right="60"/>
        <w:spacing w:after="0" w:line="249" w:lineRule="auto"/>
        <w:rPr>
          <w:sz w:val="20"/>
          <w:szCs w:val="20"/>
          <w:color w:val="auto"/>
        </w:rPr>
      </w:pPr>
      <w:r>
        <w:rPr>
          <w:rFonts w:ascii="Arial" w:cs="Arial" w:eastAsia="Arial" w:hAnsi="Arial"/>
          <w:sz w:val="16"/>
          <w:szCs w:val="16"/>
          <w:b w:val="1"/>
          <w:bCs w:val="1"/>
          <w:color w:val="auto"/>
        </w:rPr>
        <w:t xml:space="preserve">Ralph Lauren. </w:t>
      </w:r>
      <w:r>
        <w:rPr>
          <w:rFonts w:ascii="Arial" w:cs="Arial" w:eastAsia="Arial" w:hAnsi="Arial"/>
          <w:sz w:val="16"/>
          <w:szCs w:val="16"/>
          <w:color w:val="auto"/>
        </w:rPr>
        <w:t>Under the R. Lauren Employment Agreement, in the event of termination without cause or resignation for good</w:t>
      </w:r>
      <w:r>
        <w:rPr>
          <w:rFonts w:ascii="Arial" w:cs="Arial" w:eastAsia="Arial" w:hAnsi="Arial"/>
          <w:sz w:val="16"/>
          <w:szCs w:val="16"/>
          <w:b w:val="1"/>
          <w:bCs w:val="1"/>
          <w:color w:val="auto"/>
        </w:rPr>
        <w:t xml:space="preserve"> </w:t>
      </w:r>
      <w:r>
        <w:rPr>
          <w:rFonts w:ascii="Arial" w:cs="Arial" w:eastAsia="Arial" w:hAnsi="Arial"/>
          <w:sz w:val="16"/>
          <w:szCs w:val="16"/>
          <w:color w:val="auto"/>
        </w:rPr>
        <w:t>reason (as defined in the R. Lauren Employment Agreement and as defined below), Mr. R. Lauren would be entitled to receive, within 30 days following the date of termination, a lump sum cash payment equal to the sum of: (i) two years’ base salary; (ii) any accrued but unpaid compensation as of the date of termination; and (iii) two times the average annual bonus paid to him for the two fiscal years immediately preceding the year of his termination of employment (however, if he elects to transition to Executive Chairman, the amount described in this clause (iii) would no longer be payable in connection with a subsequent termination of employment). In addition, Mr. R. Lauren would be entitled to receive a pro-rated portion of the bonus he would otherwise have received for the fiscal year in which his termination of employment occurred, payment of which would be made when bonuses are paid to our other executives. Any unvested stock options would continue to vest on their scheduled vesting dates, and any vested stock options shall be exercisable until the later of one year from the date of termination or 30 days from the date the options become vested and exercisable, but in any event not later than the expiration date of the option. Any unvested restricted performance share units (“RPSUs”) and PSUs will vest based on actual performance over the applicable performance period as if Mr. R. Lauren had remained employed to the applicable vesting certification date. Also, we will be obligated to continue to provide him with office facilities and secretarial assistance, welfare and medical plan coverage and use of a car and driver during the two-year severance period (however, any medical plan coverage would be limited to the first 18 months of the severance period unless he elects to continue participation in such plan for the remainder of the severance period, provided that there are no adverse tax consequences to the Company).</w:t>
      </w:r>
    </w:p>
    <w:p>
      <w:pPr>
        <w:spacing w:after="0" w:line="130" w:lineRule="exact"/>
        <w:rPr>
          <w:sz w:val="20"/>
          <w:szCs w:val="20"/>
          <w:color w:val="auto"/>
        </w:rPr>
      </w:pPr>
    </w:p>
    <w:p>
      <w:pPr>
        <w:ind w:left="6" w:right="180"/>
        <w:spacing w:after="0" w:line="254" w:lineRule="auto"/>
        <w:rPr>
          <w:sz w:val="20"/>
          <w:szCs w:val="20"/>
          <w:color w:val="auto"/>
        </w:rPr>
      </w:pPr>
      <w:r>
        <w:rPr>
          <w:rFonts w:ascii="Arial" w:cs="Arial" w:eastAsia="Arial" w:hAnsi="Arial"/>
          <w:sz w:val="16"/>
          <w:szCs w:val="16"/>
          <w:color w:val="auto"/>
        </w:rPr>
        <w:t>In the event that his employment terminates due to his death or disability, Mr. R. Lauren or his estate will be entitled to receive all payments due to him through the date of his death or termination due to disability, including a pro-rated bonus for the fiscal year of termination paid at the same time as bonuses are paid to our other executives. With respect to his unvested stock options, RSUs, RPSUs and PSUs, such awards shall vest immediately (at target, in the case of RPSUs and PSUs) and, in the case of his stock options, shall be exercisable until the earlier of three years from the date of termination or the expiration date of the option, and in the case of his RSUs, RPSUs and PSUs, shall be payable in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582930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92"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001641"/>
        </w:rPr>
        <w:t>94</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Class A Common Stock no later than 30 days after the vesting date; provided that if termination is based on death and occurs in the last year of the performance period, the unvested RPSUs and PSUs will vest and be paid out based on actual performance during the performance period as if Mr. R. Lauren had remained employed to the applicable vesting certification date.</w:t>
      </w:r>
    </w:p>
    <w:p>
      <w:pPr>
        <w:spacing w:after="0" w:line="117"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If he terminates his employment for any reason, other than for good reason, death or disability, or if we terminate his employment for cause (but not including a termination by reason of the Company’s non-renewal of the R. Lauren Employment Agreement, as described below), then Mr. R. Lauren will only receive any accrued but unpaid compensation as of the date of termination (including for any prior fiscal year, and including base salary through the date of termination). In addition, any unvested RPSUs and PSUs held by him pursuant to his employment agreement shall be forfeited. Further, any vested but unexercised stock options shall be forfeited only if termination of employment is for cause, and otherwise they shall remain exercisable for one year from the date of termination of employment if such termination is by Mr. R. Lauren for other than good reason.</w:t>
      </w:r>
    </w:p>
    <w:p>
      <w:pPr>
        <w:spacing w:after="0" w:line="12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If his employment terminates at the end of the term by reason of our failure to offer to extend the term or offer to enter into a new employment agreement on substantially the same terms as in the R. Lauren Employment Agreement, then he will be entitled to receive: (i) any accrued and unpaid compensation as of the date of termination; and (ii) his bonus for the fiscal year ending on the last day of the term. In addition, Mr. R. Lauren’s unvested and unexercised stock options and unvested RPSUs and PSUs shall vest and/or become exercisable in the same manner as if he resigned for good reason or if we terminated his employment without cause. In addition, following any termination of employment, to the extent not previously paid or provided, the Company will timely pay or provide Mr. R. Lauren any other amounts or benefits required to be paid or provided to him (or that he is eligible to receive) under any plan, program, policy, practice or contract of the Company and its affiliates through the date of his termination.</w:t>
      </w:r>
    </w:p>
    <w:p>
      <w:pPr>
        <w:spacing w:after="0" w:line="13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In the event that a change in control precedes the termination of Mr. R. Lauren’s employment, he will continue to receive, upon termination of employment, the same amounts in the same manner as described in the paragraphs above. In addition, any unvested stock options granted under the 1997 Stock Incentive Plan and any unvested RSUs and RPSUs granted prior to the R. Lauren Employment Agreement would immediately vest upon a change in control. Under the R. Lauren Employment Agreement, Mr. R. Lauren’s RPSUs and PSUs granted during the term of the R. Lauren Employment Agreement would not immediately vest upon a change in control. The R. Lauren Agreement also provides that that any unvested RSUs granted to Mr. R. Lauren in 2021 would, if applicable, be treated in the same manner upon termination of employment as Mr. R. Lauren’s unvested PSUs and PRSUs.</w:t>
      </w:r>
    </w:p>
    <w:p>
      <w:pPr>
        <w:spacing w:after="0" w:line="12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above-described amounts payable to him are subject to his compliance with the following restrictive covenants: (i) not to compete with us for two years following the termination of his employment; (ii) not to solicit any of our employees for three years following the termination of his employment; (iii) not to disparage us for three years following the termination of his employment; and (iv) not to disclose any of our confidential information. The R. Lauren Employment Agreement also provides that for the duration of Mr. R. Lauren’s employment and for three years following the termination of his employment, we will not (and will use reasonable best efforts to cause our senior executives and Board members to not) disparage Mr. R. Lauren.</w:t>
      </w:r>
    </w:p>
    <w:p>
      <w:pPr>
        <w:spacing w:after="0" w:line="12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Under the R. Lauren Employment Agreement, cause is defined as: (A) the willful and continued failure by him to substantially perform his duties after demand for substantial performance is delivered by us that specifically identifies the manner in which we believe he has not substantially performed his duties; or (B) his conviction of, or plea of nolo contendere to, a crime (whether or not involving us) constituting a felony; or (C) willful engaging by him in gross misconduct relating to his employment that is materially injurious to us or subjects us, monetarily or otherwise or which subjects, or if generally known, would subject us to public ridicule or embarrassment. Further, no act, or failure to act, shall be considered “willful” unless done, or omitted to be done, by Mr. R. Lauren not in good faith and without reasonable belief that his action or omission was in our best interest. Notwithstanding the forgoing, Mr. R. Lauren shall not be deemed to have been terminated for cause without: (x) reasonable written notice to him setting forth the reasons for our intention to terminate him for cause, (y) an opportunity for him, together with his counsel, to be heard before the Board, and (z) delivery to him of a specific termination notice from the Board that states that in the good faith opinion of the Board, he was guilty of the conduct set forth in clauses (A), (B) or, (C) above, and specifying the particulars thereof in detail. In addition, in the event that the Board has so determined, in good faith, that cause exists, the Board shall have no obligation to terminate Mr. R. Lauren’s employment if the Board determines in its sole discretion that such a decision not to terminate his employment is in our best interest.</w:t>
      </w:r>
    </w:p>
    <w:p>
      <w:pPr>
        <w:spacing w:after="0" w:line="136"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Under the R. Lauren Employment Agreement, good reason is defined to mean: (A) a material diminution in Mr. R. Lauren’s duties, assignment to him of a title or duties inconsistent with his position as our Executive Chairman of the Board and Chief Creative Officer, or a material diminution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58293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254635</wp:posOffset>
            </wp:positionV>
            <wp:extent cx="128905" cy="11112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8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of his authority; (B) a material reduction in his salary; or (C) our failure to comply with any material provision of his employment agreement; provided that the events described in clauses (A), (B) and (C) above will not constitute good reason unless such diminution, reduction or failure (as applicable) has not been cured within 30 days after notice of such noncompliance has been given by Mr. R. Lauren to us.</w:t>
      </w:r>
    </w:p>
    <w:p>
      <w:pPr>
        <w:spacing w:after="0" w:line="12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If necessary to comply with Section 409A of the Code, any severance payments will be subject to a six-month delay in payment. The R. Lauren Employment Agreement clarifies that settlement of any RPSUs or PSUs in the case of a termination due to disability may also be delayed to the extent required to comply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36893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49" w:lineRule="auto"/>
        <w:rPr>
          <w:sz w:val="20"/>
          <w:szCs w:val="20"/>
          <w:color w:val="auto"/>
        </w:rPr>
      </w:pPr>
      <w:r>
        <w:rPr>
          <w:rFonts w:ascii="Arial" w:cs="Arial" w:eastAsia="Arial" w:hAnsi="Arial"/>
          <w:sz w:val="16"/>
          <w:szCs w:val="16"/>
          <w:b w:val="1"/>
          <w:bCs w:val="1"/>
          <w:color w:val="auto"/>
        </w:rPr>
        <w:t xml:space="preserve">Patrice Louvet. </w:t>
      </w:r>
      <w:r>
        <w:rPr>
          <w:rFonts w:ascii="Arial" w:cs="Arial" w:eastAsia="Arial" w:hAnsi="Arial"/>
          <w:sz w:val="16"/>
          <w:szCs w:val="16"/>
          <w:color w:val="auto"/>
        </w:rPr>
        <w:t>Under the Louvet Employment Agreement, if we terminate Mr. Louvet’s employment for any reason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death, disability, or cause (as defined in the Louvet Employment Agreement and as described below), or Mr. Louvet voluntarily terminates his employment for good reason (as defined in the Louvet Employment Agreement and as described below), he would be entitled to receive 400% of his base salary per year for a severance period equal to two years, payable in equal installments on a monthly basis. In addition, he will vest in any unvested portion of the Louvet-One-Time-Stock-Award (as defined in the Louvet Employment Agreement) with only service based vesting conditions as of the date of termination of his employment, and any unvested portion of the Louvet-One-Time-Stock Award with performance based vesting conditions held by him will vest at the end of the applicable performance period, subject to the Company meeting the applicable performance goals. The remainder of his unvested equity will vest in a manner consistent with his retirement status, i.e., they will vest on their regularly scheduled vesting dates subject to performance criteria if applicable, with the exception of two-thirds of any equity award granted in the prior 12 months before the termination date, which shall be forfeited, and with the further exception of $2.9 million of his Fiscal 2025 award which is excluded from the aforementioned calculation and is not eligible for retirement status treatment until he reaches 10 years of service.</w:t>
      </w:r>
    </w:p>
    <w:p>
      <w:pPr>
        <w:spacing w:after="0" w:line="137"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Mr. Louvet will also be entitled to continue his participation during the severance period in any group medical or dental insurance plans in which he participated prior to termination. In addition, he will be entitled to receive any unpaid annual bonus for the fiscal year ended prior to the date of termination.</w:t>
      </w:r>
    </w:p>
    <w:p>
      <w:pPr>
        <w:spacing w:after="0" w:line="11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the event his employment terminates due to his death or disability, Mr. Louvet or his estate will be entitled to receive all payments due to him through the date of his death or termination due to disability, including a pro-rated bonus for the fiscal year of termination paid at the same time as bonuses are paid to our other executives. With respect to his unvested RSUs, RPSUs and PSUs, such awards shall vest immediately and, in the case his unvested PSUs or PRSUs (or any other equity awards with performance-based vesting conditions): (1) any unvested PRSUs (or other performance-based equity awards with pro-rata vesting) shall vest upon the Company’s attainment of the applicable performance goals and shall be paid out as per the terms of the 2019 Stock Incentive Plan as soon as practicable (but in no event later than 30 days) after each applicable vesting date without regard to Executive’s continued employment; and (2) any unvested PSUs (or other performance-based equity awards with cliff vesting) shall remain outstanding and shall vest at the end of the applicable performance period based on the Company’s actual degree of achievement of the applicable performance goals provided that any such awards shall be paid in their entirety as per the terms of the 2019 Stock Incentive Plan as soon as practicable (but in no event later than 30 days) after each applicable vesting date, without regard to Mr. Louvet's continued employment.</w:t>
      </w:r>
    </w:p>
    <w:p>
      <w:pPr>
        <w:spacing w:after="0" w:line="13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If Mr. Louvet voluntarily terminates his employment without good reason, or if we terminate his employment for cause, he will be entitled to receive only his base salary through the date of termination and any unpaid annual bonus for the fiscal year ended prior to the date of termination, provided that if he voluntarily terminates his employment without good reason he will entitled to the same retirement treatment of his unvested equity as described above for a termination without cause or a resignation with good reason.</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If the Company terminates Mr. Louvet’s employment without cause or he terminates his employment for good reason, in either case within 12 months following a change in control (as defined in the Louvet Employment Agreement), then he will be entitled to receive a lump sum amount equal to the total amount of cash severance he would receive were his employment terminated without cause. In addition, any outstanding equity awards held by him will immediately vest (such immediate vesting shall also occur upon a termination of Mr. Louvet’s employment in contemplation of a change in control, and the change in control then actually occurring). For purposes of such vesting, any performance-based equity awards would be treated as if the target performance level was achieved. Pursuant to the Louvet Employment Agreement, to the extent that the aggregate present value of any payments or benefits payable to him that constitute “parachute payments” under Section 280G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582930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93"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96</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760"/>
            <wp:effectExtent l="0" t="0" r="0" b="0"/>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Code (the “parachute amount”) would exceed 2.99 times his “base amount” (as defined for purposes of Section 280G of the Code), then such payments and benefits shall be reduced to the extent necessary so that the parachute amount is equal to 2.99 times his base amount (provided, that no reduction shall apply if he would retain, on a net after-tax basis, a greater amount than he would have retained, on a net after-tax basis, after applying such reduction).</w:t>
      </w:r>
    </w:p>
    <w:p>
      <w:pPr>
        <w:spacing w:after="0" w:line="12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Under the Louvet Employment Agreement, the above described amounts and stock awards to be provided to him are subject to his compliance with the following restrictive covenants: (i) not to compete with us for one year following the termination of his employment; (ii) not to solicit any of our employees for two years following the termination of his employment; (iii) not to disparage us for seven years following the end of the employment term (and indefinitely with respect to Mr. R. Lauren and members of his family); and (iv) not to disclose any of our confidential information. Under the Louvet Employment Agreement, cause is defined to mean: (1) the willful and continued failure by Mr. Louvet to substantially perform his duties hereunder after demand for substantial performance is delivered to him by us that specifically identifies the manner in which we believe he has not substantially performed his duties hereunder, (2) Mr. Louvet’s conviction of, or plea of nolo contendere to, a crime (whether or not involving the Company) constituting any felony, (3) the willful engaging by Mr. Louvet in gross misconduct relating to his employment that is materially injurious to the Company, monetarily or otherwise, or which subjects or if generally known would subject the Company to public ridicule. Notwithstanding the foregoing, his employment may be terminated for cause only by act of the Board and, in any event, his employment shall not be deemed to have been terminated for cause without (x) reasonable written notice to Mr. Louvet setting forth the reasons for the Company’s intention to terminate for cause, (y) the opportunity to cure (if curable) within 30 days of such written notice, and (z) an opportunity for him, together with his counsel, to be heard by the Board.</w:t>
      </w:r>
    </w:p>
    <w:p>
      <w:pPr>
        <w:spacing w:after="0" w:line="13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Under the Louvet Employment Agreement, good reason is defined to mean a termination of employment by Mr. Louvet within one (1) year following the occurrence of (A) a material diminution in or adverse alteration to his title as CEO, base salary, benefits, position, or duties (provided that the exercise of Mr. R. Lauren of any authority permitted under the Louvet Employment Agreement shall not constitute a material diminution in, or material adverse alteration to, the Executive’s “position” or “duties” for this purpose), (B) the relocation of his principal office outside the area which comprises a 50 mile radius from New York City, (C) a failure of the Company to comply with any material provision of the Louvet Employment Agreement, or (D) the Company requires the Executive to report to any person other than the current Executive Chairman or to the Board; provided, that the events described in clauses (A), (B), (C) and (D) above shall not constitute good reason (1) until Mr. Louvet provides written notice to the Company of the existence of such diminution, change, reduction, relocation or failure within 90 days of its occurrence and (2) unless such diminution, change, reduction or failure (as applicable) has not been cured within 30 days after written notice of such noncompliance has been given by Mr. Louvet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If necessary to comply with Section 409A of the Code, any severance payments will be subject to a six-month delay in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36893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b w:val="1"/>
          <w:bCs w:val="1"/>
          <w:color w:val="auto"/>
        </w:rPr>
        <w:t xml:space="preserve">Robert Ranftl. </w:t>
      </w:r>
      <w:r>
        <w:rPr>
          <w:rFonts w:ascii="Arial" w:cs="Arial" w:eastAsia="Arial" w:hAnsi="Arial"/>
          <w:sz w:val="16"/>
          <w:szCs w:val="16"/>
          <w:color w:val="auto"/>
        </w:rPr>
        <w:t>Under the Ranftl Employment Agreement, if we terminate Mr. Ranftl’s employment for any reason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death, disability or Cause, or he voluntarily terminates his employment for Good Reason (as defined in the Ranftl Employment Agreement and as described below), he will be entitled to continue to receive, in accordance with our normal payroll practices, an amount equal to his base salary for a severance period of twelve months, plus an amount, payable at the end of the severance period, equal to his target bonus. Mr. Ranftl will also be entitled to continue his participation during the severance period in any group medical or dental insurance plans in which he participated prior to termination.</w:t>
      </w:r>
    </w:p>
    <w:p>
      <w:pPr>
        <w:spacing w:after="0" w:line="12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If Mr. Ranftl voluntarily terminates his employment without good reason, or if we terminate his employment for cause, he will be entitled to receive only his base salary through the date of termination.</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the event of his termination due to his death or disability, Mr. Ranftl or his estate will be entitled to receive all payments due to him through the date of his death or termination due to disability. Further, he will be entitled to receive a pro-rated amount, based on the percentage of time that has elapsed during the applicable performance periods, of the unvested RSUs and PSUs held by him, which shall vest at the end of the applicable vesting period, subject to our achievement of pre-established financial goals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260350</wp:posOffset>
            </wp:positionV>
            <wp:extent cx="128905" cy="11112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9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126365</wp:posOffset>
            </wp:positionV>
            <wp:extent cx="6995160"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Under the Ranftl Employment Agreement, if the Company terminates his employment without cause, or Mr. Ranftl voluntarily terminates his employment for good reason, in each case within 12 months following a change in control of the Company (as defined in the Ranftl Employment Agreement), then, in lieu of the foregoing amounts, he will be entitled to receive a lump sum amount, payable within 15 days after the termination of his employment, equal to two times the sum of his then current annual base salary and prior fiscal year’s bonus immediately prior to his termination. In addition, in such event, any unvested stock options held by Mr. Ranftl will immediately vest and any PSUs or restricted shares held by Mr. Ranftl which are unvested will be deemed vested immediately prior to such change in control.</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above described amounts and stock awards to be provided to him are subject to his compliance with the following restrictive covenants: (i) in the event his employment is terminated for cause or he resigns without good reason, not to compete with us for one year following the termination of his employment; (ii) not to solicit any of our employees for one year following the termination of his employment; (iii) not to disparage us following the termination of his employment; and (iv) not to disclose any of our confidential information.</w:t>
      </w:r>
    </w:p>
    <w:p>
      <w:pPr>
        <w:spacing w:after="0" w:line="12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Under the Ranftl Employment Agreement, cause is defined as: (i) willful and repeated failure by Mr. Ranftl to substantially perform the material duties of his employment agreement (other than due to disability); or (ii) an act of fraud, embezzlement, theft, breach of fiduciary duty, dishonesty, or any violation of law (other than a traffic violation) with regard to the Company committed by Mr. Ranftl; or (iii) any willful action by him causing damage to or misappropriation of our assets; or (iv) his breach of a material provision of the Ranftl Employment Agreement; or (v) his breach of any of our material written employment policies; or (vi) performance by him of his employment duties in a manner deemed by us, in good faith, to be grossly negligent; or (vii) the commission of any act by him, whether or not performed in the workplace, which subjects or, if publicly known, would be likely to subject us to public ridicule or embarrassment, or would likely be detrimental or damaging to us materially; notwithstanding the foregoing, the above conduct shall not constitute cause unless and until such failure by him has not been cured to our satisfaction (if curable), in our sole discretion, within thirty (30) days after notice of such failure has been given by us to Mr. Ranftl.</w:t>
      </w:r>
    </w:p>
    <w:p>
      <w:pPr>
        <w:spacing w:after="0" w:line="133"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Under the Ranftl Employment Agreement, good reason is defined as a termination of employment by him within 60 days following the occurrence of: (A) a material diminution in or material adverse alteration to his title, base salary, or position, provided that a change in reporting relationship (except as set forth in (D) below) or a removal of particular business units or functions from his purview shall not constitute a material diminution in or material adverse alteration to his position for this purpose; (B) the relocation of his principal office outside the area which comprises a 50 mile radius from the State of North Carolina; (C) a failure of the Company to comply with any material provision of the Ranftl Employment Agreement; or (D) a requirement that Mr. Ranftl report to anyone other than the Chief Executive Officer or, regardless of job title, an executive with substantially equivalent or more senior job responsibilities, provided that the events described in clauses (A), (B), (C) or (D) above shall not constitute good reason until (i) Mr. Ranftl provides written notice to the Company of the existence of such diminution, alteration, relocation, or failure within 30 days of the date he learned of its occurrence; and (ii) unless such diminution, alteration, relocation, or failure (as applicable) has not been cured within 30 days after written notice of such noncompliance has been given by Mr. Ranftl to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If necessary to comply with Section 409A of the Code, any severance payments will be subject to a six-month delay in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36893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b w:val="1"/>
          <w:bCs w:val="1"/>
          <w:color w:val="auto"/>
        </w:rPr>
        <w:t xml:space="preserve">Justin Picicci. </w:t>
      </w:r>
      <w:r>
        <w:rPr>
          <w:rFonts w:ascii="Arial" w:cs="Arial" w:eastAsia="Arial" w:hAnsi="Arial"/>
          <w:sz w:val="16"/>
          <w:szCs w:val="16"/>
          <w:color w:val="auto"/>
        </w:rPr>
        <w:t>Under the Picicci Employment Agreement, if we terminate Mr. Picicci’s employment for any reason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death, disability or Cause, or he voluntarily terminates his employment for Good Reason (as defined in the Picicci Employment Agreement and as described below), he will be entitled to continue to receive, in accordance with our normal payroll practices, an amount equal to his base salary for a severance period of twelve months, plus an amount, payable at the end of the severance period, equal to his target bonus. Mr. Picicci will also be entitled to continue his participation during the severance period in any group medical or dental insurance plans in which he participated prior to termination.</w:t>
      </w:r>
    </w:p>
    <w:p>
      <w:pPr>
        <w:spacing w:after="0" w:line="12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If Mr. Picicci voluntarily terminates his employment without good reason, or if we terminate his employment for cause, he will be entitled to receive only his base salary through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582930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6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001641"/>
        </w:rPr>
        <w:t>98</w:t>
      </w:r>
      <w:r>
        <w:rPr>
          <w:sz w:val="20"/>
          <w:szCs w:val="20"/>
          <w:color w:val="auto"/>
        </w:rPr>
        <w:tab/>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the event of his termination due to his death or disability, Mr. Picicci or his estate will be entitled to receive all payments due to him through the date of his death or termination due to disability. Further, he will be entitled to receive a pro-rated amount, based on the percentage of time that has elapsed during the applicable performance periods, of the unvested RSUs and PSUs held by him, which shall vest at the end of the applicable vesting period, subject to our achievement of pre-established financial goals where applicable.</w:t>
      </w:r>
    </w:p>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Under the Picicci Employment Agreement, if the Company terminates his employment without cause, or Mr. Picicci voluntarily terminates his employment for good reason, in each case within 12 months following a change in control of the Company (as defined in the Picicci Employment Agreement), then, in lieu of the foregoing amounts, he will be entitled to receive a lump sum amount, payable within 15 days after the termination of his employment, equal to two times the sum of his then current annual base salary and prior fiscal year’s bonus immediately prior to his termination. In addition, in such event, any unvested stock options held by Mr. Picicci will immediately vest and any PSUs or restricted shares held by Mr. Picicci which are unvested will be deemed vested immediately prior to such change in control.</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above described amounts and stock awards to be provided to him are subject to his compliance with the following restrictive covenants: (i) in the event his employment is terminated for cause or he resigns without good reason, not to compete with us for one year following the termination of his employment; (ii) not to solicit any of our employees for one year following the termination of his employment; (iii) not to disparage us following the termination of his employment; and (iv) not to disclose any of our confidential information.</w:t>
      </w:r>
    </w:p>
    <w:p>
      <w:pPr>
        <w:spacing w:after="0" w:line="12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Under the Picicci Employment Agreement, cause is defined as: (i) willful and repeated failure by Mr. Picicci to substantially perform the material duties of his employment agreement (other than due to disability); or (ii) an act of fraud, embezzlement, theft, breach of fiduciary duty, dishonesty, or any violation of law (other than a traffic violation) with regard to the Company committed by Mr. Picicci; or (iii) any willful action by him causing damage to or misappropriation of our assets; or (iv) his breach of a material provision of the Picicci Employment Agreement; or (v) his breach of any of our material written employment policies; or (vi) performance by him of his employment duties in a manner deemed by us, in good faith, to be grossly negligent; or (vii) the commission of any act by him, whether or not performed in the workplace, which subjects or, if publicly known, would be likely to subject us to public ridicule or embarrassment, or would likely be detrimental or damaging to us materially; notwithstanding the foregoing, the above conduct shall not constitute cause unless and until such failure by him has not been cured to our satisfaction (if curable), in our sole discretion, within thirty (30) days after notice of such failure has been given by us to Mr. Picicci.</w:t>
      </w:r>
    </w:p>
    <w:p>
      <w:pPr>
        <w:spacing w:after="0" w:line="13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Under the Picicci Employment Agreement, good reason is defined as a termination of employment by him within 60 days following the occurrence of: (A) a material diminution in or material adverse alteration to his title, base salary, or position, provided that a change in reporting relationship (except as set forth in (D) below) or a removal of particular business units or functions from his purview shall not constitute a material diminution in or material adverse alteration to his position for this purpose; (B) the relocation of his principal office outside the area which comprises a 50 mile radius from either New York City or Nutley, New Jersey offices; (C) a failure of the Company to comply with any material provision of the Picicci Employment Agreement; or (D) a requirement that Mr. Picicci report to anyone other than the Chief Operating Officer or, regardless of job title, an executive with substantially equivalent or more senior job responsibilities, provided that the events described in clauses (A), (B), (C) or (D) above shall not constitute good reason until (i) Mr. Picicci provides written notice to the Company of the existence of such diminution, alteration, relocation, or failure within 30 days of the date he learned of its occurrence; and (ii) unless such diminution, alteration, relocation, or failure (as applicable) has not been cured within 30 days after written notice of such noncompliance has been given by Mr. Picicci to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If necessary to comply with Section 409A of the Code, any severance payments will be subject to a six-month delay in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36893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b w:val="1"/>
          <w:bCs w:val="1"/>
          <w:color w:val="auto"/>
        </w:rPr>
        <w:t xml:space="preserve">Halide Alagoz. </w:t>
      </w:r>
      <w:r>
        <w:rPr>
          <w:rFonts w:ascii="Arial" w:cs="Arial" w:eastAsia="Arial" w:hAnsi="Arial"/>
          <w:sz w:val="16"/>
          <w:szCs w:val="16"/>
          <w:color w:val="auto"/>
        </w:rPr>
        <w:t>Under the Alagoz Employment Agreement, if we terminate Ms. Alagoz’s employment for any reason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death, disability or cause (as defined in the Alagoz Employment Agreement and as described below), or she voluntarily terminates her employment for good reason (as defined in the Alagoz Employment Agreement and as described below), she will be entitled to continue to receive, in accordance with our normal payroll practices, an amount equal to her base salary for a severance period of twelve months, plus an amount, payable at the end of the severance period, equal her target bonus, plus a pro-rata EOAIP bonus for the year of termination based on actual performance. Ms. Alagoz will also be entitled to continue her participation during the severance period in any group medical or dental insurance plans in which she participated prior to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58293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262255</wp:posOffset>
            </wp:positionV>
            <wp:extent cx="128905" cy="11112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9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808080"/>
        </w:rPr>
        <w:t>Ralph Lauren 2026 Proxy Statement</w:t>
      </w:r>
      <w:r>
        <w:rPr>
          <w:sz w:val="20"/>
          <w:szCs w:val="20"/>
          <w:color w:val="auto"/>
        </w:rPr>
        <w:tab/>
      </w:r>
      <w:r>
        <w:rPr>
          <w:rFonts w:ascii="Arial" w:cs="Arial" w:eastAsia="Arial" w:hAnsi="Arial"/>
          <w:sz w:val="14"/>
          <w:szCs w:val="14"/>
          <w:b w:val="1"/>
          <w:bCs w:val="1"/>
          <w:color w:val="001641"/>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10" w:name="page111"/>
    <w:bookmarkEnd w:id="11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left="6" w:right="80"/>
        <w:spacing w:after="0" w:line="286" w:lineRule="auto"/>
        <w:rPr>
          <w:sz w:val="20"/>
          <w:szCs w:val="20"/>
          <w:color w:val="auto"/>
        </w:rPr>
      </w:pPr>
      <w:r>
        <w:rPr>
          <w:rFonts w:ascii="Arial" w:cs="Arial" w:eastAsia="Arial" w:hAnsi="Arial"/>
          <w:sz w:val="16"/>
          <w:szCs w:val="16"/>
          <w:color w:val="auto"/>
        </w:rPr>
        <w:t>If Ms. Alagoz voluntarily terminates her employment without good reason, or if we terminate her employment for cause, she will be entitled to receive only her base salary through the date of termination.</w:t>
      </w:r>
    </w:p>
    <w:p>
      <w:pPr>
        <w:spacing w:after="0" w:line="102" w:lineRule="exact"/>
        <w:rPr>
          <w:sz w:val="20"/>
          <w:szCs w:val="20"/>
          <w:color w:val="auto"/>
        </w:rPr>
      </w:pPr>
    </w:p>
    <w:p>
      <w:pPr>
        <w:ind w:left="6" w:right="20"/>
        <w:spacing w:after="0" w:line="256" w:lineRule="auto"/>
        <w:rPr>
          <w:sz w:val="20"/>
          <w:szCs w:val="20"/>
          <w:color w:val="auto"/>
        </w:rPr>
      </w:pPr>
      <w:r>
        <w:rPr>
          <w:rFonts w:ascii="Arial" w:cs="Arial" w:eastAsia="Arial" w:hAnsi="Arial"/>
          <w:sz w:val="16"/>
          <w:szCs w:val="16"/>
          <w:color w:val="auto"/>
        </w:rPr>
        <w:t>In the event of her termination due to her death or disability, Ms. Alagoz or her estate will be entitled to receive all payments due to her through the date of her death or termination due to disability. Further, she will be entitled to receive a pro-rated amount, based on the percentage of time that has elapsed during the applicable performance periods, of the unvested RSUs and PSUs held by her, which shall vest at the end of the applicable vesting period, subject to our achievement of pre-established financial goals where applicable.</w:t>
      </w:r>
    </w:p>
    <w:p>
      <w:pPr>
        <w:spacing w:after="0" w:line="126" w:lineRule="exact"/>
        <w:rPr>
          <w:sz w:val="20"/>
          <w:szCs w:val="20"/>
          <w:color w:val="auto"/>
        </w:rPr>
      </w:pPr>
    </w:p>
    <w:p>
      <w:pPr>
        <w:ind w:left="6" w:right="20"/>
        <w:spacing w:after="0" w:line="253" w:lineRule="auto"/>
        <w:rPr>
          <w:sz w:val="20"/>
          <w:szCs w:val="20"/>
          <w:color w:val="auto"/>
        </w:rPr>
      </w:pPr>
      <w:r>
        <w:rPr>
          <w:rFonts w:ascii="Arial" w:cs="Arial" w:eastAsia="Arial" w:hAnsi="Arial"/>
          <w:sz w:val="16"/>
          <w:szCs w:val="16"/>
          <w:color w:val="auto"/>
        </w:rPr>
        <w:t>Under the Alagoz Employment Agreement, if the Company terminates her employment without cause, or Ms. Alagoz voluntarily terminates her employment for good reason, in each case within 12 months following a change in control of the Company (as defined in the Alagoz Employment Agreement), then, in lieu of the foregoing amounts, she will be entitled to receive a lump sum amount, payable within 15 days after the termination of her employment, equal to two times the sum of her then current annual base salary and prior fiscal year’s bonus immediately prior to her termination. In addition, in such event, any unvested stock options, RSUs and other equity awards held by Ms. Alagoz will immediately vest. In the case of any performance-based equity awards, the accelerated vesting would be calculated as if the target performance level was achieved.</w:t>
      </w:r>
    </w:p>
    <w:p>
      <w:pPr>
        <w:spacing w:after="0" w:line="127" w:lineRule="exact"/>
        <w:rPr>
          <w:sz w:val="20"/>
          <w:szCs w:val="20"/>
          <w:color w:val="auto"/>
        </w:rPr>
      </w:pPr>
    </w:p>
    <w:p>
      <w:pPr>
        <w:ind w:left="6" w:right="40"/>
        <w:spacing w:after="0" w:line="256" w:lineRule="auto"/>
        <w:rPr>
          <w:sz w:val="20"/>
          <w:szCs w:val="20"/>
          <w:color w:val="auto"/>
        </w:rPr>
      </w:pPr>
      <w:r>
        <w:rPr>
          <w:rFonts w:ascii="Arial" w:cs="Arial" w:eastAsia="Arial" w:hAnsi="Arial"/>
          <w:sz w:val="16"/>
          <w:szCs w:val="16"/>
          <w:color w:val="auto"/>
        </w:rPr>
        <w:t>The above described amounts and stock awards to be provided to her are subject to her compliance with the following restrictive covenants: (i) in the event her employment is terminated for cause or she resigns without good reason, not to compete with us for one year following the termination of her employment; (ii) not to solicit any of our employees for one year following the termination of her employment; (iii) not to disparage us following the termination of her employment; and (iv) not to disclose any of our confidential information.</w:t>
      </w:r>
    </w:p>
    <w:p>
      <w:pPr>
        <w:spacing w:after="0" w:line="126" w:lineRule="exact"/>
        <w:rPr>
          <w:sz w:val="20"/>
          <w:szCs w:val="20"/>
          <w:color w:val="auto"/>
        </w:rPr>
      </w:pPr>
    </w:p>
    <w:p>
      <w:pPr>
        <w:ind w:left="6"/>
        <w:spacing w:after="0" w:line="250" w:lineRule="auto"/>
        <w:rPr>
          <w:sz w:val="20"/>
          <w:szCs w:val="20"/>
          <w:color w:val="auto"/>
        </w:rPr>
      </w:pPr>
      <w:r>
        <w:rPr>
          <w:rFonts w:ascii="Arial" w:cs="Arial" w:eastAsia="Arial" w:hAnsi="Arial"/>
          <w:sz w:val="16"/>
          <w:szCs w:val="16"/>
          <w:color w:val="auto"/>
        </w:rPr>
        <w:t>Under the Alagoz Employment Agreement, cause is defined as: (i) failure by Ms. Alagoz to perform the duties of her employment agreement (other than due to disability), provided that the conduct shall not constitute cause unless such failure by her to perform her duties has not been cured to our satisfaction, in our sole discretion, within fifteen (15) days after notice of such failure has been given by us to Ms. Alagoz; or (ii) an act of fraud, embezzlement, theft, breach of fiduciary duty, dishonesty, or any other misconduct or any violation of law (other than a traffic violation) committed by Ms. Alagoz; or (iii) any action by her causing damage to or misappropriation of our assets; or (iv) her wrongful disclosure of our confidential information; or (v) her engagement in any competitive activity which would constitute a breach of her employment agreement and/or of her duty of loyalty; or (vi) her breach of any of our employment policies; or (vii) performance by her of her employment duties in a manner deemed by us, in our sole discretion, to be grossly negligent; or (viii) the commission of any act by her, whether or not performed in the workplace, which subjects or, if publicly known, would be likely to subject us to public ridicule or embarrassment, or would likely be detrimental or damaging to our reputation, goodwill, or relationships with our customers, suppliers, vendors, licensees or employees.</w:t>
      </w:r>
    </w:p>
    <w:p>
      <w:pPr>
        <w:spacing w:after="0" w:line="130" w:lineRule="exact"/>
        <w:rPr>
          <w:sz w:val="20"/>
          <w:szCs w:val="20"/>
          <w:color w:val="auto"/>
        </w:rPr>
      </w:pPr>
    </w:p>
    <w:p>
      <w:pPr>
        <w:ind w:left="6" w:right="100"/>
        <w:spacing w:after="0" w:line="250" w:lineRule="auto"/>
        <w:rPr>
          <w:sz w:val="20"/>
          <w:szCs w:val="20"/>
          <w:color w:val="auto"/>
        </w:rPr>
      </w:pPr>
      <w:r>
        <w:rPr>
          <w:rFonts w:ascii="Arial" w:cs="Arial" w:eastAsia="Arial" w:hAnsi="Arial"/>
          <w:sz w:val="16"/>
          <w:szCs w:val="16"/>
          <w:color w:val="auto"/>
        </w:rPr>
        <w:t>Under the Alagoz Employment Agreement, good reason is defined as a termination of employment by her within 60 days following the occurrence of: (A) a material diminution in or material adverse alteration to her title, base salary, or position, provided that a removal of particular business units or functions from her purview shall not constitute a material diminution in or material adverse alteration to her position for this purpose; (B) the relocation of her principal office outside the area which comprises a 50 mile radius from either New York City; or (C) a failure of the Company to comply with any material provision of the Alagoz Employment Agreement, provided that the events described in clauses (A), (B), and (C) above shall not constitute good reason until (i) Ms. Alagoz provides written notice to the Company of the existence of such diminution, alteration, relocation, or failure within 30 days of the date she learned of its occurrence; and (ii) unless such diminution, alteration, relocation, or failure (as applicable) has not been cured within 30 days after written notice of such noncompliance has been given by Ms. Alagoz to the Company. If necessary to comply with Section 409A of the Code, any severance payments will be subject to a six-month delay in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36893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ind w:left="6" w:right="40"/>
        <w:spacing w:after="0" w:line="266" w:lineRule="auto"/>
        <w:rPr>
          <w:sz w:val="20"/>
          <w:szCs w:val="20"/>
          <w:color w:val="auto"/>
        </w:rPr>
      </w:pPr>
      <w:r>
        <w:rPr>
          <w:rFonts w:ascii="Arial" w:cs="Arial" w:eastAsia="Arial" w:hAnsi="Arial"/>
          <w:sz w:val="16"/>
          <w:szCs w:val="16"/>
          <w:b w:val="1"/>
          <w:bCs w:val="1"/>
          <w:color w:val="auto"/>
        </w:rPr>
        <w:t xml:space="preserve">David Lauren. </w:t>
      </w:r>
      <w:r>
        <w:rPr>
          <w:rFonts w:ascii="Arial" w:cs="Arial" w:eastAsia="Arial" w:hAnsi="Arial"/>
          <w:sz w:val="16"/>
          <w:szCs w:val="16"/>
          <w:color w:val="auto"/>
        </w:rPr>
        <w:t>If we terminate Mr. D. Lauren not based on poor job performance and without just cause, he would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to receive, in accordance with our normal payroll practices, an amount equal to his base salary for a severance period of one year. Under the Company’s severance pay plan for employees in the United States, just cause is defined to mean:</w:t>
      </w:r>
    </w:p>
    <w:p>
      <w:pPr>
        <w:spacing w:after="0" w:line="117" w:lineRule="exact"/>
        <w:rPr>
          <w:sz w:val="20"/>
          <w:szCs w:val="20"/>
          <w:color w:val="auto"/>
        </w:rPr>
      </w:pPr>
    </w:p>
    <w:p>
      <w:pPr>
        <w:jc w:val="both"/>
        <w:ind w:left="6" w:right="80" w:hanging="6"/>
        <w:spacing w:after="0" w:line="259" w:lineRule="auto"/>
        <w:tabs>
          <w:tab w:leader="none" w:pos="249"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act or omission by the employee resulting or intended to result in personal gain at the expense of the employer; (2) The performance by the employee of his or her employment duties in a manner deemed by the employer to be grossly negligent (3) The improper disclosure by the employee of proprietary or confidential information or trade secrets of the Employer, or intellectual property which an employer is under a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58293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88"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001641"/>
        </w:rPr>
        <w:t xml:space="preserve">100 </w:t>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111" w:name="page112"/>
    <w:bookmarkEnd w:id="111"/>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left="6" w:right="120"/>
        <w:spacing w:after="0" w:line="253" w:lineRule="auto"/>
        <w:rPr>
          <w:sz w:val="20"/>
          <w:szCs w:val="20"/>
          <w:color w:val="auto"/>
        </w:rPr>
      </w:pPr>
      <w:r>
        <w:rPr>
          <w:rFonts w:ascii="Arial" w:cs="Arial" w:eastAsia="Arial" w:hAnsi="Arial"/>
          <w:sz w:val="16"/>
          <w:szCs w:val="16"/>
          <w:color w:val="auto"/>
        </w:rPr>
        <w:t>to protect, including software licensed to an Employer under agreements prohibiting disclosure; (4) Misconduct by the employee, including, but not limited to, fraud, falsification of employer records, failure to comply with employer policies, rules or guidelines (including a violation of the Employer’s business code of conduct), harassment, excessive absenteeism, dishonesty, insubordination, theft, violent acts or threats of violence, or possession of alcohol or narcotics on the property of any employer, or the use of any of the Employer’s property, facilities or services for illegal purposes; (5) Violation of any material written employer policy; or (6) The commission of an act by the employee, whether or not performed in the workplace, which subjects, or if generally known, would subject any employer to public ridicule or embarrassment.</w:t>
      </w:r>
    </w:p>
    <w:p>
      <w:pPr>
        <w:spacing w:after="0" w:line="127" w:lineRule="exact"/>
        <w:rPr>
          <w:sz w:val="20"/>
          <w:szCs w:val="20"/>
          <w:color w:val="auto"/>
        </w:rPr>
      </w:pPr>
    </w:p>
    <w:p>
      <w:pPr>
        <w:ind w:left="6" w:right="100"/>
        <w:spacing w:after="0" w:line="259" w:lineRule="auto"/>
        <w:rPr>
          <w:sz w:val="20"/>
          <w:szCs w:val="20"/>
          <w:color w:val="auto"/>
        </w:rPr>
      </w:pPr>
      <w:r>
        <w:rPr>
          <w:rFonts w:ascii="Arial" w:cs="Arial" w:eastAsia="Arial" w:hAnsi="Arial"/>
          <w:sz w:val="16"/>
          <w:szCs w:val="16"/>
          <w:color w:val="auto"/>
        </w:rPr>
        <w:t>In connection with his receipt of severance, and per the Company’s practice under its severance pay plan, Mr. D. Lauren would be required to comply with the following restrictive covenants: (i) not to solicit any of our employees for one year following the termination of his employment; (ii) not to disparage us following the termination of his employment; and (iii) not to disclose any of our confidential information.</w:t>
      </w:r>
    </w:p>
    <w:p>
      <w:pPr>
        <w:spacing w:after="0" w:line="124" w:lineRule="exact"/>
        <w:rPr>
          <w:sz w:val="20"/>
          <w:szCs w:val="20"/>
          <w:color w:val="auto"/>
        </w:rPr>
      </w:pPr>
    </w:p>
    <w:p>
      <w:pPr>
        <w:ind w:left="6" w:right="100"/>
        <w:spacing w:after="0" w:line="256" w:lineRule="auto"/>
        <w:rPr>
          <w:sz w:val="20"/>
          <w:szCs w:val="20"/>
          <w:color w:val="auto"/>
        </w:rPr>
      </w:pPr>
      <w:r>
        <w:rPr>
          <w:rFonts w:ascii="Arial" w:cs="Arial" w:eastAsia="Arial" w:hAnsi="Arial"/>
          <w:sz w:val="16"/>
          <w:szCs w:val="16"/>
          <w:color w:val="auto"/>
        </w:rPr>
        <w:t>In the event of his termination due to his death or disability, Mr. Lauren or his estate will be entitled to receive all payments due to him through the date of his death or termination due to disability. Further, he will be entitled to receive a pro-rated amount, based on the percentage of time that has elapsed during the applicable performance periods, of the unvested RSUs and PSUs held by him, which shall vest at the end of the applicable vesting period, subject to our achievement of pre-established financial goals where applicable.</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If necessary to comply with Section 409A of the Code, any severance payments will be subject to a six-month delay in payment.</w:t>
      </w:r>
    </w:p>
    <w:p>
      <w:pPr>
        <w:spacing w:after="0" w:line="328"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POTENTIAL PAYMENTS UPON TERMINATION OR CHANGE IN CONTROL TABLES</w:t>
      </w:r>
    </w:p>
    <w:p>
      <w:pPr>
        <w:spacing w:after="0" w:line="153" w:lineRule="exact"/>
        <w:rPr>
          <w:sz w:val="20"/>
          <w:szCs w:val="20"/>
          <w:color w:val="auto"/>
        </w:rPr>
      </w:pPr>
    </w:p>
    <w:p>
      <w:pPr>
        <w:ind w:left="6" w:right="60"/>
        <w:spacing w:after="0" w:line="266" w:lineRule="auto"/>
        <w:rPr>
          <w:sz w:val="20"/>
          <w:szCs w:val="20"/>
          <w:color w:val="auto"/>
        </w:rPr>
      </w:pPr>
      <w:r>
        <w:rPr>
          <w:rFonts w:ascii="Arial" w:cs="Arial" w:eastAsia="Arial" w:hAnsi="Arial"/>
          <w:sz w:val="16"/>
          <w:szCs w:val="16"/>
          <w:color w:val="auto"/>
        </w:rPr>
        <w:t>The following tables reflect incremental payments and benefits that would be owed by the Company to each of our NEOs beyond what they had earned as of March 28, 2026 upon termination of their employment under certain circumstances or in the event of a change in control, assuming that:</w:t>
      </w:r>
    </w:p>
    <w:p>
      <w:pPr>
        <w:spacing w:after="0" w:line="117" w:lineRule="exact"/>
        <w:rPr>
          <w:sz w:val="20"/>
          <w:szCs w:val="20"/>
          <w:color w:val="auto"/>
        </w:rPr>
      </w:pPr>
    </w:p>
    <w:p>
      <w:pPr>
        <w:ind w:left="166" w:hanging="166"/>
        <w:spacing w:after="0"/>
        <w:tabs>
          <w:tab w:leader="none" w:pos="16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NEO’s employment terminated or, in the event of a change in control, such change in control occurred on March 28, 2026;</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NEO’s salary continues as it existed on March 28, 2026;</w:t>
      </w:r>
    </w:p>
    <w:p>
      <w:pPr>
        <w:spacing w:after="0" w:line="140" w:lineRule="exact"/>
        <w:rPr>
          <w:rFonts w:ascii="Arial" w:cs="Arial" w:eastAsia="Arial" w:hAnsi="Arial"/>
          <w:sz w:val="16"/>
          <w:szCs w:val="16"/>
          <w:color w:val="auto"/>
        </w:rPr>
      </w:pPr>
    </w:p>
    <w:p>
      <w:pPr>
        <w:ind w:left="166" w:hanging="166"/>
        <w:spacing w:after="0"/>
        <w:tabs>
          <w:tab w:leader="none" w:pos="16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NEO’s employment agreement, as applicable, and term as of March 28, 2026, applies;</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86"/>
        </w:numPr>
        <w:rPr>
          <w:rFonts w:ascii="Arial" w:cs="Arial" w:eastAsia="Arial" w:hAnsi="Arial"/>
          <w:sz w:val="16"/>
          <w:szCs w:val="16"/>
          <w:color w:val="auto"/>
        </w:rPr>
      </w:pPr>
      <w:r>
        <w:rPr>
          <w:rFonts w:ascii="Arial" w:cs="Arial" w:eastAsia="Arial" w:hAnsi="Arial"/>
          <w:sz w:val="16"/>
          <w:szCs w:val="16"/>
          <w:color w:val="auto"/>
        </w:rPr>
        <w:t>PSUs that are accelerated upon a change in control are deemed to do so at target;</w:t>
      </w:r>
    </w:p>
    <w:p>
      <w:pPr>
        <w:spacing w:after="0" w:line="126" w:lineRule="exact"/>
        <w:rPr>
          <w:rFonts w:ascii="Arial" w:cs="Arial" w:eastAsia="Arial" w:hAnsi="Arial"/>
          <w:sz w:val="16"/>
          <w:szCs w:val="16"/>
          <w:color w:val="auto"/>
        </w:rPr>
      </w:pPr>
    </w:p>
    <w:p>
      <w:pPr>
        <w:ind w:left="166" w:right="280" w:hanging="166"/>
        <w:spacing w:after="0" w:line="259" w:lineRule="auto"/>
        <w:tabs>
          <w:tab w:leader="none" w:pos="166" w:val="left"/>
        </w:tabs>
        <w:numPr>
          <w:ilvl w:val="0"/>
          <w:numId w:val="86"/>
        </w:numPr>
        <w:rPr>
          <w:rFonts w:ascii="Arial" w:cs="Arial" w:eastAsia="Arial" w:hAnsi="Arial"/>
          <w:sz w:val="16"/>
          <w:szCs w:val="16"/>
          <w:color w:val="auto"/>
        </w:rPr>
      </w:pPr>
      <w:r>
        <w:rPr>
          <w:rFonts w:ascii="Arial" w:cs="Arial" w:eastAsia="Arial" w:hAnsi="Arial"/>
          <w:sz w:val="16"/>
          <w:szCs w:val="16"/>
          <w:color w:val="auto"/>
        </w:rPr>
        <w:t>awards granted under the 2010 Stock Incentive Plan or 2019 Stock Incentive Plan held by participants which are unexercisable or otherwise unvested shall automatically be deemed exercisable or otherwise vest immediately upon a qualifying termination in connection with a change in control in accordance with the terms of the 2010 Stock Incentive Plan and the 2019 Stock Incentive Plan;</w:t>
      </w:r>
    </w:p>
    <w:p>
      <w:pPr>
        <w:spacing w:after="0" w:line="96" w:lineRule="exact"/>
        <w:rPr>
          <w:rFonts w:ascii="Arial" w:cs="Arial" w:eastAsia="Arial" w:hAnsi="Arial"/>
          <w:sz w:val="16"/>
          <w:szCs w:val="16"/>
          <w:color w:val="auto"/>
        </w:rPr>
      </w:pPr>
    </w:p>
    <w:p>
      <w:pPr>
        <w:ind w:left="166" w:right="300" w:hanging="166"/>
        <w:spacing w:after="0" w:line="286" w:lineRule="auto"/>
        <w:tabs>
          <w:tab w:leader="none" w:pos="16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stock price for the Class A Common Stock is $327.82 per share (the NYSE closing price of Class A Common Stock on March 27, 2026, the last business day of Fiscal 2026 on which there were sales of shares); and</w:t>
      </w:r>
    </w:p>
    <w:p>
      <w:pPr>
        <w:spacing w:after="0" w:line="61" w:lineRule="exact"/>
        <w:rPr>
          <w:rFonts w:ascii="Arial" w:cs="Arial" w:eastAsia="Arial" w:hAnsi="Arial"/>
          <w:sz w:val="16"/>
          <w:szCs w:val="16"/>
          <w:color w:val="auto"/>
        </w:rPr>
      </w:pPr>
    </w:p>
    <w:p>
      <w:pPr>
        <w:ind w:left="166" w:right="140" w:hanging="166"/>
        <w:spacing w:after="0" w:line="286" w:lineRule="auto"/>
        <w:tabs>
          <w:tab w:leader="none" w:pos="16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bonus for the period March 29, 2025 through March 28, 2026 (as determined by the Talent Committee) has been earned by our NEOs as set forth in the “Summary Compensation Table.”</w:t>
      </w:r>
    </w:p>
    <w:p>
      <w:pPr>
        <w:spacing w:after="0" w:line="102" w:lineRule="exact"/>
        <w:rPr>
          <w:sz w:val="20"/>
          <w:szCs w:val="20"/>
          <w:color w:val="auto"/>
        </w:rPr>
      </w:pPr>
    </w:p>
    <w:p>
      <w:pPr>
        <w:ind w:left="6" w:right="160"/>
        <w:spacing w:after="0" w:line="286" w:lineRule="auto"/>
        <w:rPr>
          <w:sz w:val="20"/>
          <w:szCs w:val="20"/>
          <w:color w:val="auto"/>
        </w:rPr>
      </w:pPr>
      <w:r>
        <w:rPr>
          <w:rFonts w:ascii="Arial" w:cs="Arial" w:eastAsia="Arial" w:hAnsi="Arial"/>
          <w:sz w:val="16"/>
          <w:szCs w:val="16"/>
          <w:color w:val="auto"/>
        </w:rPr>
        <w:t>The tables do not include non-qualified deferred compensation, if any, that would be paid to the NEOs, which is set forth in the “Non-Qualified Deferred Compensation” table.</w:t>
      </w:r>
    </w:p>
    <w:p>
      <w:pPr>
        <w:spacing w:after="0" w:line="129" w:lineRule="exact"/>
        <w:rPr>
          <w:sz w:val="20"/>
          <w:szCs w:val="20"/>
          <w:color w:val="auto"/>
        </w:rPr>
      </w:pPr>
    </w:p>
    <w:tbl>
      <w:tblPr>
        <w:tblLayout w:type="fixed"/>
        <w:tblInd w:w="6" w:type="dxa"/>
        <w:tblCellMar>
          <w:top w:w="0" w:type="dxa"/>
          <w:left w:w="0" w:type="dxa"/>
          <w:bottom w:w="0" w:type="dxa"/>
          <w:right w:w="0" w:type="dxa"/>
        </w:tblCellMar>
      </w:tblPr>
      <w:tr>
        <w:trPr>
          <w:trHeight w:val="303"/>
        </w:trPr>
        <w:tc>
          <w:tcPr>
            <w:tcW w:w="5060" w:type="dxa"/>
            <w:vAlign w:val="bottom"/>
            <w:gridSpan w:val="5"/>
            <w:shd w:val="clear" w:color="auto" w:fill="BFA071"/>
          </w:tcPr>
          <w:p>
            <w:pPr>
              <w:ind w:left="120"/>
              <w:spacing w:after="0"/>
              <w:rPr>
                <w:sz w:val="20"/>
                <w:szCs w:val="20"/>
                <w:color w:val="auto"/>
              </w:rPr>
            </w:pPr>
            <w:r>
              <w:rPr>
                <w:rFonts w:ascii="Arial" w:cs="Arial" w:eastAsia="Arial" w:hAnsi="Arial"/>
                <w:sz w:val="14"/>
                <w:szCs w:val="14"/>
                <w:b w:val="1"/>
                <w:bCs w:val="1"/>
                <w:color w:val="FFFFFF"/>
              </w:rPr>
              <w:t>Executive Chairman and Chief Creative Officer - Ralph Lauren</w:t>
            </w:r>
          </w:p>
        </w:tc>
        <w:tc>
          <w:tcPr>
            <w:tcW w:w="660" w:type="dxa"/>
            <w:vAlign w:val="bottom"/>
            <w:shd w:val="clear" w:color="auto" w:fill="BFA071"/>
          </w:tcPr>
          <w:p>
            <w:pPr>
              <w:spacing w:after="0"/>
              <w:rPr>
                <w:sz w:val="24"/>
                <w:szCs w:val="24"/>
                <w:color w:val="auto"/>
              </w:rPr>
            </w:pPr>
          </w:p>
        </w:tc>
        <w:tc>
          <w:tcPr>
            <w:tcW w:w="880" w:type="dxa"/>
            <w:vAlign w:val="bottom"/>
            <w:shd w:val="clear" w:color="auto" w:fill="BFA071"/>
          </w:tcPr>
          <w:p>
            <w:pPr>
              <w:spacing w:after="0"/>
              <w:rPr>
                <w:sz w:val="24"/>
                <w:szCs w:val="24"/>
                <w:color w:val="auto"/>
              </w:rPr>
            </w:pPr>
          </w:p>
        </w:tc>
        <w:tc>
          <w:tcPr>
            <w:tcW w:w="920" w:type="dxa"/>
            <w:vAlign w:val="bottom"/>
            <w:shd w:val="clear" w:color="auto" w:fill="BFA071"/>
          </w:tcPr>
          <w:p>
            <w:pPr>
              <w:spacing w:after="0"/>
              <w:rPr>
                <w:sz w:val="24"/>
                <w:szCs w:val="24"/>
                <w:color w:val="auto"/>
              </w:rPr>
            </w:pPr>
          </w:p>
        </w:tc>
        <w:tc>
          <w:tcPr>
            <w:tcW w:w="580" w:type="dxa"/>
            <w:vAlign w:val="bottom"/>
            <w:shd w:val="clear" w:color="auto" w:fill="BFA071"/>
          </w:tcPr>
          <w:p>
            <w:pPr>
              <w:spacing w:after="0"/>
              <w:rPr>
                <w:sz w:val="24"/>
                <w:szCs w:val="24"/>
                <w:color w:val="auto"/>
              </w:rPr>
            </w:pPr>
          </w:p>
        </w:tc>
        <w:tc>
          <w:tcPr>
            <w:tcW w:w="440" w:type="dxa"/>
            <w:vAlign w:val="bottom"/>
            <w:shd w:val="clear" w:color="auto" w:fill="BFA071"/>
          </w:tcPr>
          <w:p>
            <w:pPr>
              <w:spacing w:after="0"/>
              <w:rPr>
                <w:sz w:val="24"/>
                <w:szCs w:val="24"/>
                <w:color w:val="auto"/>
              </w:rPr>
            </w:pPr>
          </w:p>
        </w:tc>
        <w:tc>
          <w:tcPr>
            <w:tcW w:w="640" w:type="dxa"/>
            <w:vAlign w:val="bottom"/>
            <w:shd w:val="clear" w:color="auto" w:fill="BFA071"/>
          </w:tcPr>
          <w:p>
            <w:pPr>
              <w:spacing w:after="0"/>
              <w:rPr>
                <w:sz w:val="24"/>
                <w:szCs w:val="24"/>
                <w:color w:val="auto"/>
              </w:rPr>
            </w:pPr>
          </w:p>
        </w:tc>
      </w:tr>
      <w:tr>
        <w:trPr>
          <w:trHeight w:val="201"/>
        </w:trPr>
        <w:tc>
          <w:tcPr>
            <w:tcW w:w="2060" w:type="dxa"/>
            <w:vAlign w:val="bottom"/>
            <w:shd w:val="clear" w:color="auto" w:fill="001641"/>
          </w:tcPr>
          <w:p>
            <w:pPr>
              <w:spacing w:after="0"/>
              <w:rPr>
                <w:sz w:val="17"/>
                <w:szCs w:val="17"/>
                <w:color w:val="auto"/>
              </w:rPr>
            </w:pPr>
          </w:p>
        </w:tc>
        <w:tc>
          <w:tcPr>
            <w:tcW w:w="840" w:type="dxa"/>
            <w:vAlign w:val="bottom"/>
            <w:shd w:val="clear" w:color="auto" w:fill="001641"/>
          </w:tcPr>
          <w:p>
            <w:pPr>
              <w:spacing w:after="0"/>
              <w:rPr>
                <w:sz w:val="17"/>
                <w:szCs w:val="17"/>
                <w:color w:val="auto"/>
              </w:rPr>
            </w:pPr>
          </w:p>
        </w:tc>
        <w:tc>
          <w:tcPr>
            <w:tcW w:w="680" w:type="dxa"/>
            <w:vAlign w:val="bottom"/>
            <w:shd w:val="clear" w:color="auto" w:fill="001641"/>
          </w:tcPr>
          <w:p>
            <w:pPr>
              <w:spacing w:after="0"/>
              <w:rPr>
                <w:sz w:val="17"/>
                <w:szCs w:val="17"/>
                <w:color w:val="auto"/>
              </w:rPr>
            </w:pPr>
          </w:p>
        </w:tc>
        <w:tc>
          <w:tcPr>
            <w:tcW w:w="620" w:type="dxa"/>
            <w:vAlign w:val="bottom"/>
            <w:shd w:val="clear" w:color="auto" w:fill="001641"/>
          </w:tcPr>
          <w:p>
            <w:pPr>
              <w:spacing w:after="0"/>
              <w:rPr>
                <w:sz w:val="17"/>
                <w:szCs w:val="17"/>
                <w:color w:val="auto"/>
              </w:rPr>
            </w:pPr>
          </w:p>
        </w:tc>
        <w:tc>
          <w:tcPr>
            <w:tcW w:w="860" w:type="dxa"/>
            <w:vAlign w:val="bottom"/>
            <w:shd w:val="clear" w:color="auto" w:fill="001641"/>
          </w:tcPr>
          <w:p>
            <w:pPr>
              <w:spacing w:after="0"/>
              <w:rPr>
                <w:sz w:val="17"/>
                <w:szCs w:val="17"/>
                <w:color w:val="auto"/>
              </w:rPr>
            </w:pPr>
          </w:p>
        </w:tc>
        <w:tc>
          <w:tcPr>
            <w:tcW w:w="660" w:type="dxa"/>
            <w:vAlign w:val="bottom"/>
            <w:shd w:val="clear" w:color="auto" w:fill="001641"/>
          </w:tcPr>
          <w:p>
            <w:pPr>
              <w:spacing w:after="0"/>
              <w:rPr>
                <w:sz w:val="17"/>
                <w:szCs w:val="17"/>
                <w:color w:val="auto"/>
              </w:rPr>
            </w:pPr>
          </w:p>
        </w:tc>
        <w:tc>
          <w:tcPr>
            <w:tcW w:w="880" w:type="dxa"/>
            <w:vAlign w:val="bottom"/>
            <w:shd w:val="clear" w:color="auto" w:fill="001641"/>
          </w:tcPr>
          <w:p>
            <w:pPr>
              <w:spacing w:after="0"/>
              <w:rPr>
                <w:sz w:val="17"/>
                <w:szCs w:val="17"/>
                <w:color w:val="auto"/>
              </w:rPr>
            </w:pPr>
          </w:p>
        </w:tc>
        <w:tc>
          <w:tcPr>
            <w:tcW w:w="1500" w:type="dxa"/>
            <w:vAlign w:val="bottom"/>
            <w:gridSpan w:val="2"/>
            <w:shd w:val="clear" w:color="auto" w:fill="001641"/>
          </w:tcPr>
          <w:p>
            <w:pPr>
              <w:jc w:val="right"/>
              <w:ind w:right="128"/>
              <w:spacing w:after="0"/>
              <w:rPr>
                <w:sz w:val="20"/>
                <w:szCs w:val="20"/>
                <w:color w:val="auto"/>
              </w:rPr>
            </w:pPr>
            <w:r>
              <w:rPr>
                <w:rFonts w:ascii="Arial" w:cs="Arial" w:eastAsia="Arial" w:hAnsi="Arial"/>
                <w:sz w:val="14"/>
                <w:szCs w:val="14"/>
                <w:b w:val="1"/>
                <w:bCs w:val="1"/>
                <w:color w:val="FFFFFF"/>
              </w:rPr>
              <w:t>Continuation of</w:t>
            </w:r>
          </w:p>
        </w:tc>
        <w:tc>
          <w:tcPr>
            <w:tcW w:w="440" w:type="dxa"/>
            <w:vAlign w:val="bottom"/>
            <w:shd w:val="clear" w:color="auto" w:fill="001641"/>
          </w:tcPr>
          <w:p>
            <w:pPr>
              <w:spacing w:after="0"/>
              <w:rPr>
                <w:sz w:val="17"/>
                <w:szCs w:val="17"/>
                <w:color w:val="auto"/>
              </w:rPr>
            </w:pPr>
          </w:p>
        </w:tc>
        <w:tc>
          <w:tcPr>
            <w:tcW w:w="640" w:type="dxa"/>
            <w:vAlign w:val="bottom"/>
            <w:shd w:val="clear" w:color="auto" w:fill="001641"/>
          </w:tcPr>
          <w:p>
            <w:pPr>
              <w:spacing w:after="0"/>
              <w:rPr>
                <w:sz w:val="17"/>
                <w:szCs w:val="17"/>
                <w:color w:val="auto"/>
              </w:rPr>
            </w:pPr>
          </w:p>
        </w:tc>
      </w:tr>
      <w:tr>
        <w:trPr>
          <w:trHeight w:val="171"/>
        </w:trPr>
        <w:tc>
          <w:tcPr>
            <w:tcW w:w="2060" w:type="dxa"/>
            <w:vAlign w:val="bottom"/>
            <w:shd w:val="clear" w:color="auto" w:fill="001641"/>
          </w:tcPr>
          <w:p>
            <w:pPr>
              <w:spacing w:after="0"/>
              <w:rPr>
                <w:sz w:val="14"/>
                <w:szCs w:val="14"/>
                <w:color w:val="auto"/>
              </w:rPr>
            </w:pPr>
          </w:p>
        </w:tc>
        <w:tc>
          <w:tcPr>
            <w:tcW w:w="1520" w:type="dxa"/>
            <w:vAlign w:val="bottom"/>
            <w:gridSpan w:val="2"/>
            <w:shd w:val="clear" w:color="auto" w:fill="001641"/>
          </w:tcPr>
          <w:p>
            <w:pPr>
              <w:ind w:left="200"/>
              <w:spacing w:after="0"/>
              <w:rPr>
                <w:sz w:val="20"/>
                <w:szCs w:val="20"/>
                <w:color w:val="auto"/>
              </w:rPr>
            </w:pPr>
            <w:r>
              <w:rPr>
                <w:rFonts w:ascii="Arial" w:cs="Arial" w:eastAsia="Arial" w:hAnsi="Arial"/>
                <w:sz w:val="14"/>
                <w:szCs w:val="14"/>
                <w:b w:val="1"/>
                <w:bCs w:val="1"/>
                <w:color w:val="FFFFFF"/>
              </w:rPr>
              <w:t>Cash Severance</w:t>
            </w:r>
          </w:p>
        </w:tc>
        <w:tc>
          <w:tcPr>
            <w:tcW w:w="1480" w:type="dxa"/>
            <w:vAlign w:val="bottom"/>
            <w:gridSpan w:val="2"/>
            <w:shd w:val="clear" w:color="auto" w:fill="001641"/>
          </w:tcPr>
          <w:p>
            <w:pPr>
              <w:ind w:left="160"/>
              <w:spacing w:after="0"/>
              <w:rPr>
                <w:sz w:val="20"/>
                <w:szCs w:val="20"/>
                <w:color w:val="auto"/>
              </w:rPr>
            </w:pPr>
            <w:r>
              <w:rPr>
                <w:rFonts w:ascii="Arial" w:cs="Arial" w:eastAsia="Arial" w:hAnsi="Arial"/>
                <w:sz w:val="14"/>
                <w:szCs w:val="14"/>
                <w:b w:val="1"/>
                <w:bCs w:val="1"/>
                <w:color w:val="FFFFFF"/>
              </w:rPr>
              <w:t>Cash Severance</w:t>
            </w:r>
          </w:p>
        </w:tc>
        <w:tc>
          <w:tcPr>
            <w:tcW w:w="1540" w:type="dxa"/>
            <w:vAlign w:val="bottom"/>
            <w:gridSpan w:val="2"/>
            <w:shd w:val="clear" w:color="auto" w:fill="001641"/>
          </w:tcPr>
          <w:p>
            <w:pPr>
              <w:ind w:left="160"/>
              <w:spacing w:after="0"/>
              <w:rPr>
                <w:sz w:val="20"/>
                <w:szCs w:val="20"/>
                <w:color w:val="auto"/>
              </w:rPr>
            </w:pPr>
            <w:r>
              <w:rPr>
                <w:rFonts w:ascii="Arial" w:cs="Arial" w:eastAsia="Arial" w:hAnsi="Arial"/>
                <w:sz w:val="14"/>
                <w:szCs w:val="14"/>
                <w:b w:val="1"/>
                <w:bCs w:val="1"/>
                <w:color w:val="FFFFFF"/>
              </w:rPr>
              <w:t>Vesting of Equity</w:t>
            </w:r>
          </w:p>
        </w:tc>
        <w:tc>
          <w:tcPr>
            <w:tcW w:w="1500" w:type="dxa"/>
            <w:vAlign w:val="bottom"/>
            <w:gridSpan w:val="2"/>
            <w:shd w:val="clear" w:color="auto" w:fill="001641"/>
          </w:tcPr>
          <w:p>
            <w:pPr>
              <w:jc w:val="right"/>
              <w:ind w:right="128"/>
              <w:spacing w:after="0"/>
              <w:rPr>
                <w:sz w:val="20"/>
                <w:szCs w:val="20"/>
                <w:color w:val="auto"/>
              </w:rPr>
            </w:pPr>
            <w:r>
              <w:rPr>
                <w:rFonts w:ascii="Arial" w:cs="Arial" w:eastAsia="Arial" w:hAnsi="Arial"/>
                <w:sz w:val="14"/>
                <w:szCs w:val="14"/>
                <w:b w:val="1"/>
                <w:bCs w:val="1"/>
                <w:color w:val="FFFFFF"/>
              </w:rPr>
              <w:t>Other Benefits &amp;</w:t>
            </w:r>
          </w:p>
        </w:tc>
        <w:tc>
          <w:tcPr>
            <w:tcW w:w="440" w:type="dxa"/>
            <w:vAlign w:val="bottom"/>
            <w:shd w:val="clear" w:color="auto" w:fill="001641"/>
          </w:tcPr>
          <w:p>
            <w:pPr>
              <w:spacing w:after="0"/>
              <w:rPr>
                <w:sz w:val="14"/>
                <w:szCs w:val="14"/>
                <w:color w:val="auto"/>
              </w:rPr>
            </w:pPr>
          </w:p>
        </w:tc>
        <w:tc>
          <w:tcPr>
            <w:tcW w:w="640" w:type="dxa"/>
            <w:vAlign w:val="bottom"/>
            <w:shd w:val="clear" w:color="auto" w:fill="001641"/>
          </w:tcPr>
          <w:p>
            <w:pPr>
              <w:spacing w:after="0"/>
              <w:rPr>
                <w:sz w:val="14"/>
                <w:szCs w:val="14"/>
                <w:color w:val="auto"/>
              </w:rPr>
            </w:pPr>
          </w:p>
        </w:tc>
      </w:tr>
      <w:tr>
        <w:trPr>
          <w:trHeight w:val="229"/>
        </w:trPr>
        <w:tc>
          <w:tcPr>
            <w:tcW w:w="2060" w:type="dxa"/>
            <w:vAlign w:val="bottom"/>
            <w:shd w:val="clear" w:color="auto" w:fill="001641"/>
          </w:tcPr>
          <w:p>
            <w:pPr>
              <w:spacing w:after="0"/>
              <w:rPr>
                <w:sz w:val="19"/>
                <w:szCs w:val="19"/>
                <w:color w:val="auto"/>
              </w:rPr>
            </w:pPr>
          </w:p>
        </w:tc>
        <w:tc>
          <w:tcPr>
            <w:tcW w:w="1520" w:type="dxa"/>
            <w:vAlign w:val="bottom"/>
            <w:gridSpan w:val="2"/>
            <w:shd w:val="clear" w:color="auto" w:fill="001641"/>
          </w:tcPr>
          <w:p>
            <w:pPr>
              <w:ind w:left="340"/>
              <w:spacing w:after="0" w:line="230" w:lineRule="exact"/>
              <w:rPr>
                <w:sz w:val="20"/>
                <w:szCs w:val="20"/>
                <w:color w:val="auto"/>
              </w:rPr>
            </w:pPr>
            <w:r>
              <w:rPr>
                <w:rFonts w:ascii="Arial" w:cs="Arial" w:eastAsia="Arial" w:hAnsi="Arial"/>
                <w:sz w:val="14"/>
                <w:szCs w:val="14"/>
                <w:b w:val="1"/>
                <w:bCs w:val="1"/>
                <w:color w:val="FFFFFF"/>
              </w:rPr>
              <w:t>– Base Salary</w:t>
            </w:r>
            <w:r>
              <w:rPr>
                <w:rFonts w:ascii="Arial" w:cs="Arial" w:eastAsia="Arial" w:hAnsi="Arial"/>
                <w:sz w:val="23"/>
                <w:szCs w:val="23"/>
                <w:b w:val="1"/>
                <w:bCs w:val="1"/>
                <w:color w:val="FFFFFF"/>
                <w:vertAlign w:val="superscript"/>
              </w:rPr>
              <w:t>1</w:t>
            </w:r>
          </w:p>
        </w:tc>
        <w:tc>
          <w:tcPr>
            <w:tcW w:w="620" w:type="dxa"/>
            <w:vAlign w:val="bottom"/>
            <w:shd w:val="clear" w:color="auto" w:fill="001641"/>
          </w:tcPr>
          <w:p>
            <w:pPr>
              <w:spacing w:after="0"/>
              <w:rPr>
                <w:sz w:val="19"/>
                <w:szCs w:val="19"/>
                <w:color w:val="auto"/>
              </w:rPr>
            </w:pPr>
          </w:p>
        </w:tc>
        <w:tc>
          <w:tcPr>
            <w:tcW w:w="860" w:type="dxa"/>
            <w:vAlign w:val="bottom"/>
            <w:shd w:val="clear" w:color="auto" w:fill="001641"/>
          </w:tcPr>
          <w:p>
            <w:pPr>
              <w:jc w:val="right"/>
              <w:ind w:right="88"/>
              <w:spacing w:after="0"/>
              <w:rPr>
                <w:sz w:val="20"/>
                <w:szCs w:val="20"/>
                <w:color w:val="auto"/>
              </w:rPr>
            </w:pPr>
            <w:r>
              <w:rPr>
                <w:rFonts w:ascii="Arial" w:cs="Arial" w:eastAsia="Arial" w:hAnsi="Arial"/>
                <w:sz w:val="14"/>
                <w:szCs w:val="14"/>
                <w:b w:val="1"/>
                <w:bCs w:val="1"/>
                <w:color w:val="FFFFFF"/>
              </w:rPr>
              <w:t>– Bonus</w:t>
            </w:r>
          </w:p>
        </w:tc>
        <w:tc>
          <w:tcPr>
            <w:tcW w:w="660" w:type="dxa"/>
            <w:vAlign w:val="bottom"/>
            <w:shd w:val="clear" w:color="auto" w:fill="001641"/>
          </w:tcPr>
          <w:p>
            <w:pPr>
              <w:spacing w:after="0"/>
              <w:rPr>
                <w:sz w:val="19"/>
                <w:szCs w:val="19"/>
                <w:color w:val="auto"/>
              </w:rPr>
            </w:pPr>
          </w:p>
        </w:tc>
        <w:tc>
          <w:tcPr>
            <w:tcW w:w="880" w:type="dxa"/>
            <w:vAlign w:val="bottom"/>
            <w:shd w:val="clear" w:color="auto" w:fill="001641"/>
          </w:tcPr>
          <w:p>
            <w:pPr>
              <w:jc w:val="right"/>
              <w:ind w:right="88"/>
              <w:spacing w:after="0" w:line="230"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23"/>
                <w:szCs w:val="23"/>
                <w:b w:val="1"/>
                <w:bCs w:val="1"/>
                <w:color w:val="FFFFFF"/>
                <w:vertAlign w:val="superscript"/>
              </w:rPr>
              <w:t>2</w:t>
            </w:r>
          </w:p>
        </w:tc>
        <w:tc>
          <w:tcPr>
            <w:tcW w:w="1500" w:type="dxa"/>
            <w:vAlign w:val="bottom"/>
            <w:gridSpan w:val="2"/>
            <w:shd w:val="clear" w:color="auto" w:fill="001641"/>
          </w:tcPr>
          <w:p>
            <w:pPr>
              <w:ind w:left="500"/>
              <w:spacing w:after="0" w:line="230" w:lineRule="exact"/>
              <w:rPr>
                <w:sz w:val="20"/>
                <w:szCs w:val="20"/>
                <w:color w:val="auto"/>
              </w:rPr>
            </w:pPr>
            <w:r>
              <w:rPr>
                <w:rFonts w:ascii="Arial" w:cs="Arial" w:eastAsia="Arial" w:hAnsi="Arial"/>
                <w:sz w:val="14"/>
                <w:szCs w:val="14"/>
                <w:b w:val="1"/>
                <w:bCs w:val="1"/>
                <w:color w:val="FFFFFF"/>
              </w:rPr>
              <w:t>Perquisites</w:t>
            </w:r>
            <w:r>
              <w:rPr>
                <w:rFonts w:ascii="Arial" w:cs="Arial" w:eastAsia="Arial" w:hAnsi="Arial"/>
                <w:sz w:val="23"/>
                <w:szCs w:val="23"/>
                <w:b w:val="1"/>
                <w:bCs w:val="1"/>
                <w:color w:val="FFFFFF"/>
                <w:vertAlign w:val="superscript"/>
              </w:rPr>
              <w:t>3</w:t>
            </w:r>
          </w:p>
        </w:tc>
        <w:tc>
          <w:tcPr>
            <w:tcW w:w="440" w:type="dxa"/>
            <w:vAlign w:val="bottom"/>
            <w:shd w:val="clear" w:color="auto" w:fill="001641"/>
          </w:tcPr>
          <w:p>
            <w:pPr>
              <w:spacing w:after="0"/>
              <w:rPr>
                <w:sz w:val="19"/>
                <w:szCs w:val="19"/>
                <w:color w:val="auto"/>
              </w:rPr>
            </w:pPr>
          </w:p>
        </w:tc>
        <w:tc>
          <w:tcPr>
            <w:tcW w:w="640" w:type="dxa"/>
            <w:vAlign w:val="bottom"/>
            <w:shd w:val="clear" w:color="auto" w:fill="001641"/>
          </w:tcPr>
          <w:p>
            <w:pPr>
              <w:jc w:val="right"/>
              <w:ind w:right="28"/>
              <w:spacing w:after="0"/>
              <w:rPr>
                <w:sz w:val="20"/>
                <w:szCs w:val="20"/>
                <w:color w:val="auto"/>
              </w:rPr>
            </w:pPr>
            <w:r>
              <w:rPr>
                <w:rFonts w:ascii="Arial" w:cs="Arial" w:eastAsia="Arial" w:hAnsi="Arial"/>
                <w:sz w:val="14"/>
                <w:szCs w:val="14"/>
                <w:b w:val="1"/>
                <w:bCs w:val="1"/>
                <w:color w:val="FFFFFF"/>
              </w:rPr>
              <w:t>Total</w:t>
            </w:r>
          </w:p>
        </w:tc>
      </w:tr>
      <w:tr>
        <w:trPr>
          <w:trHeight w:val="193"/>
        </w:trPr>
        <w:tc>
          <w:tcPr>
            <w:tcW w:w="2060" w:type="dxa"/>
            <w:vAlign w:val="bottom"/>
          </w:tcPr>
          <w:p>
            <w:pPr>
              <w:ind w:left="120"/>
              <w:spacing w:after="0"/>
              <w:rPr>
                <w:sz w:val="20"/>
                <w:szCs w:val="20"/>
                <w:color w:val="auto"/>
              </w:rPr>
            </w:pPr>
            <w:r>
              <w:rPr>
                <w:rFonts w:ascii="Arial" w:cs="Arial" w:eastAsia="Arial" w:hAnsi="Arial"/>
                <w:sz w:val="14"/>
                <w:szCs w:val="14"/>
                <w:color w:val="001641"/>
              </w:rPr>
              <w:t>By the Company for</w:t>
            </w:r>
          </w:p>
        </w:tc>
        <w:tc>
          <w:tcPr>
            <w:tcW w:w="840" w:type="dxa"/>
            <w:vAlign w:val="bottom"/>
          </w:tcPr>
          <w:p>
            <w:pPr>
              <w:ind w:left="460"/>
              <w:spacing w:after="0"/>
              <w:rPr>
                <w:sz w:val="20"/>
                <w:szCs w:val="20"/>
                <w:color w:val="auto"/>
              </w:rPr>
            </w:pPr>
            <w:r>
              <w:rPr>
                <w:rFonts w:ascii="Arial" w:cs="Arial" w:eastAsia="Arial" w:hAnsi="Arial"/>
                <w:sz w:val="14"/>
                <w:szCs w:val="14"/>
                <w:color w:val="001641"/>
              </w:rPr>
              <w:t>$</w:t>
            </w:r>
          </w:p>
        </w:tc>
        <w:tc>
          <w:tcPr>
            <w:tcW w:w="680" w:type="dxa"/>
            <w:vAlign w:val="bottom"/>
          </w:tcPr>
          <w:p>
            <w:pPr>
              <w:jc w:val="right"/>
              <w:ind w:right="248"/>
              <w:spacing w:after="0"/>
              <w:rPr>
                <w:sz w:val="20"/>
                <w:szCs w:val="20"/>
                <w:color w:val="auto"/>
              </w:rPr>
            </w:pPr>
            <w:r>
              <w:rPr>
                <w:rFonts w:ascii="Arial" w:cs="Arial" w:eastAsia="Arial" w:hAnsi="Arial"/>
                <w:sz w:val="14"/>
                <w:szCs w:val="14"/>
                <w:color w:val="001641"/>
              </w:rPr>
              <w:t>0</w:t>
            </w:r>
          </w:p>
        </w:tc>
        <w:tc>
          <w:tcPr>
            <w:tcW w:w="620" w:type="dxa"/>
            <w:vAlign w:val="bottom"/>
          </w:tcPr>
          <w:p>
            <w:pPr>
              <w:ind w:left="420"/>
              <w:spacing w:after="0"/>
              <w:rPr>
                <w:sz w:val="20"/>
                <w:szCs w:val="20"/>
                <w:color w:val="auto"/>
              </w:rPr>
            </w:pPr>
            <w:r>
              <w:rPr>
                <w:rFonts w:ascii="Arial" w:cs="Arial" w:eastAsia="Arial" w:hAnsi="Arial"/>
                <w:sz w:val="14"/>
                <w:szCs w:val="14"/>
                <w:color w:val="001641"/>
              </w:rPr>
              <w:t>$</w:t>
            </w:r>
          </w:p>
        </w:tc>
        <w:tc>
          <w:tcPr>
            <w:tcW w:w="860" w:type="dxa"/>
            <w:vAlign w:val="bottom"/>
          </w:tcPr>
          <w:p>
            <w:pPr>
              <w:jc w:val="right"/>
              <w:ind w:right="188"/>
              <w:spacing w:after="0"/>
              <w:rPr>
                <w:sz w:val="20"/>
                <w:szCs w:val="20"/>
                <w:color w:val="auto"/>
              </w:rPr>
            </w:pPr>
            <w:r>
              <w:rPr>
                <w:rFonts w:ascii="Arial" w:cs="Arial" w:eastAsia="Arial" w:hAnsi="Arial"/>
                <w:sz w:val="14"/>
                <w:szCs w:val="14"/>
                <w:color w:val="001641"/>
              </w:rPr>
              <w:t>0</w:t>
            </w:r>
          </w:p>
        </w:tc>
        <w:tc>
          <w:tcPr>
            <w:tcW w:w="660" w:type="dxa"/>
            <w:vAlign w:val="bottom"/>
          </w:tcPr>
          <w:p>
            <w:pPr>
              <w:ind w:left="440"/>
              <w:spacing w:after="0"/>
              <w:rPr>
                <w:sz w:val="20"/>
                <w:szCs w:val="20"/>
                <w:color w:val="auto"/>
              </w:rPr>
            </w:pPr>
            <w:r>
              <w:rPr>
                <w:rFonts w:ascii="Arial" w:cs="Arial" w:eastAsia="Arial" w:hAnsi="Arial"/>
                <w:sz w:val="14"/>
                <w:szCs w:val="14"/>
                <w:color w:val="001641"/>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001641"/>
              </w:rPr>
              <w:t>0</w:t>
            </w:r>
          </w:p>
        </w:tc>
        <w:tc>
          <w:tcPr>
            <w:tcW w:w="920" w:type="dxa"/>
            <w:vAlign w:val="bottom"/>
          </w:tcPr>
          <w:p>
            <w:pPr>
              <w:ind w:left="560"/>
              <w:spacing w:after="0"/>
              <w:rPr>
                <w:sz w:val="20"/>
                <w:szCs w:val="20"/>
                <w:color w:val="auto"/>
              </w:rPr>
            </w:pPr>
            <w:r>
              <w:rPr>
                <w:rFonts w:ascii="Arial" w:cs="Arial" w:eastAsia="Arial" w:hAnsi="Arial"/>
                <w:sz w:val="14"/>
                <w:szCs w:val="14"/>
                <w:color w:val="001641"/>
              </w:rPr>
              <w:t>$</w:t>
            </w:r>
          </w:p>
        </w:tc>
        <w:tc>
          <w:tcPr>
            <w:tcW w:w="580" w:type="dxa"/>
            <w:vAlign w:val="bottom"/>
          </w:tcPr>
          <w:p>
            <w:pPr>
              <w:jc w:val="right"/>
              <w:ind w:right="148"/>
              <w:spacing w:after="0"/>
              <w:rPr>
                <w:sz w:val="20"/>
                <w:szCs w:val="20"/>
                <w:color w:val="auto"/>
              </w:rPr>
            </w:pPr>
            <w:r>
              <w:rPr>
                <w:rFonts w:ascii="Arial" w:cs="Arial" w:eastAsia="Arial" w:hAnsi="Arial"/>
                <w:sz w:val="14"/>
                <w:szCs w:val="14"/>
                <w:color w:val="001641"/>
              </w:rPr>
              <w:t>0</w:t>
            </w:r>
          </w:p>
        </w:tc>
        <w:tc>
          <w:tcPr>
            <w:tcW w:w="440" w:type="dxa"/>
            <w:vAlign w:val="bottom"/>
          </w:tcPr>
          <w:p>
            <w:pPr>
              <w:ind w:left="160"/>
              <w:spacing w:after="0"/>
              <w:rPr>
                <w:sz w:val="20"/>
                <w:szCs w:val="20"/>
                <w:color w:val="auto"/>
              </w:rPr>
            </w:pPr>
            <w:r>
              <w:rPr>
                <w:rFonts w:ascii="Arial" w:cs="Arial" w:eastAsia="Arial" w:hAnsi="Arial"/>
                <w:sz w:val="14"/>
                <w:szCs w:val="14"/>
                <w:color w:val="001641"/>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001641"/>
              </w:rPr>
              <w:t>0</w:t>
            </w:r>
          </w:p>
        </w:tc>
      </w:tr>
      <w:tr>
        <w:trPr>
          <w:trHeight w:val="162"/>
        </w:trPr>
        <w:tc>
          <w:tcPr>
            <w:tcW w:w="2060" w:type="dxa"/>
            <w:vAlign w:val="bottom"/>
          </w:tcPr>
          <w:p>
            <w:pPr>
              <w:ind w:left="120"/>
              <w:spacing w:after="0"/>
              <w:rPr>
                <w:sz w:val="20"/>
                <w:szCs w:val="20"/>
                <w:color w:val="auto"/>
              </w:rPr>
            </w:pPr>
            <w:r>
              <w:rPr>
                <w:rFonts w:ascii="Arial" w:cs="Arial" w:eastAsia="Arial" w:hAnsi="Arial"/>
                <w:sz w:val="14"/>
                <w:szCs w:val="14"/>
                <w:color w:val="001641"/>
              </w:rPr>
              <w:t>Cause/by the Executive</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0"/>
        </w:trPr>
        <w:tc>
          <w:tcPr>
            <w:tcW w:w="2060" w:type="dxa"/>
            <w:vAlign w:val="bottom"/>
          </w:tcPr>
          <w:p>
            <w:pPr>
              <w:ind w:left="120"/>
              <w:spacing w:after="0"/>
              <w:rPr>
                <w:sz w:val="20"/>
                <w:szCs w:val="20"/>
                <w:color w:val="auto"/>
              </w:rPr>
            </w:pPr>
            <w:r>
              <w:rPr>
                <w:rFonts w:ascii="Arial" w:cs="Arial" w:eastAsia="Arial" w:hAnsi="Arial"/>
                <w:sz w:val="14"/>
                <w:szCs w:val="14"/>
                <w:color w:val="001641"/>
              </w:rPr>
              <w:t>Without Good Reason</w:t>
            </w: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
        </w:trPr>
        <w:tc>
          <w:tcPr>
            <w:tcW w:w="2060" w:type="dxa"/>
            <w:vAlign w:val="bottom"/>
            <w:tcBorders>
              <w:bottom w:val="single" w:sz="8" w:color="BFA071"/>
            </w:tcBorders>
          </w:tcPr>
          <w:p>
            <w:pPr>
              <w:spacing w:after="0" w:line="20" w:lineRule="exact"/>
              <w:rPr>
                <w:sz w:val="1"/>
                <w:szCs w:val="1"/>
                <w:color w:val="auto"/>
              </w:rPr>
            </w:pPr>
          </w:p>
        </w:tc>
        <w:tc>
          <w:tcPr>
            <w:tcW w:w="1520" w:type="dxa"/>
            <w:vAlign w:val="bottom"/>
            <w:tcBorders>
              <w:bottom w:val="single" w:sz="8" w:color="BFA071"/>
            </w:tcBorders>
            <w:gridSpan w:val="2"/>
          </w:tcPr>
          <w:p>
            <w:pPr>
              <w:spacing w:after="0" w:line="20" w:lineRule="exact"/>
              <w:rPr>
                <w:sz w:val="1"/>
                <w:szCs w:val="1"/>
                <w:color w:val="auto"/>
              </w:rPr>
            </w:pPr>
          </w:p>
        </w:tc>
        <w:tc>
          <w:tcPr>
            <w:tcW w:w="1480" w:type="dxa"/>
            <w:vAlign w:val="bottom"/>
            <w:tcBorders>
              <w:bottom w:val="single" w:sz="8" w:color="BFA071"/>
            </w:tcBorders>
            <w:gridSpan w:val="2"/>
          </w:tcPr>
          <w:p>
            <w:pPr>
              <w:spacing w:after="0" w:line="20" w:lineRule="exact"/>
              <w:rPr>
                <w:sz w:val="1"/>
                <w:szCs w:val="1"/>
                <w:color w:val="auto"/>
              </w:rPr>
            </w:pPr>
          </w:p>
        </w:tc>
        <w:tc>
          <w:tcPr>
            <w:tcW w:w="1540" w:type="dxa"/>
            <w:vAlign w:val="bottom"/>
            <w:tcBorders>
              <w:bottom w:val="single" w:sz="8" w:color="BFA071"/>
            </w:tcBorders>
            <w:gridSpan w:val="2"/>
          </w:tcPr>
          <w:p>
            <w:pPr>
              <w:spacing w:after="0" w:line="20" w:lineRule="exact"/>
              <w:rPr>
                <w:sz w:val="1"/>
                <w:szCs w:val="1"/>
                <w:color w:val="auto"/>
              </w:rPr>
            </w:pPr>
          </w:p>
        </w:tc>
        <w:tc>
          <w:tcPr>
            <w:tcW w:w="1500" w:type="dxa"/>
            <w:vAlign w:val="bottom"/>
            <w:tcBorders>
              <w:bottom w:val="single" w:sz="8" w:color="BFA071"/>
            </w:tcBorders>
            <w:gridSpan w:val="2"/>
          </w:tcPr>
          <w:p>
            <w:pPr>
              <w:spacing w:after="0" w:line="20" w:lineRule="exact"/>
              <w:rPr>
                <w:sz w:val="1"/>
                <w:szCs w:val="1"/>
                <w:color w:val="auto"/>
              </w:rPr>
            </w:pPr>
          </w:p>
        </w:tc>
        <w:tc>
          <w:tcPr>
            <w:tcW w:w="1080" w:type="dxa"/>
            <w:vAlign w:val="bottom"/>
            <w:tcBorders>
              <w:bottom w:val="single" w:sz="8" w:color="BFA071"/>
            </w:tcBorders>
            <w:gridSpan w:val="2"/>
          </w:tcPr>
          <w:p>
            <w:pPr>
              <w:spacing w:after="0" w:line="20" w:lineRule="exact"/>
              <w:rPr>
                <w:sz w:val="1"/>
                <w:szCs w:val="1"/>
                <w:color w:val="auto"/>
              </w:rPr>
            </w:pPr>
          </w:p>
        </w:tc>
      </w:tr>
      <w:tr>
        <w:trPr>
          <w:trHeight w:val="183"/>
        </w:trPr>
        <w:tc>
          <w:tcPr>
            <w:tcW w:w="2060" w:type="dxa"/>
            <w:vAlign w:val="bottom"/>
          </w:tcPr>
          <w:p>
            <w:pPr>
              <w:ind w:left="120"/>
              <w:spacing w:after="0"/>
              <w:rPr>
                <w:sz w:val="20"/>
                <w:szCs w:val="20"/>
                <w:color w:val="auto"/>
              </w:rPr>
            </w:pPr>
            <w:r>
              <w:rPr>
                <w:rFonts w:ascii="Arial" w:cs="Arial" w:eastAsia="Arial" w:hAnsi="Arial"/>
                <w:sz w:val="14"/>
                <w:szCs w:val="14"/>
                <w:color w:val="001641"/>
              </w:rPr>
              <w:t>By the Company Without</w:t>
            </w:r>
          </w:p>
        </w:tc>
        <w:tc>
          <w:tcPr>
            <w:tcW w:w="1520" w:type="dxa"/>
            <w:vAlign w:val="bottom"/>
            <w:gridSpan w:val="2"/>
          </w:tcPr>
          <w:p>
            <w:pPr>
              <w:ind w:left="460"/>
              <w:spacing w:after="0"/>
              <w:rPr>
                <w:sz w:val="20"/>
                <w:szCs w:val="20"/>
                <w:color w:val="auto"/>
              </w:rPr>
            </w:pPr>
            <w:r>
              <w:rPr>
                <w:rFonts w:ascii="Arial" w:cs="Arial" w:eastAsia="Arial" w:hAnsi="Arial"/>
                <w:sz w:val="14"/>
                <w:szCs w:val="14"/>
                <w:color w:val="001641"/>
              </w:rPr>
              <w:t>$3,500,000</w:t>
            </w:r>
          </w:p>
        </w:tc>
        <w:tc>
          <w:tcPr>
            <w:tcW w:w="1480" w:type="dxa"/>
            <w:vAlign w:val="bottom"/>
            <w:gridSpan w:val="2"/>
          </w:tcPr>
          <w:p>
            <w:pPr>
              <w:ind w:left="420"/>
              <w:spacing w:after="0" w:line="183" w:lineRule="exact"/>
              <w:rPr>
                <w:sz w:val="20"/>
                <w:szCs w:val="20"/>
                <w:color w:val="auto"/>
              </w:rPr>
            </w:pPr>
            <w:r>
              <w:rPr>
                <w:rFonts w:ascii="Arial" w:cs="Arial" w:eastAsia="Arial" w:hAnsi="Arial"/>
                <w:sz w:val="13"/>
                <w:szCs w:val="13"/>
                <w:color w:val="001641"/>
              </w:rPr>
              <w:t>$17,880,000</w:t>
            </w:r>
            <w:r>
              <w:rPr>
                <w:rFonts w:ascii="Arial" w:cs="Arial" w:eastAsia="Arial" w:hAnsi="Arial"/>
                <w:sz w:val="21"/>
                <w:szCs w:val="21"/>
                <w:color w:val="001641"/>
                <w:vertAlign w:val="superscript"/>
              </w:rPr>
              <w:t>4</w:t>
            </w:r>
          </w:p>
        </w:tc>
        <w:tc>
          <w:tcPr>
            <w:tcW w:w="1540" w:type="dxa"/>
            <w:vAlign w:val="bottom"/>
            <w:gridSpan w:val="2"/>
          </w:tcPr>
          <w:p>
            <w:pPr>
              <w:ind w:left="440"/>
              <w:spacing w:after="0" w:line="183" w:lineRule="exact"/>
              <w:rPr>
                <w:sz w:val="20"/>
                <w:szCs w:val="20"/>
                <w:color w:val="auto"/>
              </w:rPr>
            </w:pPr>
            <w:r>
              <w:rPr>
                <w:rFonts w:ascii="Arial" w:cs="Arial" w:eastAsia="Arial" w:hAnsi="Arial"/>
                <w:sz w:val="13"/>
                <w:szCs w:val="13"/>
                <w:color w:val="001641"/>
              </w:rPr>
              <w:t>$57,806,765</w:t>
            </w:r>
            <w:r>
              <w:rPr>
                <w:rFonts w:ascii="Arial" w:cs="Arial" w:eastAsia="Arial" w:hAnsi="Arial"/>
                <w:sz w:val="21"/>
                <w:szCs w:val="21"/>
                <w:color w:val="001641"/>
                <w:vertAlign w:val="superscript"/>
              </w:rPr>
              <w:t>5</w:t>
            </w:r>
          </w:p>
        </w:tc>
        <w:tc>
          <w:tcPr>
            <w:tcW w:w="1500" w:type="dxa"/>
            <w:vAlign w:val="bottom"/>
            <w:gridSpan w:val="2"/>
          </w:tcPr>
          <w:p>
            <w:pPr>
              <w:ind w:left="560"/>
              <w:spacing w:after="0"/>
              <w:rPr>
                <w:sz w:val="20"/>
                <w:szCs w:val="20"/>
                <w:color w:val="auto"/>
              </w:rPr>
            </w:pPr>
            <w:r>
              <w:rPr>
                <w:rFonts w:ascii="Arial" w:cs="Arial" w:eastAsia="Arial" w:hAnsi="Arial"/>
                <w:sz w:val="14"/>
                <w:szCs w:val="14"/>
                <w:color w:val="001641"/>
              </w:rPr>
              <w:t>$1,180,863</w:t>
            </w:r>
          </w:p>
        </w:tc>
        <w:tc>
          <w:tcPr>
            <w:tcW w:w="1080" w:type="dxa"/>
            <w:vAlign w:val="bottom"/>
            <w:gridSpan w:val="2"/>
          </w:tcPr>
          <w:p>
            <w:pPr>
              <w:ind w:left="160"/>
              <w:spacing w:after="0"/>
              <w:rPr>
                <w:sz w:val="20"/>
                <w:szCs w:val="20"/>
                <w:color w:val="auto"/>
              </w:rPr>
            </w:pPr>
            <w:r>
              <w:rPr>
                <w:rFonts w:ascii="Arial" w:cs="Arial" w:eastAsia="Arial" w:hAnsi="Arial"/>
                <w:sz w:val="14"/>
                <w:szCs w:val="14"/>
                <w:color w:val="001641"/>
              </w:rPr>
              <w:t>$80,367,628</w:t>
            </w:r>
          </w:p>
        </w:tc>
      </w:tr>
      <w:tr>
        <w:trPr>
          <w:trHeight w:val="153"/>
        </w:trPr>
        <w:tc>
          <w:tcPr>
            <w:tcW w:w="2060" w:type="dxa"/>
            <w:vAlign w:val="bottom"/>
          </w:tcPr>
          <w:p>
            <w:pPr>
              <w:ind w:left="120"/>
              <w:spacing w:after="0" w:line="153" w:lineRule="exact"/>
              <w:rPr>
                <w:sz w:val="20"/>
                <w:szCs w:val="20"/>
                <w:color w:val="auto"/>
              </w:rPr>
            </w:pPr>
            <w:r>
              <w:rPr>
                <w:rFonts w:ascii="Arial" w:cs="Arial" w:eastAsia="Arial" w:hAnsi="Arial"/>
                <w:sz w:val="14"/>
                <w:szCs w:val="14"/>
                <w:color w:val="001641"/>
              </w:rPr>
              <w:t>Cause/by the Executive for</w:t>
            </w: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90"/>
        </w:trPr>
        <w:tc>
          <w:tcPr>
            <w:tcW w:w="2060" w:type="dxa"/>
            <w:vAlign w:val="bottom"/>
          </w:tcPr>
          <w:p>
            <w:pPr>
              <w:ind w:left="120"/>
              <w:spacing w:after="0"/>
              <w:rPr>
                <w:sz w:val="20"/>
                <w:szCs w:val="20"/>
                <w:color w:val="auto"/>
              </w:rPr>
            </w:pPr>
            <w:r>
              <w:rPr>
                <w:rFonts w:ascii="Arial" w:cs="Arial" w:eastAsia="Arial" w:hAnsi="Arial"/>
                <w:sz w:val="14"/>
                <w:szCs w:val="14"/>
                <w:color w:val="001641"/>
              </w:rPr>
              <w:t>Good Reason</w:t>
            </w: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2060" w:type="dxa"/>
            <w:vAlign w:val="bottom"/>
            <w:tcBorders>
              <w:bottom w:val="single" w:sz="8" w:color="BFA071"/>
            </w:tcBorders>
          </w:tcPr>
          <w:p>
            <w:pPr>
              <w:spacing w:after="0" w:line="20" w:lineRule="exact"/>
              <w:rPr>
                <w:sz w:val="1"/>
                <w:szCs w:val="1"/>
                <w:color w:val="auto"/>
              </w:rPr>
            </w:pPr>
          </w:p>
        </w:tc>
        <w:tc>
          <w:tcPr>
            <w:tcW w:w="840" w:type="dxa"/>
            <w:vAlign w:val="bottom"/>
            <w:tcBorders>
              <w:bottom w:val="single" w:sz="8" w:color="BFA071"/>
            </w:tcBorders>
          </w:tcPr>
          <w:p>
            <w:pPr>
              <w:spacing w:after="0" w:line="20" w:lineRule="exact"/>
              <w:rPr>
                <w:sz w:val="1"/>
                <w:szCs w:val="1"/>
                <w:color w:val="auto"/>
              </w:rPr>
            </w:pPr>
          </w:p>
        </w:tc>
        <w:tc>
          <w:tcPr>
            <w:tcW w:w="680" w:type="dxa"/>
            <w:vAlign w:val="bottom"/>
            <w:tcBorders>
              <w:bottom w:val="single" w:sz="8" w:color="BFA071"/>
            </w:tcBorders>
          </w:tcPr>
          <w:p>
            <w:pPr>
              <w:spacing w:after="0" w:line="20" w:lineRule="exact"/>
              <w:rPr>
                <w:sz w:val="1"/>
                <w:szCs w:val="1"/>
                <w:color w:val="auto"/>
              </w:rPr>
            </w:pPr>
          </w:p>
        </w:tc>
        <w:tc>
          <w:tcPr>
            <w:tcW w:w="62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1540" w:type="dxa"/>
            <w:vAlign w:val="bottom"/>
            <w:tcBorders>
              <w:bottom w:val="single" w:sz="8" w:color="BFA071"/>
            </w:tcBorders>
            <w:gridSpan w:val="2"/>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580" w:type="dxa"/>
            <w:vAlign w:val="bottom"/>
            <w:tcBorders>
              <w:bottom w:val="single" w:sz="8" w:color="BFA071"/>
            </w:tcBorders>
          </w:tcPr>
          <w:p>
            <w:pPr>
              <w:spacing w:after="0" w:line="20" w:lineRule="exact"/>
              <w:rPr>
                <w:sz w:val="1"/>
                <w:szCs w:val="1"/>
                <w:color w:val="auto"/>
              </w:rPr>
            </w:pPr>
          </w:p>
        </w:tc>
        <w:tc>
          <w:tcPr>
            <w:tcW w:w="1080" w:type="dxa"/>
            <w:vAlign w:val="bottom"/>
            <w:tcBorders>
              <w:bottom w:val="single" w:sz="8" w:color="BFA071"/>
            </w:tcBorders>
            <w:gridSpan w:val="2"/>
          </w:tcPr>
          <w:p>
            <w:pPr>
              <w:spacing w:after="0" w:line="20" w:lineRule="exact"/>
              <w:rPr>
                <w:sz w:val="1"/>
                <w:szCs w:val="1"/>
                <w:color w:val="auto"/>
              </w:rPr>
            </w:pPr>
          </w:p>
        </w:tc>
      </w:tr>
      <w:tr>
        <w:trPr>
          <w:trHeight w:val="201"/>
        </w:trPr>
        <w:tc>
          <w:tcPr>
            <w:tcW w:w="2060" w:type="dxa"/>
            <w:vAlign w:val="bottom"/>
          </w:tcPr>
          <w:p>
            <w:pPr>
              <w:ind w:left="120"/>
              <w:spacing w:after="0"/>
              <w:rPr>
                <w:sz w:val="20"/>
                <w:szCs w:val="20"/>
                <w:color w:val="auto"/>
              </w:rPr>
            </w:pPr>
            <w:r>
              <w:rPr>
                <w:rFonts w:ascii="Arial" w:cs="Arial" w:eastAsia="Arial" w:hAnsi="Arial"/>
                <w:sz w:val="14"/>
                <w:szCs w:val="14"/>
                <w:color w:val="001641"/>
              </w:rPr>
              <w:t>Death or Disability</w:t>
            </w:r>
          </w:p>
        </w:tc>
        <w:tc>
          <w:tcPr>
            <w:tcW w:w="840" w:type="dxa"/>
            <w:vAlign w:val="bottom"/>
          </w:tcPr>
          <w:p>
            <w:pPr>
              <w:ind w:left="460"/>
              <w:spacing w:after="0"/>
              <w:rPr>
                <w:sz w:val="20"/>
                <w:szCs w:val="20"/>
                <w:color w:val="auto"/>
              </w:rPr>
            </w:pPr>
            <w:r>
              <w:rPr>
                <w:rFonts w:ascii="Arial" w:cs="Arial" w:eastAsia="Arial" w:hAnsi="Arial"/>
                <w:sz w:val="14"/>
                <w:szCs w:val="14"/>
                <w:color w:val="001641"/>
              </w:rPr>
              <w:t>$</w:t>
            </w:r>
          </w:p>
        </w:tc>
        <w:tc>
          <w:tcPr>
            <w:tcW w:w="680" w:type="dxa"/>
            <w:vAlign w:val="bottom"/>
          </w:tcPr>
          <w:p>
            <w:pPr>
              <w:jc w:val="right"/>
              <w:ind w:right="248"/>
              <w:spacing w:after="0"/>
              <w:rPr>
                <w:sz w:val="20"/>
                <w:szCs w:val="20"/>
                <w:color w:val="auto"/>
              </w:rPr>
            </w:pPr>
            <w:r>
              <w:rPr>
                <w:rFonts w:ascii="Arial" w:cs="Arial" w:eastAsia="Arial" w:hAnsi="Arial"/>
                <w:sz w:val="14"/>
                <w:szCs w:val="14"/>
                <w:color w:val="001641"/>
              </w:rPr>
              <w:t>0</w:t>
            </w:r>
          </w:p>
        </w:tc>
        <w:tc>
          <w:tcPr>
            <w:tcW w:w="620" w:type="dxa"/>
            <w:vAlign w:val="bottom"/>
          </w:tcPr>
          <w:p>
            <w:pPr>
              <w:ind w:left="420"/>
              <w:spacing w:after="0"/>
              <w:rPr>
                <w:sz w:val="20"/>
                <w:szCs w:val="20"/>
                <w:color w:val="auto"/>
              </w:rPr>
            </w:pPr>
            <w:r>
              <w:rPr>
                <w:rFonts w:ascii="Arial" w:cs="Arial" w:eastAsia="Arial" w:hAnsi="Arial"/>
                <w:sz w:val="14"/>
                <w:szCs w:val="14"/>
                <w:color w:val="001641"/>
              </w:rPr>
              <w:t>$</w:t>
            </w:r>
          </w:p>
        </w:tc>
        <w:tc>
          <w:tcPr>
            <w:tcW w:w="860" w:type="dxa"/>
            <w:vAlign w:val="bottom"/>
          </w:tcPr>
          <w:p>
            <w:pPr>
              <w:jc w:val="right"/>
              <w:ind w:right="188"/>
              <w:spacing w:after="0"/>
              <w:rPr>
                <w:sz w:val="20"/>
                <w:szCs w:val="20"/>
                <w:color w:val="auto"/>
              </w:rPr>
            </w:pPr>
            <w:r>
              <w:rPr>
                <w:rFonts w:ascii="Arial" w:cs="Arial" w:eastAsia="Arial" w:hAnsi="Arial"/>
                <w:sz w:val="14"/>
                <w:szCs w:val="14"/>
                <w:color w:val="001641"/>
              </w:rPr>
              <w:t>0</w:t>
            </w:r>
          </w:p>
        </w:tc>
        <w:tc>
          <w:tcPr>
            <w:tcW w:w="1540" w:type="dxa"/>
            <w:vAlign w:val="bottom"/>
            <w:gridSpan w:val="2"/>
          </w:tcPr>
          <w:p>
            <w:pPr>
              <w:ind w:left="440"/>
              <w:spacing w:after="0"/>
              <w:rPr>
                <w:sz w:val="20"/>
                <w:szCs w:val="20"/>
                <w:color w:val="auto"/>
              </w:rPr>
            </w:pPr>
            <w:r>
              <w:rPr>
                <w:rFonts w:ascii="Arial" w:cs="Arial" w:eastAsia="Arial" w:hAnsi="Arial"/>
                <w:sz w:val="14"/>
                <w:szCs w:val="14"/>
                <w:color w:val="001641"/>
              </w:rPr>
              <w:t>$57,806,765</w:t>
            </w:r>
          </w:p>
        </w:tc>
        <w:tc>
          <w:tcPr>
            <w:tcW w:w="920" w:type="dxa"/>
            <w:vAlign w:val="bottom"/>
          </w:tcPr>
          <w:p>
            <w:pPr>
              <w:ind w:left="560"/>
              <w:spacing w:after="0"/>
              <w:rPr>
                <w:sz w:val="20"/>
                <w:szCs w:val="20"/>
                <w:color w:val="auto"/>
              </w:rPr>
            </w:pPr>
            <w:r>
              <w:rPr>
                <w:rFonts w:ascii="Arial" w:cs="Arial" w:eastAsia="Arial" w:hAnsi="Arial"/>
                <w:sz w:val="14"/>
                <w:szCs w:val="14"/>
                <w:color w:val="001641"/>
              </w:rPr>
              <w:t>$</w:t>
            </w:r>
          </w:p>
        </w:tc>
        <w:tc>
          <w:tcPr>
            <w:tcW w:w="580" w:type="dxa"/>
            <w:vAlign w:val="bottom"/>
          </w:tcPr>
          <w:p>
            <w:pPr>
              <w:jc w:val="right"/>
              <w:ind w:right="148"/>
              <w:spacing w:after="0"/>
              <w:rPr>
                <w:sz w:val="20"/>
                <w:szCs w:val="20"/>
                <w:color w:val="auto"/>
              </w:rPr>
            </w:pPr>
            <w:r>
              <w:rPr>
                <w:rFonts w:ascii="Arial" w:cs="Arial" w:eastAsia="Arial" w:hAnsi="Arial"/>
                <w:sz w:val="14"/>
                <w:szCs w:val="14"/>
                <w:color w:val="001641"/>
              </w:rPr>
              <w:t>0</w:t>
            </w:r>
          </w:p>
        </w:tc>
        <w:tc>
          <w:tcPr>
            <w:tcW w:w="1080" w:type="dxa"/>
            <w:vAlign w:val="bottom"/>
            <w:gridSpan w:val="2"/>
          </w:tcPr>
          <w:p>
            <w:pPr>
              <w:ind w:left="160"/>
              <w:spacing w:after="0"/>
              <w:rPr>
                <w:sz w:val="20"/>
                <w:szCs w:val="20"/>
                <w:color w:val="auto"/>
              </w:rPr>
            </w:pPr>
            <w:r>
              <w:rPr>
                <w:rFonts w:ascii="Arial" w:cs="Arial" w:eastAsia="Arial" w:hAnsi="Arial"/>
                <w:sz w:val="14"/>
                <w:szCs w:val="14"/>
                <w:color w:val="001641"/>
              </w:rPr>
              <w:t>$57,806,765</w:t>
            </w:r>
          </w:p>
        </w:tc>
      </w:tr>
      <w:tr>
        <w:trPr>
          <w:trHeight w:val="21"/>
        </w:trPr>
        <w:tc>
          <w:tcPr>
            <w:tcW w:w="2060" w:type="dxa"/>
            <w:vAlign w:val="bottom"/>
            <w:tcBorders>
              <w:bottom w:val="single" w:sz="8" w:color="BFA071"/>
            </w:tcBorders>
          </w:tcPr>
          <w:p>
            <w:pPr>
              <w:spacing w:after="0" w:line="20" w:lineRule="exact"/>
              <w:rPr>
                <w:sz w:val="1"/>
                <w:szCs w:val="1"/>
                <w:color w:val="auto"/>
              </w:rPr>
            </w:pPr>
          </w:p>
        </w:tc>
        <w:tc>
          <w:tcPr>
            <w:tcW w:w="1520" w:type="dxa"/>
            <w:vAlign w:val="bottom"/>
            <w:tcBorders>
              <w:bottom w:val="single" w:sz="8" w:color="BFA071"/>
            </w:tcBorders>
            <w:gridSpan w:val="2"/>
          </w:tcPr>
          <w:p>
            <w:pPr>
              <w:spacing w:after="0" w:line="20" w:lineRule="exact"/>
              <w:rPr>
                <w:sz w:val="1"/>
                <w:szCs w:val="1"/>
                <w:color w:val="auto"/>
              </w:rPr>
            </w:pPr>
          </w:p>
        </w:tc>
        <w:tc>
          <w:tcPr>
            <w:tcW w:w="1480" w:type="dxa"/>
            <w:vAlign w:val="bottom"/>
            <w:tcBorders>
              <w:bottom w:val="single" w:sz="8" w:color="BFA071"/>
            </w:tcBorders>
            <w:gridSpan w:val="2"/>
          </w:tcPr>
          <w:p>
            <w:pPr>
              <w:spacing w:after="0" w:line="20" w:lineRule="exact"/>
              <w:rPr>
                <w:sz w:val="1"/>
                <w:szCs w:val="1"/>
                <w:color w:val="auto"/>
              </w:rPr>
            </w:pPr>
          </w:p>
        </w:tc>
        <w:tc>
          <w:tcPr>
            <w:tcW w:w="1540" w:type="dxa"/>
            <w:vAlign w:val="bottom"/>
            <w:tcBorders>
              <w:bottom w:val="single" w:sz="8" w:color="BFA071"/>
            </w:tcBorders>
            <w:gridSpan w:val="2"/>
          </w:tcPr>
          <w:p>
            <w:pPr>
              <w:spacing w:after="0" w:line="20" w:lineRule="exact"/>
              <w:rPr>
                <w:sz w:val="1"/>
                <w:szCs w:val="1"/>
                <w:color w:val="auto"/>
              </w:rPr>
            </w:pPr>
          </w:p>
        </w:tc>
        <w:tc>
          <w:tcPr>
            <w:tcW w:w="1500" w:type="dxa"/>
            <w:vAlign w:val="bottom"/>
            <w:tcBorders>
              <w:bottom w:val="single" w:sz="8" w:color="BFA071"/>
            </w:tcBorders>
            <w:gridSpan w:val="2"/>
          </w:tcPr>
          <w:p>
            <w:pPr>
              <w:spacing w:after="0" w:line="20" w:lineRule="exact"/>
              <w:rPr>
                <w:sz w:val="1"/>
                <w:szCs w:val="1"/>
                <w:color w:val="auto"/>
              </w:rPr>
            </w:pPr>
          </w:p>
        </w:tc>
        <w:tc>
          <w:tcPr>
            <w:tcW w:w="1080" w:type="dxa"/>
            <w:vAlign w:val="bottom"/>
            <w:tcBorders>
              <w:bottom w:val="single" w:sz="8" w:color="BFA071"/>
            </w:tcBorders>
            <w:gridSpan w:val="2"/>
          </w:tcPr>
          <w:p>
            <w:pPr>
              <w:spacing w:after="0" w:line="20" w:lineRule="exact"/>
              <w:rPr>
                <w:sz w:val="1"/>
                <w:szCs w:val="1"/>
                <w:color w:val="auto"/>
              </w:rPr>
            </w:pPr>
          </w:p>
        </w:tc>
      </w:tr>
      <w:tr>
        <w:trPr>
          <w:trHeight w:val="170"/>
        </w:trPr>
        <w:tc>
          <w:tcPr>
            <w:tcW w:w="2060" w:type="dxa"/>
            <w:vAlign w:val="bottom"/>
          </w:tcPr>
          <w:p>
            <w:pPr>
              <w:ind w:left="120"/>
              <w:spacing w:after="0"/>
              <w:rPr>
                <w:sz w:val="20"/>
                <w:szCs w:val="20"/>
                <w:color w:val="auto"/>
              </w:rPr>
            </w:pPr>
            <w:r>
              <w:rPr>
                <w:rFonts w:ascii="Arial" w:cs="Arial" w:eastAsia="Arial" w:hAnsi="Arial"/>
                <w:sz w:val="14"/>
                <w:szCs w:val="14"/>
                <w:color w:val="001641"/>
              </w:rPr>
              <w:t>Change in Control with</w:t>
            </w:r>
          </w:p>
        </w:tc>
        <w:tc>
          <w:tcPr>
            <w:tcW w:w="1520" w:type="dxa"/>
            <w:vAlign w:val="bottom"/>
            <w:gridSpan w:val="2"/>
          </w:tcPr>
          <w:p>
            <w:pPr>
              <w:ind w:left="460"/>
              <w:spacing w:after="0"/>
              <w:rPr>
                <w:sz w:val="20"/>
                <w:szCs w:val="20"/>
                <w:color w:val="auto"/>
              </w:rPr>
            </w:pPr>
            <w:r>
              <w:rPr>
                <w:rFonts w:ascii="Arial" w:cs="Arial" w:eastAsia="Arial" w:hAnsi="Arial"/>
                <w:sz w:val="14"/>
                <w:szCs w:val="14"/>
                <w:color w:val="001641"/>
              </w:rPr>
              <w:t>$3,500,000</w:t>
            </w:r>
          </w:p>
        </w:tc>
        <w:tc>
          <w:tcPr>
            <w:tcW w:w="1480" w:type="dxa"/>
            <w:vAlign w:val="bottom"/>
            <w:gridSpan w:val="2"/>
          </w:tcPr>
          <w:p>
            <w:pPr>
              <w:ind w:left="420"/>
              <w:spacing w:after="0"/>
              <w:rPr>
                <w:sz w:val="20"/>
                <w:szCs w:val="20"/>
                <w:color w:val="auto"/>
              </w:rPr>
            </w:pPr>
            <w:r>
              <w:rPr>
                <w:rFonts w:ascii="Arial" w:cs="Arial" w:eastAsia="Arial" w:hAnsi="Arial"/>
                <w:sz w:val="14"/>
                <w:szCs w:val="14"/>
                <w:color w:val="001641"/>
              </w:rPr>
              <w:t>$17,880,000</w:t>
            </w:r>
          </w:p>
        </w:tc>
        <w:tc>
          <w:tcPr>
            <w:tcW w:w="1540" w:type="dxa"/>
            <w:vAlign w:val="bottom"/>
            <w:gridSpan w:val="2"/>
          </w:tcPr>
          <w:p>
            <w:pPr>
              <w:ind w:left="440"/>
              <w:spacing w:after="0"/>
              <w:rPr>
                <w:sz w:val="20"/>
                <w:szCs w:val="20"/>
                <w:color w:val="auto"/>
              </w:rPr>
            </w:pPr>
            <w:r>
              <w:rPr>
                <w:rFonts w:ascii="Arial" w:cs="Arial" w:eastAsia="Arial" w:hAnsi="Arial"/>
                <w:sz w:val="14"/>
                <w:szCs w:val="14"/>
                <w:color w:val="001641"/>
              </w:rPr>
              <w:t>$57,806,765</w:t>
            </w:r>
          </w:p>
        </w:tc>
        <w:tc>
          <w:tcPr>
            <w:tcW w:w="1500" w:type="dxa"/>
            <w:vAlign w:val="bottom"/>
            <w:gridSpan w:val="2"/>
          </w:tcPr>
          <w:p>
            <w:pPr>
              <w:ind w:left="560"/>
              <w:spacing w:after="0"/>
              <w:rPr>
                <w:sz w:val="20"/>
                <w:szCs w:val="20"/>
                <w:color w:val="auto"/>
              </w:rPr>
            </w:pPr>
            <w:r>
              <w:rPr>
                <w:rFonts w:ascii="Arial" w:cs="Arial" w:eastAsia="Arial" w:hAnsi="Arial"/>
                <w:sz w:val="14"/>
                <w:szCs w:val="14"/>
                <w:color w:val="001641"/>
              </w:rPr>
              <w:t>$1,180,863</w:t>
            </w:r>
          </w:p>
        </w:tc>
        <w:tc>
          <w:tcPr>
            <w:tcW w:w="1080" w:type="dxa"/>
            <w:vAlign w:val="bottom"/>
            <w:gridSpan w:val="2"/>
          </w:tcPr>
          <w:p>
            <w:pPr>
              <w:ind w:left="160"/>
              <w:spacing w:after="0"/>
              <w:rPr>
                <w:sz w:val="20"/>
                <w:szCs w:val="20"/>
                <w:color w:val="auto"/>
              </w:rPr>
            </w:pPr>
            <w:r>
              <w:rPr>
                <w:rFonts w:ascii="Arial" w:cs="Arial" w:eastAsia="Arial" w:hAnsi="Arial"/>
                <w:sz w:val="14"/>
                <w:szCs w:val="14"/>
                <w:color w:val="001641"/>
              </w:rPr>
              <w:t>$80,367,628</w:t>
            </w:r>
          </w:p>
        </w:tc>
      </w:tr>
      <w:tr>
        <w:trPr>
          <w:trHeight w:val="228"/>
        </w:trPr>
        <w:tc>
          <w:tcPr>
            <w:tcW w:w="2060" w:type="dxa"/>
            <w:vAlign w:val="bottom"/>
            <w:tcBorders>
              <w:bottom w:val="single" w:sz="8" w:color="001641"/>
            </w:tcBorders>
          </w:tcPr>
          <w:p>
            <w:pPr>
              <w:ind w:left="120"/>
              <w:spacing w:after="0" w:line="229" w:lineRule="exact"/>
              <w:rPr>
                <w:sz w:val="20"/>
                <w:szCs w:val="20"/>
                <w:color w:val="auto"/>
              </w:rPr>
            </w:pPr>
            <w:r>
              <w:rPr>
                <w:rFonts w:ascii="Arial" w:cs="Arial" w:eastAsia="Arial" w:hAnsi="Arial"/>
                <w:sz w:val="14"/>
                <w:szCs w:val="14"/>
                <w:color w:val="001641"/>
              </w:rPr>
              <w:t>Termination</w:t>
            </w:r>
            <w:r>
              <w:rPr>
                <w:rFonts w:ascii="Arial" w:cs="Arial" w:eastAsia="Arial" w:hAnsi="Arial"/>
                <w:sz w:val="23"/>
                <w:szCs w:val="23"/>
                <w:color w:val="001641"/>
                <w:vertAlign w:val="superscript"/>
              </w:rPr>
              <w:t>6</w:t>
            </w:r>
          </w:p>
        </w:tc>
        <w:tc>
          <w:tcPr>
            <w:tcW w:w="840" w:type="dxa"/>
            <w:vAlign w:val="bottom"/>
            <w:tcBorders>
              <w:bottom w:val="single" w:sz="8" w:color="001641"/>
            </w:tcBorders>
          </w:tcPr>
          <w:p>
            <w:pPr>
              <w:spacing w:after="0"/>
              <w:rPr>
                <w:sz w:val="19"/>
                <w:szCs w:val="19"/>
                <w:color w:val="auto"/>
              </w:rPr>
            </w:pPr>
          </w:p>
        </w:tc>
        <w:tc>
          <w:tcPr>
            <w:tcW w:w="680" w:type="dxa"/>
            <w:vAlign w:val="bottom"/>
            <w:tcBorders>
              <w:bottom w:val="single" w:sz="8" w:color="001641"/>
            </w:tcBorders>
          </w:tcPr>
          <w:p>
            <w:pPr>
              <w:spacing w:after="0"/>
              <w:rPr>
                <w:sz w:val="19"/>
                <w:szCs w:val="19"/>
                <w:color w:val="auto"/>
              </w:rPr>
            </w:pPr>
          </w:p>
        </w:tc>
        <w:tc>
          <w:tcPr>
            <w:tcW w:w="620" w:type="dxa"/>
            <w:vAlign w:val="bottom"/>
            <w:tcBorders>
              <w:bottom w:val="single" w:sz="8" w:color="001641"/>
            </w:tcBorders>
          </w:tcPr>
          <w:p>
            <w:pPr>
              <w:spacing w:after="0"/>
              <w:rPr>
                <w:sz w:val="19"/>
                <w:szCs w:val="19"/>
                <w:color w:val="auto"/>
              </w:rPr>
            </w:pPr>
          </w:p>
        </w:tc>
        <w:tc>
          <w:tcPr>
            <w:tcW w:w="860" w:type="dxa"/>
            <w:vAlign w:val="bottom"/>
            <w:tcBorders>
              <w:bottom w:val="single" w:sz="8" w:color="001641"/>
            </w:tcBorders>
          </w:tcPr>
          <w:p>
            <w:pPr>
              <w:spacing w:after="0"/>
              <w:rPr>
                <w:sz w:val="19"/>
                <w:szCs w:val="19"/>
                <w:color w:val="auto"/>
              </w:rPr>
            </w:pPr>
          </w:p>
        </w:tc>
        <w:tc>
          <w:tcPr>
            <w:tcW w:w="660" w:type="dxa"/>
            <w:vAlign w:val="bottom"/>
            <w:tcBorders>
              <w:bottom w:val="single" w:sz="8" w:color="001641"/>
            </w:tcBorders>
          </w:tcPr>
          <w:p>
            <w:pPr>
              <w:spacing w:after="0"/>
              <w:rPr>
                <w:sz w:val="19"/>
                <w:szCs w:val="19"/>
                <w:color w:val="auto"/>
              </w:rPr>
            </w:pPr>
          </w:p>
        </w:tc>
        <w:tc>
          <w:tcPr>
            <w:tcW w:w="880" w:type="dxa"/>
            <w:vAlign w:val="bottom"/>
            <w:tcBorders>
              <w:bottom w:val="single" w:sz="8" w:color="001641"/>
            </w:tcBorders>
          </w:tcPr>
          <w:p>
            <w:pPr>
              <w:spacing w:after="0"/>
              <w:rPr>
                <w:sz w:val="19"/>
                <w:szCs w:val="19"/>
                <w:color w:val="auto"/>
              </w:rPr>
            </w:pPr>
          </w:p>
        </w:tc>
        <w:tc>
          <w:tcPr>
            <w:tcW w:w="920" w:type="dxa"/>
            <w:vAlign w:val="bottom"/>
            <w:tcBorders>
              <w:bottom w:val="single" w:sz="8" w:color="001641"/>
            </w:tcBorders>
          </w:tcPr>
          <w:p>
            <w:pPr>
              <w:spacing w:after="0"/>
              <w:rPr>
                <w:sz w:val="19"/>
                <w:szCs w:val="19"/>
                <w:color w:val="auto"/>
              </w:rPr>
            </w:pPr>
          </w:p>
        </w:tc>
        <w:tc>
          <w:tcPr>
            <w:tcW w:w="580" w:type="dxa"/>
            <w:vAlign w:val="bottom"/>
            <w:tcBorders>
              <w:bottom w:val="single" w:sz="8" w:color="001641"/>
            </w:tcBorders>
          </w:tcPr>
          <w:p>
            <w:pPr>
              <w:spacing w:after="0"/>
              <w:rPr>
                <w:sz w:val="19"/>
                <w:szCs w:val="19"/>
                <w:color w:val="auto"/>
              </w:rPr>
            </w:pPr>
          </w:p>
        </w:tc>
        <w:tc>
          <w:tcPr>
            <w:tcW w:w="440" w:type="dxa"/>
            <w:vAlign w:val="bottom"/>
            <w:tcBorders>
              <w:bottom w:val="single" w:sz="8" w:color="001641"/>
            </w:tcBorders>
          </w:tcPr>
          <w:p>
            <w:pPr>
              <w:spacing w:after="0"/>
              <w:rPr>
                <w:sz w:val="19"/>
                <w:szCs w:val="19"/>
                <w:color w:val="auto"/>
              </w:rPr>
            </w:pPr>
          </w:p>
        </w:tc>
        <w:tc>
          <w:tcPr>
            <w:tcW w:w="640" w:type="dxa"/>
            <w:vAlign w:val="bottom"/>
            <w:tcBorders>
              <w:bottom w:val="single" w:sz="8" w:color="001641"/>
            </w:tcBorders>
          </w:tcPr>
          <w:p>
            <w:pPr>
              <w:spacing w:after="0"/>
              <w:rPr>
                <w:sz w:val="19"/>
                <w:szCs w:val="19"/>
                <w:color w:val="auto"/>
              </w:rPr>
            </w:pPr>
          </w:p>
        </w:tc>
      </w:tr>
      <w:tr>
        <w:trPr>
          <w:trHeight w:val="209"/>
        </w:trPr>
        <w:tc>
          <w:tcPr>
            <w:tcW w:w="20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128905" cy="11112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126365</wp:posOffset>
            </wp:positionV>
            <wp:extent cx="6995160"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12" w:name="page113"/>
    <w:bookmarkEnd w:id="11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63" w:lineRule="exact"/>
        <w:rPr>
          <w:sz w:val="20"/>
          <w:szCs w:val="20"/>
          <w:color w:val="auto"/>
        </w:rPr>
      </w:pPr>
    </w:p>
    <w:p>
      <w:pPr>
        <w:ind w:left="246" w:right="300" w:hanging="246"/>
        <w:spacing w:after="0" w:line="263" w:lineRule="auto"/>
        <w:tabs>
          <w:tab w:leader="none" w:pos="246" w:val="left"/>
        </w:tabs>
        <w:numPr>
          <w:ilvl w:val="0"/>
          <w:numId w:val="87"/>
        </w:numPr>
        <w:rPr>
          <w:rFonts w:ascii="Arial" w:cs="Arial" w:eastAsia="Arial" w:hAnsi="Arial"/>
          <w:sz w:val="14"/>
          <w:szCs w:val="14"/>
          <w:color w:val="4C4C4C"/>
        </w:rPr>
      </w:pPr>
      <w:r>
        <w:rPr>
          <w:rFonts w:ascii="Arial" w:cs="Arial" w:eastAsia="Arial" w:hAnsi="Arial"/>
          <w:sz w:val="14"/>
          <w:szCs w:val="14"/>
          <w:color w:val="4C4C4C"/>
        </w:rPr>
        <w:t>In the event of a termination by the Company without cause or by Mr. R. Lauren for good reason and pursuant to his employment agreement, we would provide a lump sum cash payment equal to two times his base salary, payable within 30 days following the date of termination.</w:t>
      </w:r>
    </w:p>
    <w:p>
      <w:pPr>
        <w:spacing w:after="0" w:line="10" w:lineRule="exact"/>
        <w:rPr>
          <w:rFonts w:ascii="Arial" w:cs="Arial" w:eastAsia="Arial" w:hAnsi="Arial"/>
          <w:sz w:val="14"/>
          <w:szCs w:val="14"/>
          <w:color w:val="4C4C4C"/>
        </w:rPr>
      </w:pPr>
    </w:p>
    <w:p>
      <w:pPr>
        <w:ind w:left="246" w:right="140" w:hanging="246"/>
        <w:spacing w:after="0" w:line="263" w:lineRule="auto"/>
        <w:tabs>
          <w:tab w:leader="none" w:pos="246" w:val="left"/>
        </w:tabs>
        <w:numPr>
          <w:ilvl w:val="0"/>
          <w:numId w:val="87"/>
        </w:numPr>
        <w:rPr>
          <w:rFonts w:ascii="Arial" w:cs="Arial" w:eastAsia="Arial" w:hAnsi="Arial"/>
          <w:sz w:val="14"/>
          <w:szCs w:val="14"/>
          <w:color w:val="4C4C4C"/>
        </w:rPr>
      </w:pPr>
      <w:r>
        <w:rPr>
          <w:rFonts w:ascii="Arial" w:cs="Arial" w:eastAsia="Arial" w:hAnsi="Arial"/>
          <w:sz w:val="14"/>
          <w:szCs w:val="14"/>
          <w:color w:val="4C4C4C"/>
        </w:rPr>
        <w:t>Represents the value associated with the acceleration or continuation (as the case may be) of the vesting of equity awards. In the case of PSUs (including associated dividend equivalent units on such award), the value was based on the NYSE closing price of Class A Common Stock on March 27, 2026, which was $327.82.</w:t>
      </w:r>
    </w:p>
    <w:p>
      <w:pPr>
        <w:spacing w:after="0" w:line="10" w:lineRule="exact"/>
        <w:rPr>
          <w:rFonts w:ascii="Arial" w:cs="Arial" w:eastAsia="Arial" w:hAnsi="Arial"/>
          <w:sz w:val="14"/>
          <w:szCs w:val="14"/>
          <w:color w:val="4C4C4C"/>
        </w:rPr>
      </w:pPr>
    </w:p>
    <w:p>
      <w:pPr>
        <w:ind w:left="246" w:right="300" w:hanging="246"/>
        <w:spacing w:after="0" w:line="281" w:lineRule="auto"/>
        <w:tabs>
          <w:tab w:leader="none" w:pos="246" w:val="left"/>
        </w:tabs>
        <w:numPr>
          <w:ilvl w:val="0"/>
          <w:numId w:val="87"/>
        </w:numPr>
        <w:rPr>
          <w:rFonts w:ascii="Arial" w:cs="Arial" w:eastAsia="Arial" w:hAnsi="Arial"/>
          <w:sz w:val="14"/>
          <w:szCs w:val="14"/>
          <w:color w:val="4C4C4C"/>
        </w:rPr>
      </w:pPr>
      <w:r>
        <w:rPr>
          <w:rFonts w:ascii="Arial" w:cs="Arial" w:eastAsia="Arial" w:hAnsi="Arial"/>
          <w:sz w:val="14"/>
          <w:szCs w:val="14"/>
          <w:color w:val="4C4C4C"/>
        </w:rPr>
        <w:t>Represents the cost of providing welfare and medical benefits, office facilities and secretarial assistance, and the use of a car and driver through the applicable severance period.</w:t>
      </w:r>
    </w:p>
    <w:p>
      <w:pPr>
        <w:spacing w:after="0" w:line="1" w:lineRule="exact"/>
        <w:rPr>
          <w:rFonts w:ascii="Arial" w:cs="Arial" w:eastAsia="Arial" w:hAnsi="Arial"/>
          <w:sz w:val="14"/>
          <w:szCs w:val="14"/>
          <w:color w:val="4C4C4C"/>
        </w:rPr>
      </w:pPr>
    </w:p>
    <w:p>
      <w:pPr>
        <w:ind w:left="246" w:hanging="246"/>
        <w:spacing w:after="0"/>
        <w:tabs>
          <w:tab w:leader="none" w:pos="246" w:val="left"/>
        </w:tabs>
        <w:numPr>
          <w:ilvl w:val="0"/>
          <w:numId w:val="87"/>
        </w:numPr>
        <w:rPr>
          <w:rFonts w:ascii="Arial" w:cs="Arial" w:eastAsia="Arial" w:hAnsi="Arial"/>
          <w:sz w:val="14"/>
          <w:szCs w:val="14"/>
          <w:color w:val="4C4C4C"/>
        </w:rPr>
      </w:pPr>
      <w:r>
        <w:rPr>
          <w:rFonts w:ascii="Arial" w:cs="Arial" w:eastAsia="Arial" w:hAnsi="Arial"/>
          <w:sz w:val="14"/>
          <w:szCs w:val="14"/>
          <w:color w:val="4C4C4C"/>
        </w:rPr>
        <w:t>Represents two times the average annual bonus paid to Mr. R. Lauren for the two fiscal years immediately preceding the year of termination.</w:t>
      </w:r>
    </w:p>
    <w:p>
      <w:pPr>
        <w:spacing w:after="0" w:line="55" w:lineRule="exact"/>
        <w:rPr>
          <w:rFonts w:ascii="Arial" w:cs="Arial" w:eastAsia="Arial" w:hAnsi="Arial"/>
          <w:sz w:val="14"/>
          <w:szCs w:val="14"/>
          <w:color w:val="4C4C4C"/>
        </w:rPr>
      </w:pPr>
    </w:p>
    <w:p>
      <w:pPr>
        <w:ind w:left="246" w:hanging="246"/>
        <w:spacing w:after="0"/>
        <w:tabs>
          <w:tab w:leader="none" w:pos="246" w:val="left"/>
        </w:tabs>
        <w:numPr>
          <w:ilvl w:val="0"/>
          <w:numId w:val="87"/>
        </w:numPr>
        <w:rPr>
          <w:rFonts w:ascii="Arial" w:cs="Arial" w:eastAsia="Arial" w:hAnsi="Arial"/>
          <w:sz w:val="14"/>
          <w:szCs w:val="14"/>
          <w:color w:val="4C4C4C"/>
        </w:rPr>
      </w:pPr>
      <w:r>
        <w:rPr>
          <w:rFonts w:ascii="Arial" w:cs="Arial" w:eastAsia="Arial" w:hAnsi="Arial"/>
          <w:sz w:val="14"/>
          <w:szCs w:val="14"/>
          <w:color w:val="4C4C4C"/>
        </w:rPr>
        <w:t>If maximum performance for PSUs is reached, the value would increase by $57,806,765.</w:t>
      </w:r>
    </w:p>
    <w:p>
      <w:pPr>
        <w:spacing w:after="0" w:line="55" w:lineRule="exact"/>
        <w:rPr>
          <w:rFonts w:ascii="Arial" w:cs="Arial" w:eastAsia="Arial" w:hAnsi="Arial"/>
          <w:sz w:val="14"/>
          <w:szCs w:val="14"/>
          <w:color w:val="4C4C4C"/>
        </w:rPr>
      </w:pPr>
    </w:p>
    <w:p>
      <w:pPr>
        <w:ind w:left="246" w:right="60" w:hanging="246"/>
        <w:spacing w:after="0" w:line="256" w:lineRule="auto"/>
        <w:tabs>
          <w:tab w:leader="none" w:pos="246" w:val="left"/>
        </w:tabs>
        <w:numPr>
          <w:ilvl w:val="0"/>
          <w:numId w:val="87"/>
        </w:numPr>
        <w:rPr>
          <w:rFonts w:ascii="Arial" w:cs="Arial" w:eastAsia="Arial" w:hAnsi="Arial"/>
          <w:sz w:val="14"/>
          <w:szCs w:val="14"/>
          <w:color w:val="4C4C4C"/>
        </w:rPr>
      </w:pPr>
      <w:r>
        <w:rPr>
          <w:rFonts w:ascii="Arial" w:cs="Arial" w:eastAsia="Arial" w:hAnsi="Arial"/>
          <w:sz w:val="14"/>
          <w:szCs w:val="14"/>
          <w:color w:val="4C4C4C"/>
        </w:rPr>
        <w:t>In the event of a qualifying termination in connection with a change in control, no special change in control severance payment is payable to Mr. R. Lauren. If Mr. R. Lauren’s employment were to be terminated by us without cause or if he terminates his employment for good reason following a change in control, Mr. R. Lauren would be entitled to the same amounts reflected above for “By the Company without Cause/By the Executive for Good Reason.”</w:t>
      </w:r>
    </w:p>
    <w:p>
      <w:pPr>
        <w:spacing w:after="0" w:line="132" w:lineRule="exact"/>
        <w:rPr>
          <w:sz w:val="20"/>
          <w:szCs w:val="20"/>
          <w:color w:val="auto"/>
        </w:rPr>
      </w:pPr>
    </w:p>
    <w:tbl>
      <w:tblPr>
        <w:tblLayout w:type="fixed"/>
        <w:tblInd w:w="6" w:type="dxa"/>
        <w:tblCellMar>
          <w:top w:w="0" w:type="dxa"/>
          <w:left w:w="0" w:type="dxa"/>
          <w:bottom w:w="0" w:type="dxa"/>
          <w:right w:w="0" w:type="dxa"/>
        </w:tblCellMar>
      </w:tblPr>
      <w:tr>
        <w:trPr>
          <w:trHeight w:val="296"/>
        </w:trPr>
        <w:tc>
          <w:tcPr>
            <w:tcW w:w="4420" w:type="dxa"/>
            <w:vAlign w:val="bottom"/>
            <w:gridSpan w:val="4"/>
            <w:shd w:val="clear" w:color="auto" w:fill="BFA071"/>
          </w:tcPr>
          <w:p>
            <w:pPr>
              <w:ind w:left="120"/>
              <w:spacing w:after="0"/>
              <w:rPr>
                <w:sz w:val="20"/>
                <w:szCs w:val="20"/>
                <w:color w:val="auto"/>
              </w:rPr>
            </w:pPr>
            <w:r>
              <w:rPr>
                <w:rFonts w:ascii="Arial" w:cs="Arial" w:eastAsia="Arial" w:hAnsi="Arial"/>
                <w:sz w:val="14"/>
                <w:szCs w:val="14"/>
                <w:b w:val="1"/>
                <w:bCs w:val="1"/>
                <w:color w:val="FFFFFF"/>
              </w:rPr>
              <w:t>President and Chief Executive Officer - Patrice Louvet</w:t>
            </w:r>
          </w:p>
        </w:tc>
        <w:tc>
          <w:tcPr>
            <w:tcW w:w="640" w:type="dxa"/>
            <w:vAlign w:val="bottom"/>
            <w:shd w:val="clear" w:color="auto" w:fill="BFA071"/>
          </w:tcPr>
          <w:p>
            <w:pPr>
              <w:spacing w:after="0"/>
              <w:rPr>
                <w:sz w:val="24"/>
                <w:szCs w:val="24"/>
                <w:color w:val="auto"/>
              </w:rPr>
            </w:pPr>
          </w:p>
        </w:tc>
        <w:tc>
          <w:tcPr>
            <w:tcW w:w="640" w:type="dxa"/>
            <w:vAlign w:val="bottom"/>
            <w:shd w:val="clear" w:color="auto" w:fill="BFA071"/>
          </w:tcPr>
          <w:p>
            <w:pPr>
              <w:spacing w:after="0"/>
              <w:rPr>
                <w:sz w:val="24"/>
                <w:szCs w:val="24"/>
                <w:color w:val="auto"/>
              </w:rPr>
            </w:pPr>
          </w:p>
        </w:tc>
        <w:tc>
          <w:tcPr>
            <w:tcW w:w="900" w:type="dxa"/>
            <w:vAlign w:val="bottom"/>
            <w:shd w:val="clear" w:color="auto" w:fill="BFA071"/>
          </w:tcPr>
          <w:p>
            <w:pPr>
              <w:spacing w:after="0"/>
              <w:rPr>
                <w:sz w:val="24"/>
                <w:szCs w:val="24"/>
                <w:color w:val="auto"/>
              </w:rPr>
            </w:pPr>
          </w:p>
        </w:tc>
        <w:tc>
          <w:tcPr>
            <w:tcW w:w="920" w:type="dxa"/>
            <w:vAlign w:val="bottom"/>
            <w:shd w:val="clear" w:color="auto" w:fill="BFA071"/>
          </w:tcPr>
          <w:p>
            <w:pPr>
              <w:spacing w:after="0"/>
              <w:rPr>
                <w:sz w:val="24"/>
                <w:szCs w:val="24"/>
                <w:color w:val="auto"/>
              </w:rPr>
            </w:pPr>
          </w:p>
        </w:tc>
        <w:tc>
          <w:tcPr>
            <w:tcW w:w="580" w:type="dxa"/>
            <w:vAlign w:val="bottom"/>
            <w:shd w:val="clear" w:color="auto" w:fill="BFA071"/>
          </w:tcPr>
          <w:p>
            <w:pPr>
              <w:spacing w:after="0"/>
              <w:rPr>
                <w:sz w:val="24"/>
                <w:szCs w:val="24"/>
                <w:color w:val="auto"/>
              </w:rPr>
            </w:pPr>
          </w:p>
        </w:tc>
        <w:tc>
          <w:tcPr>
            <w:tcW w:w="440" w:type="dxa"/>
            <w:vAlign w:val="bottom"/>
            <w:shd w:val="clear" w:color="auto" w:fill="BFA071"/>
          </w:tcPr>
          <w:p>
            <w:pPr>
              <w:spacing w:after="0"/>
              <w:rPr>
                <w:sz w:val="24"/>
                <w:szCs w:val="24"/>
                <w:color w:val="auto"/>
              </w:rPr>
            </w:pPr>
          </w:p>
        </w:tc>
        <w:tc>
          <w:tcPr>
            <w:tcW w:w="640" w:type="dxa"/>
            <w:vAlign w:val="bottom"/>
            <w:shd w:val="clear" w:color="auto" w:fill="BFA071"/>
          </w:tcPr>
          <w:p>
            <w:pPr>
              <w:spacing w:after="0"/>
              <w:rPr>
                <w:sz w:val="24"/>
                <w:szCs w:val="24"/>
                <w:color w:val="auto"/>
              </w:rPr>
            </w:pPr>
          </w:p>
        </w:tc>
      </w:tr>
      <w:tr>
        <w:trPr>
          <w:trHeight w:val="167"/>
        </w:trPr>
        <w:tc>
          <w:tcPr>
            <w:tcW w:w="2060" w:type="dxa"/>
            <w:vAlign w:val="bottom"/>
            <w:shd w:val="clear" w:color="auto" w:fill="001641"/>
          </w:tcPr>
          <w:p>
            <w:pPr>
              <w:spacing w:after="0"/>
              <w:rPr>
                <w:sz w:val="14"/>
                <w:szCs w:val="14"/>
                <w:color w:val="auto"/>
              </w:rPr>
            </w:pPr>
          </w:p>
        </w:tc>
        <w:tc>
          <w:tcPr>
            <w:tcW w:w="820" w:type="dxa"/>
            <w:vAlign w:val="bottom"/>
            <w:shd w:val="clear" w:color="auto" w:fill="001641"/>
          </w:tcPr>
          <w:p>
            <w:pPr>
              <w:spacing w:after="0"/>
              <w:rPr>
                <w:sz w:val="14"/>
                <w:szCs w:val="14"/>
                <w:color w:val="auto"/>
              </w:rPr>
            </w:pPr>
          </w:p>
        </w:tc>
        <w:tc>
          <w:tcPr>
            <w:tcW w:w="700" w:type="dxa"/>
            <w:vAlign w:val="bottom"/>
            <w:shd w:val="clear" w:color="auto" w:fill="001641"/>
          </w:tcPr>
          <w:p>
            <w:pPr>
              <w:spacing w:after="0"/>
              <w:rPr>
                <w:sz w:val="14"/>
                <w:szCs w:val="14"/>
                <w:color w:val="auto"/>
              </w:rPr>
            </w:pPr>
          </w:p>
        </w:tc>
        <w:tc>
          <w:tcPr>
            <w:tcW w:w="840" w:type="dxa"/>
            <w:vAlign w:val="bottom"/>
            <w:shd w:val="clear" w:color="auto" w:fill="001641"/>
          </w:tcPr>
          <w:p>
            <w:pPr>
              <w:spacing w:after="0"/>
              <w:rPr>
                <w:sz w:val="14"/>
                <w:szCs w:val="14"/>
                <w:color w:val="auto"/>
              </w:rPr>
            </w:pPr>
          </w:p>
        </w:tc>
        <w:tc>
          <w:tcPr>
            <w:tcW w:w="640" w:type="dxa"/>
            <w:vAlign w:val="bottom"/>
            <w:shd w:val="clear" w:color="auto" w:fill="001641"/>
          </w:tcPr>
          <w:p>
            <w:pPr>
              <w:spacing w:after="0"/>
              <w:rPr>
                <w:sz w:val="14"/>
                <w:szCs w:val="14"/>
                <w:color w:val="auto"/>
              </w:rPr>
            </w:pPr>
          </w:p>
        </w:tc>
        <w:tc>
          <w:tcPr>
            <w:tcW w:w="640" w:type="dxa"/>
            <w:vAlign w:val="bottom"/>
            <w:shd w:val="clear" w:color="auto" w:fill="001641"/>
          </w:tcPr>
          <w:p>
            <w:pPr>
              <w:spacing w:after="0"/>
              <w:rPr>
                <w:sz w:val="14"/>
                <w:szCs w:val="14"/>
                <w:color w:val="auto"/>
              </w:rPr>
            </w:pPr>
          </w:p>
        </w:tc>
        <w:tc>
          <w:tcPr>
            <w:tcW w:w="900" w:type="dxa"/>
            <w:vAlign w:val="bottom"/>
            <w:shd w:val="clear" w:color="auto" w:fill="001641"/>
          </w:tcPr>
          <w:p>
            <w:pPr>
              <w:spacing w:after="0"/>
              <w:rPr>
                <w:sz w:val="14"/>
                <w:szCs w:val="14"/>
                <w:color w:val="auto"/>
              </w:rPr>
            </w:pPr>
          </w:p>
        </w:tc>
        <w:tc>
          <w:tcPr>
            <w:tcW w:w="1500" w:type="dxa"/>
            <w:vAlign w:val="bottom"/>
            <w:gridSpan w:val="2"/>
            <w:shd w:val="clear" w:color="auto" w:fill="001641"/>
          </w:tcPr>
          <w:p>
            <w:pPr>
              <w:jc w:val="right"/>
              <w:ind w:right="128"/>
              <w:spacing w:after="0"/>
              <w:rPr>
                <w:sz w:val="20"/>
                <w:szCs w:val="20"/>
                <w:color w:val="auto"/>
              </w:rPr>
            </w:pPr>
            <w:r>
              <w:rPr>
                <w:rFonts w:ascii="Arial" w:cs="Arial" w:eastAsia="Arial" w:hAnsi="Arial"/>
                <w:sz w:val="14"/>
                <w:szCs w:val="14"/>
                <w:b w:val="1"/>
                <w:bCs w:val="1"/>
                <w:color w:val="FFFFFF"/>
              </w:rPr>
              <w:t>Continuation of</w:t>
            </w:r>
          </w:p>
        </w:tc>
        <w:tc>
          <w:tcPr>
            <w:tcW w:w="440" w:type="dxa"/>
            <w:vAlign w:val="bottom"/>
            <w:shd w:val="clear" w:color="auto" w:fill="001641"/>
          </w:tcPr>
          <w:p>
            <w:pPr>
              <w:spacing w:after="0"/>
              <w:rPr>
                <w:sz w:val="14"/>
                <w:szCs w:val="14"/>
                <w:color w:val="auto"/>
              </w:rPr>
            </w:pPr>
          </w:p>
        </w:tc>
        <w:tc>
          <w:tcPr>
            <w:tcW w:w="640" w:type="dxa"/>
            <w:vAlign w:val="bottom"/>
            <w:shd w:val="clear" w:color="auto" w:fill="001641"/>
          </w:tcPr>
          <w:p>
            <w:pPr>
              <w:spacing w:after="0"/>
              <w:rPr>
                <w:sz w:val="14"/>
                <w:szCs w:val="14"/>
                <w:color w:val="auto"/>
              </w:rPr>
            </w:pPr>
          </w:p>
        </w:tc>
      </w:tr>
      <w:tr>
        <w:trPr>
          <w:trHeight w:val="171"/>
        </w:trPr>
        <w:tc>
          <w:tcPr>
            <w:tcW w:w="2060" w:type="dxa"/>
            <w:vAlign w:val="bottom"/>
            <w:shd w:val="clear" w:color="auto" w:fill="001641"/>
          </w:tcPr>
          <w:p>
            <w:pPr>
              <w:spacing w:after="0"/>
              <w:rPr>
                <w:sz w:val="14"/>
                <w:szCs w:val="14"/>
                <w:color w:val="auto"/>
              </w:rPr>
            </w:pPr>
          </w:p>
        </w:tc>
        <w:tc>
          <w:tcPr>
            <w:tcW w:w="1520" w:type="dxa"/>
            <w:vAlign w:val="bottom"/>
            <w:gridSpan w:val="2"/>
            <w:shd w:val="clear" w:color="auto" w:fill="001641"/>
          </w:tcPr>
          <w:p>
            <w:pPr>
              <w:ind w:left="200"/>
              <w:spacing w:after="0"/>
              <w:rPr>
                <w:sz w:val="20"/>
                <w:szCs w:val="20"/>
                <w:color w:val="auto"/>
              </w:rPr>
            </w:pPr>
            <w:r>
              <w:rPr>
                <w:rFonts w:ascii="Arial" w:cs="Arial" w:eastAsia="Arial" w:hAnsi="Arial"/>
                <w:sz w:val="14"/>
                <w:szCs w:val="14"/>
                <w:b w:val="1"/>
                <w:bCs w:val="1"/>
                <w:color w:val="FFFFFF"/>
              </w:rPr>
              <w:t>Cash Severance</w:t>
            </w:r>
          </w:p>
        </w:tc>
        <w:tc>
          <w:tcPr>
            <w:tcW w:w="1480" w:type="dxa"/>
            <w:vAlign w:val="bottom"/>
            <w:gridSpan w:val="2"/>
            <w:shd w:val="clear" w:color="auto" w:fill="001641"/>
          </w:tcPr>
          <w:p>
            <w:pPr>
              <w:ind w:left="160"/>
              <w:spacing w:after="0"/>
              <w:rPr>
                <w:sz w:val="20"/>
                <w:szCs w:val="20"/>
                <w:color w:val="auto"/>
              </w:rPr>
            </w:pPr>
            <w:r>
              <w:rPr>
                <w:rFonts w:ascii="Arial" w:cs="Arial" w:eastAsia="Arial" w:hAnsi="Arial"/>
                <w:sz w:val="14"/>
                <w:szCs w:val="14"/>
                <w:b w:val="1"/>
                <w:bCs w:val="1"/>
                <w:color w:val="FFFFFF"/>
              </w:rPr>
              <w:t>Cash Severance</w:t>
            </w:r>
          </w:p>
        </w:tc>
        <w:tc>
          <w:tcPr>
            <w:tcW w:w="1540" w:type="dxa"/>
            <w:vAlign w:val="bottom"/>
            <w:gridSpan w:val="2"/>
            <w:shd w:val="clear" w:color="auto" w:fill="001641"/>
          </w:tcPr>
          <w:p>
            <w:pPr>
              <w:ind w:left="160"/>
              <w:spacing w:after="0"/>
              <w:rPr>
                <w:sz w:val="20"/>
                <w:szCs w:val="20"/>
                <w:color w:val="auto"/>
              </w:rPr>
            </w:pPr>
            <w:r>
              <w:rPr>
                <w:rFonts w:ascii="Arial" w:cs="Arial" w:eastAsia="Arial" w:hAnsi="Arial"/>
                <w:sz w:val="14"/>
                <w:szCs w:val="14"/>
                <w:b w:val="1"/>
                <w:bCs w:val="1"/>
                <w:color w:val="FFFFFF"/>
              </w:rPr>
              <w:t>Vesting of Equity</w:t>
            </w:r>
          </w:p>
        </w:tc>
        <w:tc>
          <w:tcPr>
            <w:tcW w:w="1500" w:type="dxa"/>
            <w:vAlign w:val="bottom"/>
            <w:gridSpan w:val="2"/>
            <w:shd w:val="clear" w:color="auto" w:fill="001641"/>
          </w:tcPr>
          <w:p>
            <w:pPr>
              <w:jc w:val="right"/>
              <w:ind w:right="128"/>
              <w:spacing w:after="0"/>
              <w:rPr>
                <w:sz w:val="20"/>
                <w:szCs w:val="20"/>
                <w:color w:val="auto"/>
              </w:rPr>
            </w:pPr>
            <w:r>
              <w:rPr>
                <w:rFonts w:ascii="Arial" w:cs="Arial" w:eastAsia="Arial" w:hAnsi="Arial"/>
                <w:sz w:val="14"/>
                <w:szCs w:val="14"/>
                <w:b w:val="1"/>
                <w:bCs w:val="1"/>
                <w:color w:val="FFFFFF"/>
              </w:rPr>
              <w:t>Other Benefits &amp;</w:t>
            </w:r>
          </w:p>
        </w:tc>
        <w:tc>
          <w:tcPr>
            <w:tcW w:w="440" w:type="dxa"/>
            <w:vAlign w:val="bottom"/>
            <w:shd w:val="clear" w:color="auto" w:fill="001641"/>
          </w:tcPr>
          <w:p>
            <w:pPr>
              <w:spacing w:after="0"/>
              <w:rPr>
                <w:sz w:val="14"/>
                <w:szCs w:val="14"/>
                <w:color w:val="auto"/>
              </w:rPr>
            </w:pPr>
          </w:p>
        </w:tc>
        <w:tc>
          <w:tcPr>
            <w:tcW w:w="640" w:type="dxa"/>
            <w:vAlign w:val="bottom"/>
            <w:shd w:val="clear" w:color="auto" w:fill="001641"/>
          </w:tcPr>
          <w:p>
            <w:pPr>
              <w:spacing w:after="0"/>
              <w:rPr>
                <w:sz w:val="14"/>
                <w:szCs w:val="14"/>
                <w:color w:val="auto"/>
              </w:rPr>
            </w:pPr>
          </w:p>
        </w:tc>
      </w:tr>
      <w:tr>
        <w:trPr>
          <w:trHeight w:val="216"/>
        </w:trPr>
        <w:tc>
          <w:tcPr>
            <w:tcW w:w="2060" w:type="dxa"/>
            <w:vAlign w:val="bottom"/>
            <w:shd w:val="clear" w:color="auto" w:fill="001641"/>
          </w:tcPr>
          <w:p>
            <w:pPr>
              <w:spacing w:after="0"/>
              <w:rPr>
                <w:sz w:val="18"/>
                <w:szCs w:val="18"/>
                <w:color w:val="auto"/>
              </w:rPr>
            </w:pPr>
          </w:p>
        </w:tc>
        <w:tc>
          <w:tcPr>
            <w:tcW w:w="1520" w:type="dxa"/>
            <w:vAlign w:val="bottom"/>
            <w:gridSpan w:val="2"/>
            <w:shd w:val="clear" w:color="auto" w:fill="001641"/>
          </w:tcPr>
          <w:p>
            <w:pPr>
              <w:ind w:left="340"/>
              <w:spacing w:after="0" w:line="216" w:lineRule="exact"/>
              <w:rPr>
                <w:sz w:val="20"/>
                <w:szCs w:val="20"/>
                <w:color w:val="auto"/>
              </w:rPr>
            </w:pPr>
            <w:r>
              <w:rPr>
                <w:rFonts w:ascii="Arial" w:cs="Arial" w:eastAsia="Arial" w:hAnsi="Arial"/>
                <w:sz w:val="14"/>
                <w:szCs w:val="14"/>
                <w:b w:val="1"/>
                <w:bCs w:val="1"/>
                <w:color w:val="FFFFFF"/>
              </w:rPr>
              <w:t>– Base Salary</w:t>
            </w:r>
            <w:r>
              <w:rPr>
                <w:rFonts w:ascii="Arial" w:cs="Arial" w:eastAsia="Arial" w:hAnsi="Arial"/>
                <w:sz w:val="23"/>
                <w:szCs w:val="23"/>
                <w:b w:val="1"/>
                <w:bCs w:val="1"/>
                <w:color w:val="FFFFFF"/>
                <w:vertAlign w:val="superscript"/>
              </w:rPr>
              <w:t>1</w:t>
            </w:r>
          </w:p>
        </w:tc>
        <w:tc>
          <w:tcPr>
            <w:tcW w:w="1480" w:type="dxa"/>
            <w:vAlign w:val="bottom"/>
            <w:gridSpan w:val="2"/>
            <w:shd w:val="clear" w:color="auto" w:fill="001641"/>
          </w:tcPr>
          <w:p>
            <w:pPr>
              <w:ind w:left="740"/>
              <w:spacing w:after="0"/>
              <w:rPr>
                <w:sz w:val="20"/>
                <w:szCs w:val="20"/>
                <w:color w:val="auto"/>
              </w:rPr>
            </w:pPr>
            <w:r>
              <w:rPr>
                <w:rFonts w:ascii="Arial" w:cs="Arial" w:eastAsia="Arial" w:hAnsi="Arial"/>
                <w:sz w:val="14"/>
                <w:szCs w:val="14"/>
                <w:b w:val="1"/>
                <w:bCs w:val="1"/>
                <w:color w:val="FFFFFF"/>
              </w:rPr>
              <w:t>– Bonus</w:t>
            </w:r>
          </w:p>
        </w:tc>
        <w:tc>
          <w:tcPr>
            <w:tcW w:w="640" w:type="dxa"/>
            <w:vAlign w:val="bottom"/>
            <w:shd w:val="clear" w:color="auto" w:fill="001641"/>
          </w:tcPr>
          <w:p>
            <w:pPr>
              <w:spacing w:after="0"/>
              <w:rPr>
                <w:sz w:val="18"/>
                <w:szCs w:val="18"/>
                <w:color w:val="auto"/>
              </w:rPr>
            </w:pPr>
          </w:p>
        </w:tc>
        <w:tc>
          <w:tcPr>
            <w:tcW w:w="900" w:type="dxa"/>
            <w:vAlign w:val="bottom"/>
            <w:shd w:val="clear" w:color="auto" w:fill="001641"/>
          </w:tcPr>
          <w:p>
            <w:pPr>
              <w:jc w:val="right"/>
              <w:ind w:right="88"/>
              <w:spacing w:after="0" w:line="216"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23"/>
                <w:szCs w:val="23"/>
                <w:b w:val="1"/>
                <w:bCs w:val="1"/>
                <w:color w:val="FFFFFF"/>
                <w:vertAlign w:val="superscript"/>
              </w:rPr>
              <w:t>2</w:t>
            </w:r>
          </w:p>
        </w:tc>
        <w:tc>
          <w:tcPr>
            <w:tcW w:w="1500" w:type="dxa"/>
            <w:vAlign w:val="bottom"/>
            <w:gridSpan w:val="2"/>
            <w:shd w:val="clear" w:color="auto" w:fill="001641"/>
          </w:tcPr>
          <w:p>
            <w:pPr>
              <w:jc w:val="right"/>
              <w:ind w:right="88"/>
              <w:spacing w:after="0" w:line="216" w:lineRule="exact"/>
              <w:rPr>
                <w:sz w:val="20"/>
                <w:szCs w:val="20"/>
                <w:color w:val="auto"/>
              </w:rPr>
            </w:pPr>
            <w:r>
              <w:rPr>
                <w:rFonts w:ascii="Arial" w:cs="Arial" w:eastAsia="Arial" w:hAnsi="Arial"/>
                <w:sz w:val="14"/>
                <w:szCs w:val="14"/>
                <w:b w:val="1"/>
                <w:bCs w:val="1"/>
                <w:color w:val="FFFFFF"/>
              </w:rPr>
              <w:t>Perquisites</w:t>
            </w:r>
            <w:r>
              <w:rPr>
                <w:rFonts w:ascii="Arial" w:cs="Arial" w:eastAsia="Arial" w:hAnsi="Arial"/>
                <w:sz w:val="23"/>
                <w:szCs w:val="23"/>
                <w:b w:val="1"/>
                <w:bCs w:val="1"/>
                <w:color w:val="FFFFFF"/>
                <w:vertAlign w:val="superscript"/>
              </w:rPr>
              <w:t>3</w:t>
            </w:r>
          </w:p>
        </w:tc>
        <w:tc>
          <w:tcPr>
            <w:tcW w:w="440" w:type="dxa"/>
            <w:vAlign w:val="bottom"/>
            <w:shd w:val="clear" w:color="auto" w:fill="001641"/>
          </w:tcPr>
          <w:p>
            <w:pPr>
              <w:spacing w:after="0"/>
              <w:rPr>
                <w:sz w:val="18"/>
                <w:szCs w:val="18"/>
                <w:color w:val="auto"/>
              </w:rPr>
            </w:pPr>
          </w:p>
        </w:tc>
        <w:tc>
          <w:tcPr>
            <w:tcW w:w="640" w:type="dxa"/>
            <w:vAlign w:val="bottom"/>
            <w:shd w:val="clear" w:color="auto" w:fill="001641"/>
          </w:tcPr>
          <w:p>
            <w:pPr>
              <w:jc w:val="right"/>
              <w:ind w:right="28"/>
              <w:spacing w:after="0"/>
              <w:rPr>
                <w:sz w:val="20"/>
                <w:szCs w:val="20"/>
                <w:color w:val="auto"/>
              </w:rPr>
            </w:pPr>
            <w:r>
              <w:rPr>
                <w:rFonts w:ascii="Arial" w:cs="Arial" w:eastAsia="Arial" w:hAnsi="Arial"/>
                <w:sz w:val="14"/>
                <w:szCs w:val="14"/>
                <w:b w:val="1"/>
                <w:bCs w:val="1"/>
                <w:color w:val="FFFFFF"/>
              </w:rPr>
              <w:t>Total</w:t>
            </w:r>
          </w:p>
        </w:tc>
      </w:tr>
      <w:tr>
        <w:trPr>
          <w:trHeight w:val="166"/>
        </w:trPr>
        <w:tc>
          <w:tcPr>
            <w:tcW w:w="2060" w:type="dxa"/>
            <w:vAlign w:val="bottom"/>
          </w:tcPr>
          <w:p>
            <w:pPr>
              <w:ind w:left="120"/>
              <w:spacing w:after="0"/>
              <w:rPr>
                <w:sz w:val="20"/>
                <w:szCs w:val="20"/>
                <w:color w:val="auto"/>
              </w:rPr>
            </w:pPr>
            <w:r>
              <w:rPr>
                <w:rFonts w:ascii="Arial" w:cs="Arial" w:eastAsia="Arial" w:hAnsi="Arial"/>
                <w:sz w:val="14"/>
                <w:szCs w:val="14"/>
                <w:color w:val="001641"/>
              </w:rPr>
              <w:t>By the Company for</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060" w:type="dxa"/>
            <w:vAlign w:val="bottom"/>
          </w:tcPr>
          <w:p>
            <w:pPr>
              <w:ind w:left="120"/>
              <w:spacing w:after="0"/>
              <w:rPr>
                <w:sz w:val="20"/>
                <w:szCs w:val="20"/>
                <w:color w:val="auto"/>
              </w:rPr>
            </w:pPr>
            <w:r>
              <w:rPr>
                <w:rFonts w:ascii="Arial" w:cs="Arial" w:eastAsia="Arial" w:hAnsi="Arial"/>
                <w:sz w:val="14"/>
                <w:szCs w:val="14"/>
                <w:color w:val="001641"/>
              </w:rPr>
              <w:t>Cause/by the Executive</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5"/>
        </w:trPr>
        <w:tc>
          <w:tcPr>
            <w:tcW w:w="2060" w:type="dxa"/>
            <w:vAlign w:val="bottom"/>
            <w:tcBorders>
              <w:bottom w:val="single" w:sz="8" w:color="BFA071"/>
            </w:tcBorders>
          </w:tcPr>
          <w:p>
            <w:pPr>
              <w:ind w:left="120"/>
              <w:spacing w:after="0"/>
              <w:rPr>
                <w:sz w:val="20"/>
                <w:szCs w:val="20"/>
                <w:color w:val="auto"/>
              </w:rPr>
            </w:pPr>
            <w:r>
              <w:rPr>
                <w:rFonts w:ascii="Arial" w:cs="Arial" w:eastAsia="Arial" w:hAnsi="Arial"/>
                <w:sz w:val="14"/>
                <w:szCs w:val="14"/>
                <w:color w:val="001641"/>
              </w:rPr>
              <w:t>Without Good Reason</w:t>
            </w:r>
          </w:p>
        </w:tc>
        <w:tc>
          <w:tcPr>
            <w:tcW w:w="820" w:type="dxa"/>
            <w:vAlign w:val="bottom"/>
            <w:tcBorders>
              <w:bottom w:val="single" w:sz="8" w:color="BFA071"/>
            </w:tcBorders>
          </w:tcPr>
          <w:p>
            <w:pPr>
              <w:ind w:left="420"/>
              <w:spacing w:after="0"/>
              <w:rPr>
                <w:sz w:val="20"/>
                <w:szCs w:val="20"/>
                <w:color w:val="auto"/>
              </w:rPr>
            </w:pPr>
            <w:r>
              <w:rPr>
                <w:rFonts w:ascii="Arial" w:cs="Arial" w:eastAsia="Arial" w:hAnsi="Arial"/>
                <w:sz w:val="14"/>
                <w:szCs w:val="14"/>
                <w:color w:val="001641"/>
              </w:rPr>
              <w:t>$</w:t>
            </w:r>
          </w:p>
        </w:tc>
        <w:tc>
          <w:tcPr>
            <w:tcW w:w="700" w:type="dxa"/>
            <w:vAlign w:val="bottom"/>
            <w:tcBorders>
              <w:bottom w:val="single" w:sz="8" w:color="BFA071"/>
            </w:tcBorders>
          </w:tcPr>
          <w:p>
            <w:pPr>
              <w:jc w:val="right"/>
              <w:ind w:right="228"/>
              <w:spacing w:after="0"/>
              <w:rPr>
                <w:sz w:val="20"/>
                <w:szCs w:val="20"/>
                <w:color w:val="auto"/>
              </w:rPr>
            </w:pPr>
            <w:r>
              <w:rPr>
                <w:rFonts w:ascii="Arial" w:cs="Arial" w:eastAsia="Arial" w:hAnsi="Arial"/>
                <w:sz w:val="14"/>
                <w:szCs w:val="14"/>
                <w:color w:val="001641"/>
              </w:rPr>
              <w:t>0</w:t>
            </w:r>
          </w:p>
        </w:tc>
        <w:tc>
          <w:tcPr>
            <w:tcW w:w="840" w:type="dxa"/>
            <w:vAlign w:val="bottom"/>
            <w:tcBorders>
              <w:bottom w:val="single" w:sz="8" w:color="BFA071"/>
            </w:tcBorders>
          </w:tcPr>
          <w:p>
            <w:pPr>
              <w:ind w:left="680"/>
              <w:spacing w:after="0"/>
              <w:rPr>
                <w:sz w:val="20"/>
                <w:szCs w:val="20"/>
                <w:color w:val="auto"/>
              </w:rPr>
            </w:pPr>
            <w:r>
              <w:rPr>
                <w:rFonts w:ascii="Arial" w:cs="Arial" w:eastAsia="Arial" w:hAnsi="Arial"/>
                <w:sz w:val="14"/>
                <w:szCs w:val="14"/>
                <w:color w:val="001641"/>
              </w:rPr>
              <w:t xml:space="preserve">$ </w:t>
            </w:r>
          </w:p>
        </w:tc>
        <w:tc>
          <w:tcPr>
            <w:tcW w:w="640" w:type="dxa"/>
            <w:vAlign w:val="bottom"/>
            <w:tcBorders>
              <w:bottom w:val="single" w:sz="8" w:color="BFA071"/>
            </w:tcBorders>
          </w:tcPr>
          <w:p>
            <w:pPr>
              <w:jc w:val="right"/>
              <w:ind w:right="288"/>
              <w:spacing w:after="0"/>
              <w:rPr>
                <w:sz w:val="20"/>
                <w:szCs w:val="20"/>
                <w:color w:val="auto"/>
              </w:rPr>
            </w:pPr>
            <w:r>
              <w:rPr>
                <w:rFonts w:ascii="Arial" w:cs="Arial" w:eastAsia="Arial" w:hAnsi="Arial"/>
                <w:sz w:val="14"/>
                <w:szCs w:val="14"/>
                <w:color w:val="001641"/>
                <w:w w:val="87"/>
              </w:rPr>
              <w:t>   0</w:t>
            </w:r>
          </w:p>
        </w:tc>
        <w:tc>
          <w:tcPr>
            <w:tcW w:w="640" w:type="dxa"/>
            <w:vAlign w:val="bottom"/>
            <w:tcBorders>
              <w:bottom w:val="single" w:sz="8" w:color="BFA071"/>
            </w:tcBorders>
          </w:tcPr>
          <w:p>
            <w:pPr>
              <w:ind w:left="420"/>
              <w:spacing w:after="0"/>
              <w:rPr>
                <w:sz w:val="20"/>
                <w:szCs w:val="20"/>
                <w:color w:val="auto"/>
              </w:rPr>
            </w:pPr>
            <w:r>
              <w:rPr>
                <w:rFonts w:ascii="Arial" w:cs="Arial" w:eastAsia="Arial" w:hAnsi="Arial"/>
                <w:sz w:val="14"/>
                <w:szCs w:val="14"/>
                <w:color w:val="001641"/>
              </w:rPr>
              <w:t>$</w:t>
            </w:r>
          </w:p>
        </w:tc>
        <w:tc>
          <w:tcPr>
            <w:tcW w:w="900" w:type="dxa"/>
            <w:vAlign w:val="bottom"/>
            <w:tcBorders>
              <w:bottom w:val="single" w:sz="8" w:color="BFA071"/>
            </w:tcBorders>
          </w:tcPr>
          <w:p>
            <w:pPr>
              <w:jc w:val="right"/>
              <w:ind w:right="248"/>
              <w:spacing w:after="0"/>
              <w:rPr>
                <w:sz w:val="20"/>
                <w:szCs w:val="20"/>
                <w:color w:val="auto"/>
              </w:rPr>
            </w:pPr>
            <w:r>
              <w:rPr>
                <w:rFonts w:ascii="Arial" w:cs="Arial" w:eastAsia="Arial" w:hAnsi="Arial"/>
                <w:sz w:val="14"/>
                <w:szCs w:val="14"/>
                <w:color w:val="001641"/>
              </w:rPr>
              <w:t>0</w:t>
            </w:r>
          </w:p>
        </w:tc>
        <w:tc>
          <w:tcPr>
            <w:tcW w:w="920" w:type="dxa"/>
            <w:vAlign w:val="bottom"/>
            <w:tcBorders>
              <w:bottom w:val="single" w:sz="8" w:color="BFA071"/>
            </w:tcBorders>
          </w:tcPr>
          <w:p>
            <w:pPr>
              <w:jc w:val="right"/>
              <w:ind w:right="108"/>
              <w:spacing w:after="0"/>
              <w:rPr>
                <w:sz w:val="20"/>
                <w:szCs w:val="20"/>
                <w:color w:val="auto"/>
              </w:rPr>
            </w:pPr>
            <w:r>
              <w:rPr>
                <w:rFonts w:ascii="Arial" w:cs="Arial" w:eastAsia="Arial" w:hAnsi="Arial"/>
                <w:sz w:val="14"/>
                <w:szCs w:val="14"/>
                <w:color w:val="001641"/>
              </w:rPr>
              <w:t>$</w:t>
            </w:r>
          </w:p>
        </w:tc>
        <w:tc>
          <w:tcPr>
            <w:tcW w:w="580" w:type="dxa"/>
            <w:vAlign w:val="bottom"/>
            <w:tcBorders>
              <w:bottom w:val="single" w:sz="8" w:color="BFA071"/>
            </w:tcBorders>
          </w:tcPr>
          <w:p>
            <w:pPr>
              <w:jc w:val="right"/>
              <w:ind w:right="248"/>
              <w:spacing w:after="0"/>
              <w:rPr>
                <w:sz w:val="20"/>
                <w:szCs w:val="20"/>
                <w:color w:val="auto"/>
              </w:rPr>
            </w:pPr>
            <w:r>
              <w:rPr>
                <w:rFonts w:ascii="Arial" w:cs="Arial" w:eastAsia="Arial" w:hAnsi="Arial"/>
                <w:sz w:val="14"/>
                <w:szCs w:val="14"/>
                <w:color w:val="001641"/>
              </w:rPr>
              <w:t>0</w:t>
            </w:r>
          </w:p>
        </w:tc>
        <w:tc>
          <w:tcPr>
            <w:tcW w:w="440" w:type="dxa"/>
            <w:vAlign w:val="bottom"/>
            <w:tcBorders>
              <w:bottom w:val="single" w:sz="8" w:color="BFA071"/>
            </w:tcBorders>
          </w:tcPr>
          <w:p>
            <w:pPr>
              <w:ind w:left="160"/>
              <w:spacing w:after="0"/>
              <w:rPr>
                <w:sz w:val="20"/>
                <w:szCs w:val="20"/>
                <w:color w:val="auto"/>
              </w:rPr>
            </w:pPr>
            <w:r>
              <w:rPr>
                <w:rFonts w:ascii="Arial" w:cs="Arial" w:eastAsia="Arial" w:hAnsi="Arial"/>
                <w:sz w:val="14"/>
                <w:szCs w:val="14"/>
                <w:color w:val="001641"/>
              </w:rPr>
              <w:t>$</w:t>
            </w:r>
          </w:p>
        </w:tc>
        <w:tc>
          <w:tcPr>
            <w:tcW w:w="640" w:type="dxa"/>
            <w:vAlign w:val="bottom"/>
            <w:tcBorders>
              <w:bottom w:val="single" w:sz="8" w:color="BFA071"/>
            </w:tcBorders>
          </w:tcPr>
          <w:p>
            <w:pPr>
              <w:jc w:val="right"/>
              <w:ind w:right="28"/>
              <w:spacing w:after="0"/>
              <w:rPr>
                <w:sz w:val="20"/>
                <w:szCs w:val="20"/>
                <w:color w:val="auto"/>
              </w:rPr>
            </w:pPr>
            <w:r>
              <w:rPr>
                <w:rFonts w:ascii="Arial" w:cs="Arial" w:eastAsia="Arial" w:hAnsi="Arial"/>
                <w:sz w:val="14"/>
                <w:szCs w:val="14"/>
                <w:color w:val="001641"/>
              </w:rPr>
              <w:t>0</w:t>
            </w:r>
          </w:p>
        </w:tc>
      </w:tr>
      <w:tr>
        <w:trPr>
          <w:trHeight w:val="169"/>
        </w:trPr>
        <w:tc>
          <w:tcPr>
            <w:tcW w:w="2060" w:type="dxa"/>
            <w:vAlign w:val="bottom"/>
          </w:tcPr>
          <w:p>
            <w:pPr>
              <w:ind w:left="120"/>
              <w:spacing w:after="0"/>
              <w:rPr>
                <w:sz w:val="20"/>
                <w:szCs w:val="20"/>
                <w:color w:val="auto"/>
              </w:rPr>
            </w:pPr>
            <w:r>
              <w:rPr>
                <w:rFonts w:ascii="Arial" w:cs="Arial" w:eastAsia="Arial" w:hAnsi="Arial"/>
                <w:sz w:val="14"/>
                <w:szCs w:val="14"/>
                <w:color w:val="001641"/>
              </w:rPr>
              <w:t>By the Company Without</w:t>
            </w:r>
          </w:p>
        </w:tc>
        <w:tc>
          <w:tcPr>
            <w:tcW w:w="1520" w:type="dxa"/>
            <w:vAlign w:val="bottom"/>
            <w:gridSpan w:val="2"/>
          </w:tcPr>
          <w:p>
            <w:pPr>
              <w:ind w:left="420"/>
              <w:spacing w:after="0"/>
              <w:rPr>
                <w:sz w:val="20"/>
                <w:szCs w:val="20"/>
                <w:color w:val="auto"/>
              </w:rPr>
            </w:pPr>
            <w:r>
              <w:rPr>
                <w:rFonts w:ascii="Arial" w:cs="Arial" w:eastAsia="Arial" w:hAnsi="Arial"/>
                <w:sz w:val="14"/>
                <w:szCs w:val="14"/>
                <w:color w:val="001641"/>
              </w:rPr>
              <w:t>$10,800,000</w:t>
            </w:r>
          </w:p>
        </w:tc>
        <w:tc>
          <w:tcPr>
            <w:tcW w:w="840" w:type="dxa"/>
            <w:vAlign w:val="bottom"/>
          </w:tcPr>
          <w:p>
            <w:pPr>
              <w:ind w:left="680"/>
              <w:spacing w:after="0"/>
              <w:rPr>
                <w:sz w:val="20"/>
                <w:szCs w:val="20"/>
                <w:color w:val="auto"/>
              </w:rPr>
            </w:pPr>
            <w:r>
              <w:rPr>
                <w:rFonts w:ascii="Arial" w:cs="Arial" w:eastAsia="Arial" w:hAnsi="Arial"/>
                <w:sz w:val="14"/>
                <w:szCs w:val="14"/>
                <w:color w:val="001641"/>
              </w:rPr>
              <w:t>$</w:t>
            </w:r>
          </w:p>
        </w:tc>
        <w:tc>
          <w:tcPr>
            <w:tcW w:w="640" w:type="dxa"/>
            <w:vAlign w:val="bottom"/>
          </w:tcPr>
          <w:p>
            <w:pPr>
              <w:jc w:val="right"/>
              <w:ind w:right="288"/>
              <w:spacing w:after="0"/>
              <w:rPr>
                <w:sz w:val="20"/>
                <w:szCs w:val="20"/>
                <w:color w:val="auto"/>
              </w:rPr>
            </w:pPr>
            <w:r>
              <w:rPr>
                <w:rFonts w:ascii="Arial" w:cs="Arial" w:eastAsia="Arial" w:hAnsi="Arial"/>
                <w:sz w:val="14"/>
                <w:szCs w:val="14"/>
                <w:color w:val="001641"/>
              </w:rPr>
              <w:t>0</w:t>
            </w:r>
          </w:p>
        </w:tc>
        <w:tc>
          <w:tcPr>
            <w:tcW w:w="1540" w:type="dxa"/>
            <w:vAlign w:val="bottom"/>
            <w:gridSpan w:val="2"/>
          </w:tcPr>
          <w:p>
            <w:pPr>
              <w:ind w:left="420"/>
              <w:spacing w:after="0" w:line="169" w:lineRule="exact"/>
              <w:rPr>
                <w:sz w:val="20"/>
                <w:szCs w:val="20"/>
                <w:color w:val="auto"/>
              </w:rPr>
            </w:pPr>
            <w:r>
              <w:rPr>
                <w:rFonts w:ascii="Arial" w:cs="Arial" w:eastAsia="Arial" w:hAnsi="Arial"/>
                <w:sz w:val="12"/>
                <w:szCs w:val="12"/>
                <w:color w:val="001641"/>
              </w:rPr>
              <w:t>$40,059,385</w:t>
            </w:r>
            <w:r>
              <w:rPr>
                <w:rFonts w:ascii="Arial" w:cs="Arial" w:eastAsia="Arial" w:hAnsi="Arial"/>
                <w:sz w:val="19"/>
                <w:szCs w:val="19"/>
                <w:color w:val="001641"/>
                <w:vertAlign w:val="superscript"/>
              </w:rPr>
              <w:t>4</w:t>
            </w:r>
          </w:p>
        </w:tc>
        <w:tc>
          <w:tcPr>
            <w:tcW w:w="1500" w:type="dxa"/>
            <w:vAlign w:val="bottom"/>
            <w:gridSpan w:val="2"/>
          </w:tcPr>
          <w:p>
            <w:pPr>
              <w:jc w:val="right"/>
              <w:ind w:right="248"/>
              <w:spacing w:after="0"/>
              <w:rPr>
                <w:sz w:val="20"/>
                <w:szCs w:val="20"/>
                <w:color w:val="auto"/>
              </w:rPr>
            </w:pPr>
            <w:r>
              <w:rPr>
                <w:rFonts w:ascii="Arial" w:cs="Arial" w:eastAsia="Arial" w:hAnsi="Arial"/>
                <w:sz w:val="14"/>
                <w:szCs w:val="14"/>
                <w:color w:val="001641"/>
              </w:rPr>
              <w:t>$54,380</w:t>
            </w:r>
          </w:p>
        </w:tc>
        <w:tc>
          <w:tcPr>
            <w:tcW w:w="1080" w:type="dxa"/>
            <w:vAlign w:val="bottom"/>
            <w:gridSpan w:val="2"/>
          </w:tcPr>
          <w:p>
            <w:pPr>
              <w:ind w:left="160"/>
              <w:spacing w:after="0"/>
              <w:rPr>
                <w:sz w:val="20"/>
                <w:szCs w:val="20"/>
                <w:color w:val="auto"/>
              </w:rPr>
            </w:pPr>
            <w:r>
              <w:rPr>
                <w:rFonts w:ascii="Arial" w:cs="Arial" w:eastAsia="Arial" w:hAnsi="Arial"/>
                <w:sz w:val="14"/>
                <w:szCs w:val="14"/>
                <w:color w:val="001641"/>
              </w:rPr>
              <w:t>$50,913,765</w:t>
            </w:r>
          </w:p>
        </w:tc>
      </w:tr>
      <w:tr>
        <w:trPr>
          <w:trHeight w:val="153"/>
        </w:trPr>
        <w:tc>
          <w:tcPr>
            <w:tcW w:w="2060" w:type="dxa"/>
            <w:vAlign w:val="bottom"/>
          </w:tcPr>
          <w:p>
            <w:pPr>
              <w:ind w:left="120"/>
              <w:spacing w:after="0" w:line="153" w:lineRule="exact"/>
              <w:rPr>
                <w:sz w:val="20"/>
                <w:szCs w:val="20"/>
                <w:color w:val="auto"/>
              </w:rPr>
            </w:pPr>
            <w:r>
              <w:rPr>
                <w:rFonts w:ascii="Arial" w:cs="Arial" w:eastAsia="Arial" w:hAnsi="Arial"/>
                <w:sz w:val="14"/>
                <w:szCs w:val="14"/>
                <w:color w:val="001641"/>
              </w:rPr>
              <w:t>Cause/by the Executive for</w:t>
            </w: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85"/>
        </w:trPr>
        <w:tc>
          <w:tcPr>
            <w:tcW w:w="2060" w:type="dxa"/>
            <w:vAlign w:val="bottom"/>
            <w:tcBorders>
              <w:bottom w:val="single" w:sz="8" w:color="BFA071"/>
            </w:tcBorders>
          </w:tcPr>
          <w:p>
            <w:pPr>
              <w:ind w:left="120"/>
              <w:spacing w:after="0"/>
              <w:rPr>
                <w:sz w:val="20"/>
                <w:szCs w:val="20"/>
                <w:color w:val="auto"/>
              </w:rPr>
            </w:pPr>
            <w:r>
              <w:rPr>
                <w:rFonts w:ascii="Arial" w:cs="Arial" w:eastAsia="Arial" w:hAnsi="Arial"/>
                <w:sz w:val="14"/>
                <w:szCs w:val="14"/>
                <w:color w:val="001641"/>
              </w:rPr>
              <w:t>Good Reason</w:t>
            </w:r>
          </w:p>
        </w:tc>
        <w:tc>
          <w:tcPr>
            <w:tcW w:w="820" w:type="dxa"/>
            <w:vAlign w:val="bottom"/>
            <w:tcBorders>
              <w:bottom w:val="single" w:sz="8" w:color="BFA071"/>
            </w:tcBorders>
          </w:tcPr>
          <w:p>
            <w:pPr>
              <w:spacing w:after="0"/>
              <w:rPr>
                <w:sz w:val="16"/>
                <w:szCs w:val="16"/>
                <w:color w:val="auto"/>
              </w:rPr>
            </w:pPr>
          </w:p>
        </w:tc>
        <w:tc>
          <w:tcPr>
            <w:tcW w:w="700" w:type="dxa"/>
            <w:vAlign w:val="bottom"/>
            <w:tcBorders>
              <w:bottom w:val="single" w:sz="8" w:color="BFA071"/>
            </w:tcBorders>
          </w:tcPr>
          <w:p>
            <w:pPr>
              <w:spacing w:after="0"/>
              <w:rPr>
                <w:sz w:val="16"/>
                <w:szCs w:val="16"/>
                <w:color w:val="auto"/>
              </w:rPr>
            </w:pPr>
          </w:p>
        </w:tc>
        <w:tc>
          <w:tcPr>
            <w:tcW w:w="840" w:type="dxa"/>
            <w:vAlign w:val="bottom"/>
            <w:tcBorders>
              <w:bottom w:val="single" w:sz="8" w:color="BFA071"/>
            </w:tcBorders>
          </w:tcPr>
          <w:p>
            <w:pPr>
              <w:spacing w:after="0"/>
              <w:rPr>
                <w:sz w:val="16"/>
                <w:szCs w:val="16"/>
                <w:color w:val="auto"/>
              </w:rPr>
            </w:pPr>
          </w:p>
        </w:tc>
        <w:tc>
          <w:tcPr>
            <w:tcW w:w="640" w:type="dxa"/>
            <w:vAlign w:val="bottom"/>
            <w:tcBorders>
              <w:bottom w:val="single" w:sz="8" w:color="BFA071"/>
            </w:tcBorders>
          </w:tcPr>
          <w:p>
            <w:pPr>
              <w:spacing w:after="0"/>
              <w:rPr>
                <w:sz w:val="16"/>
                <w:szCs w:val="16"/>
                <w:color w:val="auto"/>
              </w:rPr>
            </w:pPr>
          </w:p>
        </w:tc>
        <w:tc>
          <w:tcPr>
            <w:tcW w:w="640" w:type="dxa"/>
            <w:vAlign w:val="bottom"/>
            <w:tcBorders>
              <w:bottom w:val="single" w:sz="8" w:color="BFA071"/>
            </w:tcBorders>
          </w:tcPr>
          <w:p>
            <w:pPr>
              <w:spacing w:after="0"/>
              <w:rPr>
                <w:sz w:val="16"/>
                <w:szCs w:val="16"/>
                <w:color w:val="auto"/>
              </w:rPr>
            </w:pPr>
          </w:p>
        </w:tc>
        <w:tc>
          <w:tcPr>
            <w:tcW w:w="900" w:type="dxa"/>
            <w:vAlign w:val="bottom"/>
            <w:tcBorders>
              <w:bottom w:val="single" w:sz="8" w:color="BFA071"/>
            </w:tcBorders>
          </w:tcPr>
          <w:p>
            <w:pPr>
              <w:spacing w:after="0"/>
              <w:rPr>
                <w:sz w:val="16"/>
                <w:szCs w:val="16"/>
                <w:color w:val="auto"/>
              </w:rPr>
            </w:pPr>
          </w:p>
        </w:tc>
        <w:tc>
          <w:tcPr>
            <w:tcW w:w="920" w:type="dxa"/>
            <w:vAlign w:val="bottom"/>
            <w:tcBorders>
              <w:bottom w:val="single" w:sz="8" w:color="BFA071"/>
            </w:tcBorders>
          </w:tcPr>
          <w:p>
            <w:pPr>
              <w:spacing w:after="0"/>
              <w:rPr>
                <w:sz w:val="16"/>
                <w:szCs w:val="16"/>
                <w:color w:val="auto"/>
              </w:rPr>
            </w:pPr>
          </w:p>
        </w:tc>
        <w:tc>
          <w:tcPr>
            <w:tcW w:w="580" w:type="dxa"/>
            <w:vAlign w:val="bottom"/>
            <w:tcBorders>
              <w:bottom w:val="single" w:sz="8" w:color="BFA071"/>
            </w:tcBorders>
          </w:tcPr>
          <w:p>
            <w:pPr>
              <w:spacing w:after="0"/>
              <w:rPr>
                <w:sz w:val="16"/>
                <w:szCs w:val="16"/>
                <w:color w:val="auto"/>
              </w:rPr>
            </w:pPr>
          </w:p>
        </w:tc>
        <w:tc>
          <w:tcPr>
            <w:tcW w:w="440" w:type="dxa"/>
            <w:vAlign w:val="bottom"/>
            <w:tcBorders>
              <w:bottom w:val="single" w:sz="8" w:color="BFA071"/>
            </w:tcBorders>
          </w:tcPr>
          <w:p>
            <w:pPr>
              <w:spacing w:after="0"/>
              <w:rPr>
                <w:sz w:val="16"/>
                <w:szCs w:val="16"/>
                <w:color w:val="auto"/>
              </w:rPr>
            </w:pPr>
          </w:p>
        </w:tc>
        <w:tc>
          <w:tcPr>
            <w:tcW w:w="640" w:type="dxa"/>
            <w:vAlign w:val="bottom"/>
            <w:tcBorders>
              <w:bottom w:val="single" w:sz="8" w:color="BFA071"/>
            </w:tcBorders>
          </w:tcPr>
          <w:p>
            <w:pPr>
              <w:spacing w:after="0"/>
              <w:rPr>
                <w:sz w:val="16"/>
                <w:szCs w:val="16"/>
                <w:color w:val="auto"/>
              </w:rPr>
            </w:pPr>
          </w:p>
        </w:tc>
      </w:tr>
      <w:tr>
        <w:trPr>
          <w:trHeight w:val="210"/>
        </w:trPr>
        <w:tc>
          <w:tcPr>
            <w:tcW w:w="2060" w:type="dxa"/>
            <w:vAlign w:val="bottom"/>
            <w:tcBorders>
              <w:bottom w:val="single" w:sz="8" w:color="BFA071"/>
            </w:tcBorders>
          </w:tcPr>
          <w:p>
            <w:pPr>
              <w:ind w:left="120"/>
              <w:spacing w:after="0"/>
              <w:rPr>
                <w:sz w:val="20"/>
                <w:szCs w:val="20"/>
                <w:color w:val="auto"/>
              </w:rPr>
            </w:pPr>
            <w:r>
              <w:rPr>
                <w:rFonts w:ascii="Arial" w:cs="Arial" w:eastAsia="Arial" w:hAnsi="Arial"/>
                <w:sz w:val="14"/>
                <w:szCs w:val="14"/>
                <w:color w:val="001641"/>
              </w:rPr>
              <w:t>Death or Disability</w:t>
            </w:r>
          </w:p>
        </w:tc>
        <w:tc>
          <w:tcPr>
            <w:tcW w:w="820" w:type="dxa"/>
            <w:vAlign w:val="bottom"/>
            <w:tcBorders>
              <w:bottom w:val="single" w:sz="8" w:color="BFA071"/>
            </w:tcBorders>
          </w:tcPr>
          <w:p>
            <w:pPr>
              <w:ind w:left="420"/>
              <w:spacing w:after="0"/>
              <w:rPr>
                <w:sz w:val="20"/>
                <w:szCs w:val="20"/>
                <w:color w:val="auto"/>
              </w:rPr>
            </w:pPr>
            <w:r>
              <w:rPr>
                <w:rFonts w:ascii="Arial" w:cs="Arial" w:eastAsia="Arial" w:hAnsi="Arial"/>
                <w:sz w:val="14"/>
                <w:szCs w:val="14"/>
                <w:color w:val="001641"/>
              </w:rPr>
              <w:t>$</w:t>
            </w:r>
          </w:p>
        </w:tc>
        <w:tc>
          <w:tcPr>
            <w:tcW w:w="700" w:type="dxa"/>
            <w:vAlign w:val="bottom"/>
            <w:tcBorders>
              <w:bottom w:val="single" w:sz="8" w:color="BFA071"/>
            </w:tcBorders>
          </w:tcPr>
          <w:p>
            <w:pPr>
              <w:jc w:val="right"/>
              <w:ind w:right="228"/>
              <w:spacing w:after="0"/>
              <w:rPr>
                <w:sz w:val="20"/>
                <w:szCs w:val="20"/>
                <w:color w:val="auto"/>
              </w:rPr>
            </w:pPr>
            <w:r>
              <w:rPr>
                <w:rFonts w:ascii="Arial" w:cs="Arial" w:eastAsia="Arial" w:hAnsi="Arial"/>
                <w:sz w:val="14"/>
                <w:szCs w:val="14"/>
                <w:color w:val="001641"/>
              </w:rPr>
              <w:t>0</w:t>
            </w:r>
          </w:p>
        </w:tc>
        <w:tc>
          <w:tcPr>
            <w:tcW w:w="840" w:type="dxa"/>
            <w:vAlign w:val="bottom"/>
            <w:tcBorders>
              <w:bottom w:val="single" w:sz="8" w:color="BFA071"/>
            </w:tcBorders>
          </w:tcPr>
          <w:p>
            <w:pPr>
              <w:ind w:left="680"/>
              <w:spacing w:after="0"/>
              <w:rPr>
                <w:sz w:val="20"/>
                <w:szCs w:val="20"/>
                <w:color w:val="auto"/>
              </w:rPr>
            </w:pPr>
            <w:r>
              <w:rPr>
                <w:rFonts w:ascii="Arial" w:cs="Arial" w:eastAsia="Arial" w:hAnsi="Arial"/>
                <w:sz w:val="14"/>
                <w:szCs w:val="14"/>
                <w:color w:val="001641"/>
              </w:rPr>
              <w:t>$</w:t>
            </w:r>
          </w:p>
        </w:tc>
        <w:tc>
          <w:tcPr>
            <w:tcW w:w="640" w:type="dxa"/>
            <w:vAlign w:val="bottom"/>
            <w:tcBorders>
              <w:bottom w:val="single" w:sz="8" w:color="BFA071"/>
            </w:tcBorders>
          </w:tcPr>
          <w:p>
            <w:pPr>
              <w:jc w:val="right"/>
              <w:ind w:right="288"/>
              <w:spacing w:after="0"/>
              <w:rPr>
                <w:sz w:val="20"/>
                <w:szCs w:val="20"/>
                <w:color w:val="auto"/>
              </w:rPr>
            </w:pPr>
            <w:r>
              <w:rPr>
                <w:rFonts w:ascii="Arial" w:cs="Arial" w:eastAsia="Arial" w:hAnsi="Arial"/>
                <w:sz w:val="14"/>
                <w:szCs w:val="14"/>
                <w:color w:val="001641"/>
              </w:rPr>
              <w:t>0</w:t>
            </w:r>
          </w:p>
        </w:tc>
        <w:tc>
          <w:tcPr>
            <w:tcW w:w="1540" w:type="dxa"/>
            <w:vAlign w:val="bottom"/>
            <w:tcBorders>
              <w:bottom w:val="single" w:sz="8" w:color="BFA071"/>
            </w:tcBorders>
            <w:gridSpan w:val="2"/>
          </w:tcPr>
          <w:p>
            <w:pPr>
              <w:ind w:left="420"/>
              <w:spacing w:after="0" w:line="210" w:lineRule="exact"/>
              <w:rPr>
                <w:sz w:val="20"/>
                <w:szCs w:val="20"/>
                <w:color w:val="auto"/>
              </w:rPr>
            </w:pPr>
            <w:r>
              <w:rPr>
                <w:rFonts w:ascii="Arial" w:cs="Arial" w:eastAsia="Arial" w:hAnsi="Arial"/>
                <w:sz w:val="14"/>
                <w:szCs w:val="14"/>
                <w:color w:val="001641"/>
              </w:rPr>
              <w:t>$40,059,385</w:t>
            </w:r>
            <w:r>
              <w:rPr>
                <w:rFonts w:ascii="Arial" w:cs="Arial" w:eastAsia="Arial" w:hAnsi="Arial"/>
                <w:sz w:val="23"/>
                <w:szCs w:val="23"/>
                <w:color w:val="001641"/>
                <w:vertAlign w:val="superscript"/>
              </w:rPr>
              <w:t>4</w:t>
            </w:r>
          </w:p>
        </w:tc>
        <w:tc>
          <w:tcPr>
            <w:tcW w:w="920" w:type="dxa"/>
            <w:vAlign w:val="bottom"/>
            <w:tcBorders>
              <w:bottom w:val="single" w:sz="8" w:color="BFA071"/>
            </w:tcBorders>
          </w:tcPr>
          <w:p>
            <w:pPr>
              <w:jc w:val="right"/>
              <w:ind w:right="108"/>
              <w:spacing w:after="0"/>
              <w:rPr>
                <w:sz w:val="20"/>
                <w:szCs w:val="20"/>
                <w:color w:val="auto"/>
              </w:rPr>
            </w:pPr>
            <w:r>
              <w:rPr>
                <w:rFonts w:ascii="Arial" w:cs="Arial" w:eastAsia="Arial" w:hAnsi="Arial"/>
                <w:sz w:val="14"/>
                <w:szCs w:val="14"/>
                <w:color w:val="001641"/>
              </w:rPr>
              <w:t>$</w:t>
            </w:r>
          </w:p>
        </w:tc>
        <w:tc>
          <w:tcPr>
            <w:tcW w:w="580" w:type="dxa"/>
            <w:vAlign w:val="bottom"/>
            <w:tcBorders>
              <w:bottom w:val="single" w:sz="8" w:color="BFA071"/>
            </w:tcBorders>
          </w:tcPr>
          <w:p>
            <w:pPr>
              <w:jc w:val="right"/>
              <w:ind w:right="248"/>
              <w:spacing w:after="0"/>
              <w:rPr>
                <w:sz w:val="20"/>
                <w:szCs w:val="20"/>
                <w:color w:val="auto"/>
              </w:rPr>
            </w:pPr>
            <w:r>
              <w:rPr>
                <w:rFonts w:ascii="Arial" w:cs="Arial" w:eastAsia="Arial" w:hAnsi="Arial"/>
                <w:sz w:val="14"/>
                <w:szCs w:val="14"/>
                <w:color w:val="001641"/>
              </w:rPr>
              <w:t>0</w:t>
            </w:r>
          </w:p>
        </w:tc>
        <w:tc>
          <w:tcPr>
            <w:tcW w:w="1080" w:type="dxa"/>
            <w:vAlign w:val="bottom"/>
            <w:tcBorders>
              <w:bottom w:val="single" w:sz="8" w:color="BFA071"/>
            </w:tcBorders>
            <w:gridSpan w:val="2"/>
          </w:tcPr>
          <w:p>
            <w:pPr>
              <w:ind w:left="160"/>
              <w:spacing w:after="0"/>
              <w:rPr>
                <w:sz w:val="20"/>
                <w:szCs w:val="20"/>
                <w:color w:val="auto"/>
              </w:rPr>
            </w:pPr>
            <w:r>
              <w:rPr>
                <w:rFonts w:ascii="Arial" w:cs="Arial" w:eastAsia="Arial" w:hAnsi="Arial"/>
                <w:sz w:val="14"/>
                <w:szCs w:val="14"/>
                <w:color w:val="001641"/>
              </w:rPr>
              <w:t>$40,059,385</w:t>
            </w:r>
          </w:p>
        </w:tc>
      </w:tr>
      <w:tr>
        <w:trPr>
          <w:trHeight w:val="160"/>
        </w:trPr>
        <w:tc>
          <w:tcPr>
            <w:tcW w:w="2060" w:type="dxa"/>
            <w:vAlign w:val="bottom"/>
          </w:tcPr>
          <w:p>
            <w:pPr>
              <w:ind w:left="120"/>
              <w:spacing w:after="0" w:line="160" w:lineRule="exact"/>
              <w:rPr>
                <w:sz w:val="20"/>
                <w:szCs w:val="20"/>
                <w:color w:val="auto"/>
              </w:rPr>
            </w:pPr>
            <w:r>
              <w:rPr>
                <w:rFonts w:ascii="Arial" w:cs="Arial" w:eastAsia="Arial" w:hAnsi="Arial"/>
                <w:sz w:val="14"/>
                <w:szCs w:val="14"/>
                <w:color w:val="001641"/>
              </w:rPr>
              <w:t>Change in Control with</w:t>
            </w: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94"/>
        </w:trPr>
        <w:tc>
          <w:tcPr>
            <w:tcW w:w="2060" w:type="dxa"/>
            <w:vAlign w:val="bottom"/>
            <w:tcBorders>
              <w:bottom w:val="single" w:sz="8" w:color="001641"/>
            </w:tcBorders>
          </w:tcPr>
          <w:p>
            <w:pPr>
              <w:ind w:left="120"/>
              <w:spacing w:after="0"/>
              <w:rPr>
                <w:sz w:val="20"/>
                <w:szCs w:val="20"/>
                <w:color w:val="auto"/>
              </w:rPr>
            </w:pPr>
            <w:r>
              <w:rPr>
                <w:rFonts w:ascii="Arial" w:cs="Arial" w:eastAsia="Arial" w:hAnsi="Arial"/>
                <w:sz w:val="14"/>
                <w:szCs w:val="14"/>
                <w:color w:val="001641"/>
              </w:rPr>
              <w:t>Termination</w:t>
            </w:r>
          </w:p>
        </w:tc>
        <w:tc>
          <w:tcPr>
            <w:tcW w:w="1520" w:type="dxa"/>
            <w:vAlign w:val="bottom"/>
            <w:tcBorders>
              <w:bottom w:val="single" w:sz="8" w:color="001641"/>
            </w:tcBorders>
            <w:gridSpan w:val="2"/>
          </w:tcPr>
          <w:p>
            <w:pPr>
              <w:ind w:left="420"/>
              <w:spacing w:after="0"/>
              <w:rPr>
                <w:sz w:val="20"/>
                <w:szCs w:val="20"/>
                <w:color w:val="auto"/>
              </w:rPr>
            </w:pPr>
            <w:r>
              <w:rPr>
                <w:rFonts w:ascii="Arial" w:cs="Arial" w:eastAsia="Arial" w:hAnsi="Arial"/>
                <w:sz w:val="14"/>
                <w:szCs w:val="14"/>
                <w:color w:val="001641"/>
              </w:rPr>
              <w:t>$10,800,000</w:t>
            </w:r>
          </w:p>
        </w:tc>
        <w:tc>
          <w:tcPr>
            <w:tcW w:w="840" w:type="dxa"/>
            <w:vAlign w:val="bottom"/>
            <w:tcBorders>
              <w:bottom w:val="single" w:sz="8" w:color="001641"/>
            </w:tcBorders>
          </w:tcPr>
          <w:p>
            <w:pPr>
              <w:ind w:left="680"/>
              <w:spacing w:after="0"/>
              <w:rPr>
                <w:sz w:val="20"/>
                <w:szCs w:val="20"/>
                <w:color w:val="auto"/>
              </w:rPr>
            </w:pPr>
            <w:r>
              <w:rPr>
                <w:rFonts w:ascii="Arial" w:cs="Arial" w:eastAsia="Arial" w:hAnsi="Arial"/>
                <w:sz w:val="14"/>
                <w:szCs w:val="14"/>
                <w:color w:val="001641"/>
              </w:rPr>
              <w:t>$</w:t>
            </w:r>
          </w:p>
        </w:tc>
        <w:tc>
          <w:tcPr>
            <w:tcW w:w="640" w:type="dxa"/>
            <w:vAlign w:val="bottom"/>
            <w:tcBorders>
              <w:bottom w:val="single" w:sz="8" w:color="001641"/>
            </w:tcBorders>
          </w:tcPr>
          <w:p>
            <w:pPr>
              <w:jc w:val="right"/>
              <w:ind w:right="288"/>
              <w:spacing w:after="0"/>
              <w:rPr>
                <w:sz w:val="20"/>
                <w:szCs w:val="20"/>
                <w:color w:val="auto"/>
              </w:rPr>
            </w:pPr>
            <w:r>
              <w:rPr>
                <w:rFonts w:ascii="Arial" w:cs="Arial" w:eastAsia="Arial" w:hAnsi="Arial"/>
                <w:sz w:val="14"/>
                <w:szCs w:val="14"/>
                <w:color w:val="001641"/>
              </w:rPr>
              <w:t>0</w:t>
            </w:r>
          </w:p>
        </w:tc>
        <w:tc>
          <w:tcPr>
            <w:tcW w:w="1540" w:type="dxa"/>
            <w:vAlign w:val="bottom"/>
            <w:tcBorders>
              <w:bottom w:val="single" w:sz="8" w:color="001641"/>
            </w:tcBorders>
            <w:gridSpan w:val="2"/>
          </w:tcPr>
          <w:p>
            <w:pPr>
              <w:ind w:left="420"/>
              <w:spacing w:after="0"/>
              <w:rPr>
                <w:sz w:val="20"/>
                <w:szCs w:val="20"/>
                <w:color w:val="auto"/>
              </w:rPr>
            </w:pPr>
            <w:r>
              <w:rPr>
                <w:rFonts w:ascii="Arial" w:cs="Arial" w:eastAsia="Arial" w:hAnsi="Arial"/>
                <w:sz w:val="14"/>
                <w:szCs w:val="14"/>
                <w:color w:val="001641"/>
              </w:rPr>
              <w:t>$55,264,223</w:t>
            </w:r>
          </w:p>
        </w:tc>
        <w:tc>
          <w:tcPr>
            <w:tcW w:w="1500" w:type="dxa"/>
            <w:vAlign w:val="bottom"/>
            <w:tcBorders>
              <w:bottom w:val="single" w:sz="8" w:color="001641"/>
            </w:tcBorders>
            <w:gridSpan w:val="2"/>
          </w:tcPr>
          <w:p>
            <w:pPr>
              <w:jc w:val="right"/>
              <w:ind w:right="248"/>
              <w:spacing w:after="0"/>
              <w:rPr>
                <w:sz w:val="20"/>
                <w:szCs w:val="20"/>
                <w:color w:val="auto"/>
              </w:rPr>
            </w:pPr>
            <w:r>
              <w:rPr>
                <w:rFonts w:ascii="Arial" w:cs="Arial" w:eastAsia="Arial" w:hAnsi="Arial"/>
                <w:sz w:val="14"/>
                <w:szCs w:val="14"/>
                <w:color w:val="001641"/>
              </w:rPr>
              <w:t>$54,380</w:t>
            </w:r>
          </w:p>
        </w:tc>
        <w:tc>
          <w:tcPr>
            <w:tcW w:w="1080" w:type="dxa"/>
            <w:vAlign w:val="bottom"/>
            <w:tcBorders>
              <w:bottom w:val="single" w:sz="8" w:color="001641"/>
            </w:tcBorders>
            <w:gridSpan w:val="2"/>
          </w:tcPr>
          <w:p>
            <w:pPr>
              <w:ind w:left="160"/>
              <w:spacing w:after="0"/>
              <w:rPr>
                <w:sz w:val="20"/>
                <w:szCs w:val="20"/>
                <w:color w:val="auto"/>
              </w:rPr>
            </w:pPr>
            <w:r>
              <w:rPr>
                <w:rFonts w:ascii="Arial" w:cs="Arial" w:eastAsia="Arial" w:hAnsi="Arial"/>
                <w:sz w:val="14"/>
                <w:szCs w:val="14"/>
                <w:color w:val="001641"/>
              </w:rPr>
              <w:t>$66,118,603</w:t>
            </w:r>
          </w:p>
        </w:tc>
      </w:tr>
    </w:tbl>
    <w:p>
      <w:pPr>
        <w:spacing w:after="0" w:line="153" w:lineRule="exact"/>
        <w:rPr>
          <w:sz w:val="20"/>
          <w:szCs w:val="20"/>
          <w:color w:val="auto"/>
        </w:rPr>
      </w:pPr>
    </w:p>
    <w:p>
      <w:pPr>
        <w:ind w:left="246" w:right="100" w:hanging="246"/>
        <w:spacing w:after="0" w:line="263" w:lineRule="auto"/>
        <w:tabs>
          <w:tab w:leader="none" w:pos="246" w:val="left"/>
        </w:tabs>
        <w:numPr>
          <w:ilvl w:val="0"/>
          <w:numId w:val="88"/>
        </w:numPr>
        <w:rPr>
          <w:rFonts w:ascii="Arial" w:cs="Arial" w:eastAsia="Arial" w:hAnsi="Arial"/>
          <w:sz w:val="14"/>
          <w:szCs w:val="14"/>
          <w:color w:val="4C4C4C"/>
        </w:rPr>
      </w:pPr>
      <w:r>
        <w:rPr>
          <w:rFonts w:ascii="Arial" w:cs="Arial" w:eastAsia="Arial" w:hAnsi="Arial"/>
          <w:sz w:val="14"/>
          <w:szCs w:val="14"/>
          <w:color w:val="4C4C4C"/>
        </w:rPr>
        <w:t>In the event of a termination by the Company without cause or by Mr. Louvet for good reason and pursuant to his employment agreement, we would provide a monthly cash payment equal to four times his monthly base salary for two years. In the event of a qualifying termination in connection with a change in control, we would provide a lump sum cash payment equal to four times his base salary for two years.</w:t>
      </w:r>
    </w:p>
    <w:p>
      <w:pPr>
        <w:spacing w:after="0" w:line="10" w:lineRule="exact"/>
        <w:rPr>
          <w:rFonts w:ascii="Arial" w:cs="Arial" w:eastAsia="Arial" w:hAnsi="Arial"/>
          <w:sz w:val="14"/>
          <w:szCs w:val="14"/>
          <w:color w:val="4C4C4C"/>
        </w:rPr>
      </w:pPr>
    </w:p>
    <w:p>
      <w:pPr>
        <w:jc w:val="both"/>
        <w:ind w:left="246" w:right="380" w:hanging="246"/>
        <w:spacing w:after="0" w:line="263" w:lineRule="auto"/>
        <w:tabs>
          <w:tab w:leader="none" w:pos="246" w:val="left"/>
        </w:tabs>
        <w:numPr>
          <w:ilvl w:val="0"/>
          <w:numId w:val="88"/>
        </w:numPr>
        <w:rPr>
          <w:rFonts w:ascii="Arial" w:cs="Arial" w:eastAsia="Arial" w:hAnsi="Arial"/>
          <w:sz w:val="14"/>
          <w:szCs w:val="14"/>
          <w:color w:val="4C4C4C"/>
        </w:rPr>
      </w:pPr>
      <w:r>
        <w:rPr>
          <w:rFonts w:ascii="Arial" w:cs="Arial" w:eastAsia="Arial" w:hAnsi="Arial"/>
          <w:sz w:val="14"/>
          <w:szCs w:val="14"/>
          <w:color w:val="4C4C4C"/>
        </w:rPr>
        <w:t>Represents the value associated with the acceleration or continuation (as the case may be) of the vesting of equity awards. Amount of $40,059,385 also applies if he left without Good Reason but if he is terminated for Cause, all unvested equity is forfeited. In the case of RSUs and PSUs, the value was based on the NYSE closing price of Class A Common Stock on March 27, 2026, which was $327.82.</w:t>
      </w:r>
    </w:p>
    <w:p>
      <w:pPr>
        <w:spacing w:after="0" w:line="10" w:lineRule="exact"/>
        <w:rPr>
          <w:rFonts w:ascii="Arial" w:cs="Arial" w:eastAsia="Arial" w:hAnsi="Arial"/>
          <w:sz w:val="14"/>
          <w:szCs w:val="14"/>
          <w:color w:val="4C4C4C"/>
        </w:rPr>
      </w:pPr>
    </w:p>
    <w:p>
      <w:pPr>
        <w:ind w:left="246" w:hanging="246"/>
        <w:spacing w:after="0"/>
        <w:tabs>
          <w:tab w:leader="none" w:pos="246" w:val="left"/>
        </w:tabs>
        <w:numPr>
          <w:ilvl w:val="0"/>
          <w:numId w:val="88"/>
        </w:numPr>
        <w:rPr>
          <w:rFonts w:ascii="Arial" w:cs="Arial" w:eastAsia="Arial" w:hAnsi="Arial"/>
          <w:sz w:val="14"/>
          <w:szCs w:val="14"/>
          <w:color w:val="4C4C4C"/>
        </w:rPr>
      </w:pPr>
      <w:r>
        <w:rPr>
          <w:rFonts w:ascii="Arial" w:cs="Arial" w:eastAsia="Arial" w:hAnsi="Arial"/>
          <w:sz w:val="14"/>
          <w:szCs w:val="14"/>
          <w:color w:val="4C4C4C"/>
        </w:rPr>
        <w:t>Represents the cost of providing medical and dental benefits during applicable severance period.</w:t>
      </w:r>
    </w:p>
    <w:p>
      <w:pPr>
        <w:spacing w:after="0" w:line="55" w:lineRule="exact"/>
        <w:rPr>
          <w:rFonts w:ascii="Arial" w:cs="Arial" w:eastAsia="Arial" w:hAnsi="Arial"/>
          <w:sz w:val="14"/>
          <w:szCs w:val="14"/>
          <w:color w:val="4C4C4C"/>
        </w:rPr>
      </w:pPr>
    </w:p>
    <w:p>
      <w:pPr>
        <w:ind w:left="246" w:hanging="246"/>
        <w:spacing w:after="0"/>
        <w:tabs>
          <w:tab w:leader="none" w:pos="246" w:val="left"/>
        </w:tabs>
        <w:numPr>
          <w:ilvl w:val="0"/>
          <w:numId w:val="88"/>
        </w:numPr>
        <w:rPr>
          <w:rFonts w:ascii="Arial" w:cs="Arial" w:eastAsia="Arial" w:hAnsi="Arial"/>
          <w:sz w:val="14"/>
          <w:szCs w:val="14"/>
          <w:color w:val="4C4C4C"/>
        </w:rPr>
      </w:pPr>
      <w:r>
        <w:rPr>
          <w:rFonts w:ascii="Arial" w:cs="Arial" w:eastAsia="Arial" w:hAnsi="Arial"/>
          <w:sz w:val="14"/>
          <w:szCs w:val="14"/>
          <w:color w:val="4C4C4C"/>
        </w:rPr>
        <w:t>If maximum performance for PSUs is reached, the value would increase by $23,802,027.</w:t>
      </w:r>
    </w:p>
    <w:p>
      <w:pPr>
        <w:spacing w:after="0" w:line="172" w:lineRule="exact"/>
        <w:rPr>
          <w:sz w:val="20"/>
          <w:szCs w:val="20"/>
          <w:color w:val="auto"/>
        </w:rPr>
      </w:pPr>
    </w:p>
    <w:tbl>
      <w:tblPr>
        <w:tblLayout w:type="fixed"/>
        <w:tblInd w:w="6" w:type="dxa"/>
        <w:tblCellMar>
          <w:top w:w="0" w:type="dxa"/>
          <w:left w:w="0" w:type="dxa"/>
          <w:bottom w:w="0" w:type="dxa"/>
          <w:right w:w="0" w:type="dxa"/>
        </w:tblCellMar>
      </w:tblPr>
      <w:tr>
        <w:trPr>
          <w:trHeight w:val="303"/>
        </w:trPr>
        <w:tc>
          <w:tcPr>
            <w:tcW w:w="2940" w:type="dxa"/>
            <w:vAlign w:val="bottom"/>
            <w:gridSpan w:val="2"/>
            <w:shd w:val="clear" w:color="auto" w:fill="BFA071"/>
          </w:tcPr>
          <w:p>
            <w:pPr>
              <w:ind w:left="120"/>
              <w:spacing w:after="0"/>
              <w:rPr>
                <w:sz w:val="20"/>
                <w:szCs w:val="20"/>
                <w:color w:val="auto"/>
              </w:rPr>
            </w:pPr>
            <w:r>
              <w:rPr>
                <w:rFonts w:ascii="Arial" w:cs="Arial" w:eastAsia="Arial" w:hAnsi="Arial"/>
                <w:sz w:val="14"/>
                <w:szCs w:val="14"/>
                <w:b w:val="1"/>
                <w:bCs w:val="1"/>
                <w:color w:val="FFFFFF"/>
              </w:rPr>
              <w:t>Chief Operating Officer – Robert Ranftl</w:t>
            </w:r>
          </w:p>
        </w:tc>
        <w:tc>
          <w:tcPr>
            <w:tcW w:w="580" w:type="dxa"/>
            <w:vAlign w:val="bottom"/>
            <w:shd w:val="clear" w:color="auto" w:fill="BFA071"/>
          </w:tcPr>
          <w:p>
            <w:pPr>
              <w:spacing w:after="0"/>
              <w:rPr>
                <w:sz w:val="24"/>
                <w:szCs w:val="24"/>
                <w:color w:val="auto"/>
              </w:rPr>
            </w:pPr>
          </w:p>
        </w:tc>
        <w:tc>
          <w:tcPr>
            <w:tcW w:w="640" w:type="dxa"/>
            <w:vAlign w:val="bottom"/>
            <w:shd w:val="clear" w:color="auto" w:fill="BFA071"/>
          </w:tcPr>
          <w:p>
            <w:pPr>
              <w:spacing w:after="0"/>
              <w:rPr>
                <w:sz w:val="24"/>
                <w:szCs w:val="24"/>
                <w:color w:val="auto"/>
              </w:rPr>
            </w:pPr>
          </w:p>
        </w:tc>
        <w:tc>
          <w:tcPr>
            <w:tcW w:w="840" w:type="dxa"/>
            <w:vAlign w:val="bottom"/>
            <w:shd w:val="clear" w:color="auto" w:fill="BFA071"/>
          </w:tcPr>
          <w:p>
            <w:pPr>
              <w:spacing w:after="0"/>
              <w:rPr>
                <w:sz w:val="24"/>
                <w:szCs w:val="24"/>
                <w:color w:val="auto"/>
              </w:rPr>
            </w:pPr>
          </w:p>
        </w:tc>
        <w:tc>
          <w:tcPr>
            <w:tcW w:w="720" w:type="dxa"/>
            <w:vAlign w:val="bottom"/>
            <w:shd w:val="clear" w:color="auto" w:fill="BFA071"/>
          </w:tcPr>
          <w:p>
            <w:pPr>
              <w:spacing w:after="0"/>
              <w:rPr>
                <w:sz w:val="24"/>
                <w:szCs w:val="24"/>
                <w:color w:val="auto"/>
              </w:rPr>
            </w:pPr>
          </w:p>
        </w:tc>
        <w:tc>
          <w:tcPr>
            <w:tcW w:w="840" w:type="dxa"/>
            <w:vAlign w:val="bottom"/>
            <w:shd w:val="clear" w:color="auto" w:fill="BFA071"/>
          </w:tcPr>
          <w:p>
            <w:pPr>
              <w:spacing w:after="0"/>
              <w:rPr>
                <w:sz w:val="24"/>
                <w:szCs w:val="24"/>
                <w:color w:val="auto"/>
              </w:rPr>
            </w:pPr>
          </w:p>
        </w:tc>
        <w:tc>
          <w:tcPr>
            <w:tcW w:w="960" w:type="dxa"/>
            <w:vAlign w:val="bottom"/>
            <w:shd w:val="clear" w:color="auto" w:fill="BFA071"/>
          </w:tcPr>
          <w:p>
            <w:pPr>
              <w:spacing w:after="0"/>
              <w:rPr>
                <w:sz w:val="24"/>
                <w:szCs w:val="24"/>
                <w:color w:val="auto"/>
              </w:rPr>
            </w:pPr>
          </w:p>
        </w:tc>
        <w:tc>
          <w:tcPr>
            <w:tcW w:w="580" w:type="dxa"/>
            <w:vAlign w:val="bottom"/>
            <w:shd w:val="clear" w:color="auto" w:fill="BFA071"/>
          </w:tcPr>
          <w:p>
            <w:pPr>
              <w:spacing w:after="0"/>
              <w:rPr>
                <w:sz w:val="24"/>
                <w:szCs w:val="24"/>
                <w:color w:val="auto"/>
              </w:rPr>
            </w:pPr>
          </w:p>
        </w:tc>
        <w:tc>
          <w:tcPr>
            <w:tcW w:w="300" w:type="dxa"/>
            <w:vAlign w:val="bottom"/>
            <w:shd w:val="clear" w:color="auto" w:fill="BFA071"/>
          </w:tcPr>
          <w:p>
            <w:pPr>
              <w:spacing w:after="0"/>
              <w:rPr>
                <w:sz w:val="24"/>
                <w:szCs w:val="24"/>
                <w:color w:val="auto"/>
              </w:rPr>
            </w:pPr>
          </w:p>
        </w:tc>
        <w:tc>
          <w:tcPr>
            <w:tcW w:w="780" w:type="dxa"/>
            <w:vAlign w:val="bottom"/>
            <w:shd w:val="clear" w:color="auto" w:fill="BFA071"/>
          </w:tcPr>
          <w:p>
            <w:pPr>
              <w:spacing w:after="0"/>
              <w:rPr>
                <w:sz w:val="24"/>
                <w:szCs w:val="24"/>
                <w:color w:val="auto"/>
              </w:rPr>
            </w:pPr>
          </w:p>
        </w:tc>
      </w:tr>
      <w:tr>
        <w:trPr>
          <w:trHeight w:val="201"/>
        </w:trPr>
        <w:tc>
          <w:tcPr>
            <w:tcW w:w="2020" w:type="dxa"/>
            <w:vAlign w:val="bottom"/>
            <w:shd w:val="clear" w:color="auto" w:fill="001641"/>
          </w:tcPr>
          <w:p>
            <w:pPr>
              <w:spacing w:after="0"/>
              <w:rPr>
                <w:sz w:val="17"/>
                <w:szCs w:val="17"/>
                <w:color w:val="auto"/>
              </w:rPr>
            </w:pPr>
          </w:p>
        </w:tc>
        <w:tc>
          <w:tcPr>
            <w:tcW w:w="920" w:type="dxa"/>
            <w:vAlign w:val="bottom"/>
            <w:shd w:val="clear" w:color="auto" w:fill="001641"/>
          </w:tcPr>
          <w:p>
            <w:pPr>
              <w:spacing w:after="0"/>
              <w:rPr>
                <w:sz w:val="17"/>
                <w:szCs w:val="17"/>
                <w:color w:val="auto"/>
              </w:rPr>
            </w:pPr>
          </w:p>
        </w:tc>
        <w:tc>
          <w:tcPr>
            <w:tcW w:w="580" w:type="dxa"/>
            <w:vAlign w:val="bottom"/>
            <w:shd w:val="clear" w:color="auto" w:fill="001641"/>
          </w:tcPr>
          <w:p>
            <w:pPr>
              <w:spacing w:after="0"/>
              <w:rPr>
                <w:sz w:val="17"/>
                <w:szCs w:val="17"/>
                <w:color w:val="auto"/>
              </w:rPr>
            </w:pPr>
          </w:p>
        </w:tc>
        <w:tc>
          <w:tcPr>
            <w:tcW w:w="640" w:type="dxa"/>
            <w:vAlign w:val="bottom"/>
            <w:shd w:val="clear" w:color="auto" w:fill="001641"/>
          </w:tcPr>
          <w:p>
            <w:pPr>
              <w:spacing w:after="0"/>
              <w:rPr>
                <w:sz w:val="17"/>
                <w:szCs w:val="17"/>
                <w:color w:val="auto"/>
              </w:rPr>
            </w:pPr>
          </w:p>
        </w:tc>
        <w:tc>
          <w:tcPr>
            <w:tcW w:w="840" w:type="dxa"/>
            <w:vAlign w:val="bottom"/>
            <w:shd w:val="clear" w:color="auto" w:fill="001641"/>
          </w:tcPr>
          <w:p>
            <w:pPr>
              <w:spacing w:after="0"/>
              <w:rPr>
                <w:sz w:val="17"/>
                <w:szCs w:val="17"/>
                <w:color w:val="auto"/>
              </w:rPr>
            </w:pPr>
          </w:p>
        </w:tc>
        <w:tc>
          <w:tcPr>
            <w:tcW w:w="720" w:type="dxa"/>
            <w:vAlign w:val="bottom"/>
            <w:shd w:val="clear" w:color="auto" w:fill="001641"/>
          </w:tcPr>
          <w:p>
            <w:pPr>
              <w:spacing w:after="0"/>
              <w:rPr>
                <w:sz w:val="17"/>
                <w:szCs w:val="17"/>
                <w:color w:val="auto"/>
              </w:rPr>
            </w:pPr>
          </w:p>
        </w:tc>
        <w:tc>
          <w:tcPr>
            <w:tcW w:w="840" w:type="dxa"/>
            <w:vAlign w:val="bottom"/>
            <w:shd w:val="clear" w:color="auto" w:fill="001641"/>
          </w:tcPr>
          <w:p>
            <w:pPr>
              <w:spacing w:after="0"/>
              <w:rPr>
                <w:sz w:val="17"/>
                <w:szCs w:val="17"/>
                <w:color w:val="auto"/>
              </w:rPr>
            </w:pPr>
          </w:p>
        </w:tc>
        <w:tc>
          <w:tcPr>
            <w:tcW w:w="1540" w:type="dxa"/>
            <w:vAlign w:val="bottom"/>
            <w:gridSpan w:val="2"/>
            <w:shd w:val="clear" w:color="auto" w:fill="001641"/>
          </w:tcPr>
          <w:p>
            <w:pPr>
              <w:jc w:val="right"/>
              <w:ind w:right="148"/>
              <w:spacing w:after="0"/>
              <w:rPr>
                <w:sz w:val="20"/>
                <w:szCs w:val="20"/>
                <w:color w:val="auto"/>
              </w:rPr>
            </w:pPr>
            <w:r>
              <w:rPr>
                <w:rFonts w:ascii="Arial" w:cs="Arial" w:eastAsia="Arial" w:hAnsi="Arial"/>
                <w:sz w:val="14"/>
                <w:szCs w:val="14"/>
                <w:b w:val="1"/>
                <w:bCs w:val="1"/>
                <w:color w:val="FFFFFF"/>
              </w:rPr>
              <w:t>Continuation of</w:t>
            </w:r>
          </w:p>
        </w:tc>
        <w:tc>
          <w:tcPr>
            <w:tcW w:w="300" w:type="dxa"/>
            <w:vAlign w:val="bottom"/>
            <w:shd w:val="clear" w:color="auto" w:fill="001641"/>
          </w:tcPr>
          <w:p>
            <w:pPr>
              <w:spacing w:after="0"/>
              <w:rPr>
                <w:sz w:val="17"/>
                <w:szCs w:val="17"/>
                <w:color w:val="auto"/>
              </w:rPr>
            </w:pPr>
          </w:p>
        </w:tc>
        <w:tc>
          <w:tcPr>
            <w:tcW w:w="780" w:type="dxa"/>
            <w:vAlign w:val="bottom"/>
            <w:shd w:val="clear" w:color="auto" w:fill="001641"/>
          </w:tcPr>
          <w:p>
            <w:pPr>
              <w:spacing w:after="0"/>
              <w:rPr>
                <w:sz w:val="17"/>
                <w:szCs w:val="17"/>
                <w:color w:val="auto"/>
              </w:rPr>
            </w:pPr>
          </w:p>
        </w:tc>
      </w:tr>
      <w:tr>
        <w:trPr>
          <w:trHeight w:val="171"/>
        </w:trPr>
        <w:tc>
          <w:tcPr>
            <w:tcW w:w="2020" w:type="dxa"/>
            <w:vAlign w:val="bottom"/>
            <w:shd w:val="clear" w:color="auto" w:fill="001641"/>
          </w:tcPr>
          <w:p>
            <w:pPr>
              <w:spacing w:after="0"/>
              <w:rPr>
                <w:sz w:val="14"/>
                <w:szCs w:val="14"/>
                <w:color w:val="auto"/>
              </w:rPr>
            </w:pPr>
          </w:p>
        </w:tc>
        <w:tc>
          <w:tcPr>
            <w:tcW w:w="1500" w:type="dxa"/>
            <w:vAlign w:val="bottom"/>
            <w:gridSpan w:val="2"/>
            <w:shd w:val="clear" w:color="auto" w:fill="001641"/>
          </w:tcPr>
          <w:p>
            <w:pPr>
              <w:ind w:left="180"/>
              <w:spacing w:after="0"/>
              <w:rPr>
                <w:sz w:val="20"/>
                <w:szCs w:val="20"/>
                <w:color w:val="auto"/>
              </w:rPr>
            </w:pPr>
            <w:r>
              <w:rPr>
                <w:rFonts w:ascii="Arial" w:cs="Arial" w:eastAsia="Arial" w:hAnsi="Arial"/>
                <w:sz w:val="14"/>
                <w:szCs w:val="14"/>
                <w:b w:val="1"/>
                <w:bCs w:val="1"/>
                <w:color w:val="FFFFFF"/>
              </w:rPr>
              <w:t>Cash Severance</w:t>
            </w:r>
          </w:p>
        </w:tc>
        <w:tc>
          <w:tcPr>
            <w:tcW w:w="1480" w:type="dxa"/>
            <w:vAlign w:val="bottom"/>
            <w:gridSpan w:val="2"/>
            <w:shd w:val="clear" w:color="auto" w:fill="001641"/>
          </w:tcPr>
          <w:p>
            <w:pPr>
              <w:ind w:left="160"/>
              <w:spacing w:after="0"/>
              <w:rPr>
                <w:sz w:val="20"/>
                <w:szCs w:val="20"/>
                <w:color w:val="auto"/>
              </w:rPr>
            </w:pPr>
            <w:r>
              <w:rPr>
                <w:rFonts w:ascii="Arial" w:cs="Arial" w:eastAsia="Arial" w:hAnsi="Arial"/>
                <w:sz w:val="14"/>
                <w:szCs w:val="14"/>
                <w:b w:val="1"/>
                <w:bCs w:val="1"/>
                <w:color w:val="FFFFFF"/>
              </w:rPr>
              <w:t>Cash Severance</w:t>
            </w:r>
          </w:p>
        </w:tc>
        <w:tc>
          <w:tcPr>
            <w:tcW w:w="1560" w:type="dxa"/>
            <w:vAlign w:val="bottom"/>
            <w:gridSpan w:val="2"/>
            <w:shd w:val="clear" w:color="auto" w:fill="001641"/>
          </w:tcPr>
          <w:p>
            <w:pPr>
              <w:ind w:left="180"/>
              <w:spacing w:after="0"/>
              <w:rPr>
                <w:sz w:val="20"/>
                <w:szCs w:val="20"/>
                <w:color w:val="auto"/>
              </w:rPr>
            </w:pPr>
            <w:r>
              <w:rPr>
                <w:rFonts w:ascii="Arial" w:cs="Arial" w:eastAsia="Arial" w:hAnsi="Arial"/>
                <w:sz w:val="14"/>
                <w:szCs w:val="14"/>
                <w:b w:val="1"/>
                <w:bCs w:val="1"/>
                <w:color w:val="FFFFFF"/>
              </w:rPr>
              <w:t>Vesting of Equity</w:t>
            </w:r>
          </w:p>
        </w:tc>
        <w:tc>
          <w:tcPr>
            <w:tcW w:w="1540" w:type="dxa"/>
            <w:vAlign w:val="bottom"/>
            <w:gridSpan w:val="2"/>
            <w:shd w:val="clear" w:color="auto" w:fill="001641"/>
          </w:tcPr>
          <w:p>
            <w:pPr>
              <w:jc w:val="center"/>
              <w:spacing w:after="0"/>
              <w:rPr>
                <w:sz w:val="20"/>
                <w:szCs w:val="20"/>
                <w:color w:val="auto"/>
              </w:rPr>
            </w:pPr>
            <w:r>
              <w:rPr>
                <w:rFonts w:ascii="Arial" w:cs="Arial" w:eastAsia="Arial" w:hAnsi="Arial"/>
                <w:sz w:val="14"/>
                <w:szCs w:val="14"/>
                <w:b w:val="1"/>
                <w:bCs w:val="1"/>
                <w:color w:val="FFFFFF"/>
              </w:rPr>
              <w:t>Other Benefits &amp;</w:t>
            </w:r>
          </w:p>
        </w:tc>
        <w:tc>
          <w:tcPr>
            <w:tcW w:w="300" w:type="dxa"/>
            <w:vAlign w:val="bottom"/>
            <w:shd w:val="clear" w:color="auto" w:fill="001641"/>
          </w:tcPr>
          <w:p>
            <w:pPr>
              <w:spacing w:after="0"/>
              <w:rPr>
                <w:sz w:val="14"/>
                <w:szCs w:val="14"/>
                <w:color w:val="auto"/>
              </w:rPr>
            </w:pPr>
          </w:p>
        </w:tc>
        <w:tc>
          <w:tcPr>
            <w:tcW w:w="780" w:type="dxa"/>
            <w:vAlign w:val="bottom"/>
            <w:shd w:val="clear" w:color="auto" w:fill="001641"/>
          </w:tcPr>
          <w:p>
            <w:pPr>
              <w:spacing w:after="0"/>
              <w:rPr>
                <w:sz w:val="14"/>
                <w:szCs w:val="14"/>
                <w:color w:val="auto"/>
              </w:rPr>
            </w:pPr>
          </w:p>
        </w:tc>
      </w:tr>
      <w:tr>
        <w:trPr>
          <w:trHeight w:val="230"/>
        </w:trPr>
        <w:tc>
          <w:tcPr>
            <w:tcW w:w="2020" w:type="dxa"/>
            <w:vAlign w:val="bottom"/>
            <w:shd w:val="clear" w:color="auto" w:fill="001641"/>
          </w:tcPr>
          <w:p>
            <w:pPr>
              <w:spacing w:after="0"/>
              <w:rPr>
                <w:sz w:val="19"/>
                <w:szCs w:val="19"/>
                <w:color w:val="auto"/>
              </w:rPr>
            </w:pPr>
          </w:p>
        </w:tc>
        <w:tc>
          <w:tcPr>
            <w:tcW w:w="1500" w:type="dxa"/>
            <w:vAlign w:val="bottom"/>
            <w:gridSpan w:val="2"/>
            <w:shd w:val="clear" w:color="auto" w:fill="001641"/>
          </w:tcPr>
          <w:p>
            <w:pPr>
              <w:ind w:left="340"/>
              <w:spacing w:after="0" w:line="230" w:lineRule="exact"/>
              <w:rPr>
                <w:sz w:val="20"/>
                <w:szCs w:val="20"/>
                <w:color w:val="auto"/>
              </w:rPr>
            </w:pPr>
            <w:r>
              <w:rPr>
                <w:rFonts w:ascii="Arial" w:cs="Arial" w:eastAsia="Arial" w:hAnsi="Arial"/>
                <w:sz w:val="14"/>
                <w:szCs w:val="14"/>
                <w:b w:val="1"/>
                <w:bCs w:val="1"/>
                <w:color w:val="FFFFFF"/>
              </w:rPr>
              <w:t>– Base Salary</w:t>
            </w:r>
            <w:r>
              <w:rPr>
                <w:rFonts w:ascii="Arial" w:cs="Arial" w:eastAsia="Arial" w:hAnsi="Arial"/>
                <w:sz w:val="23"/>
                <w:szCs w:val="23"/>
                <w:b w:val="1"/>
                <w:bCs w:val="1"/>
                <w:color w:val="FFFFFF"/>
                <w:vertAlign w:val="superscript"/>
              </w:rPr>
              <w:t>1</w:t>
            </w:r>
          </w:p>
        </w:tc>
        <w:tc>
          <w:tcPr>
            <w:tcW w:w="640" w:type="dxa"/>
            <w:vAlign w:val="bottom"/>
            <w:shd w:val="clear" w:color="auto" w:fill="001641"/>
          </w:tcPr>
          <w:p>
            <w:pPr>
              <w:spacing w:after="0"/>
              <w:rPr>
                <w:sz w:val="19"/>
                <w:szCs w:val="19"/>
                <w:color w:val="auto"/>
              </w:rPr>
            </w:pPr>
          </w:p>
        </w:tc>
        <w:tc>
          <w:tcPr>
            <w:tcW w:w="840" w:type="dxa"/>
            <w:vAlign w:val="bottom"/>
            <w:shd w:val="clear" w:color="auto" w:fill="001641"/>
          </w:tcPr>
          <w:p>
            <w:pPr>
              <w:jc w:val="right"/>
              <w:ind w:right="88"/>
              <w:spacing w:after="0"/>
              <w:rPr>
                <w:sz w:val="20"/>
                <w:szCs w:val="20"/>
                <w:color w:val="auto"/>
              </w:rPr>
            </w:pPr>
            <w:r>
              <w:rPr>
                <w:rFonts w:ascii="Arial" w:cs="Arial" w:eastAsia="Arial" w:hAnsi="Arial"/>
                <w:sz w:val="14"/>
                <w:szCs w:val="14"/>
                <w:b w:val="1"/>
                <w:bCs w:val="1"/>
                <w:color w:val="FFFFFF"/>
              </w:rPr>
              <w:t>– Bonus</w:t>
            </w:r>
          </w:p>
        </w:tc>
        <w:tc>
          <w:tcPr>
            <w:tcW w:w="720" w:type="dxa"/>
            <w:vAlign w:val="bottom"/>
            <w:shd w:val="clear" w:color="auto" w:fill="001641"/>
          </w:tcPr>
          <w:p>
            <w:pPr>
              <w:spacing w:after="0"/>
              <w:rPr>
                <w:sz w:val="19"/>
                <w:szCs w:val="19"/>
                <w:color w:val="auto"/>
              </w:rPr>
            </w:pPr>
          </w:p>
        </w:tc>
        <w:tc>
          <w:tcPr>
            <w:tcW w:w="840" w:type="dxa"/>
            <w:vAlign w:val="bottom"/>
            <w:shd w:val="clear" w:color="auto" w:fill="001641"/>
          </w:tcPr>
          <w:p>
            <w:pPr>
              <w:jc w:val="right"/>
              <w:ind w:right="108"/>
              <w:spacing w:after="0" w:line="230"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23"/>
                <w:szCs w:val="23"/>
                <w:b w:val="1"/>
                <w:bCs w:val="1"/>
                <w:color w:val="FFFFFF"/>
                <w:vertAlign w:val="superscript"/>
              </w:rPr>
              <w:t>2</w:t>
            </w:r>
          </w:p>
        </w:tc>
        <w:tc>
          <w:tcPr>
            <w:tcW w:w="1540" w:type="dxa"/>
            <w:vAlign w:val="bottom"/>
            <w:gridSpan w:val="2"/>
            <w:shd w:val="clear" w:color="auto" w:fill="001641"/>
          </w:tcPr>
          <w:p>
            <w:pPr>
              <w:jc w:val="right"/>
              <w:ind w:right="108"/>
              <w:spacing w:after="0" w:line="230" w:lineRule="exact"/>
              <w:rPr>
                <w:sz w:val="20"/>
                <w:szCs w:val="20"/>
                <w:color w:val="auto"/>
              </w:rPr>
            </w:pPr>
            <w:r>
              <w:rPr>
                <w:rFonts w:ascii="Arial" w:cs="Arial" w:eastAsia="Arial" w:hAnsi="Arial"/>
                <w:sz w:val="14"/>
                <w:szCs w:val="14"/>
                <w:b w:val="1"/>
                <w:bCs w:val="1"/>
                <w:color w:val="FFFFFF"/>
              </w:rPr>
              <w:t>Perquisites</w:t>
            </w:r>
            <w:r>
              <w:rPr>
                <w:rFonts w:ascii="Arial" w:cs="Arial" w:eastAsia="Arial" w:hAnsi="Arial"/>
                <w:sz w:val="23"/>
                <w:szCs w:val="23"/>
                <w:b w:val="1"/>
                <w:bCs w:val="1"/>
                <w:color w:val="FFFFFF"/>
                <w:vertAlign w:val="superscript"/>
              </w:rPr>
              <w:t>3</w:t>
            </w:r>
          </w:p>
        </w:tc>
        <w:tc>
          <w:tcPr>
            <w:tcW w:w="300" w:type="dxa"/>
            <w:vAlign w:val="bottom"/>
            <w:shd w:val="clear" w:color="auto" w:fill="001641"/>
          </w:tcPr>
          <w:p>
            <w:pPr>
              <w:spacing w:after="0"/>
              <w:rPr>
                <w:sz w:val="19"/>
                <w:szCs w:val="19"/>
                <w:color w:val="auto"/>
              </w:rPr>
            </w:pPr>
          </w:p>
        </w:tc>
        <w:tc>
          <w:tcPr>
            <w:tcW w:w="780" w:type="dxa"/>
            <w:vAlign w:val="bottom"/>
            <w:shd w:val="clear" w:color="auto" w:fill="001641"/>
          </w:tcPr>
          <w:p>
            <w:pPr>
              <w:jc w:val="right"/>
              <w:ind w:right="28"/>
              <w:spacing w:after="0"/>
              <w:rPr>
                <w:sz w:val="20"/>
                <w:szCs w:val="20"/>
                <w:color w:val="auto"/>
              </w:rPr>
            </w:pPr>
            <w:r>
              <w:rPr>
                <w:rFonts w:ascii="Arial" w:cs="Arial" w:eastAsia="Arial" w:hAnsi="Arial"/>
                <w:sz w:val="14"/>
                <w:szCs w:val="14"/>
                <w:b w:val="1"/>
                <w:bCs w:val="1"/>
                <w:color w:val="FFFFFF"/>
              </w:rPr>
              <w:t>Total</w:t>
            </w:r>
          </w:p>
        </w:tc>
      </w:tr>
      <w:tr>
        <w:trPr>
          <w:trHeight w:val="193"/>
        </w:trPr>
        <w:tc>
          <w:tcPr>
            <w:tcW w:w="2020" w:type="dxa"/>
            <w:vAlign w:val="bottom"/>
          </w:tcPr>
          <w:p>
            <w:pPr>
              <w:ind w:left="120"/>
              <w:spacing w:after="0"/>
              <w:rPr>
                <w:sz w:val="20"/>
                <w:szCs w:val="20"/>
                <w:color w:val="auto"/>
              </w:rPr>
            </w:pPr>
            <w:r>
              <w:rPr>
                <w:rFonts w:ascii="Arial" w:cs="Arial" w:eastAsia="Arial" w:hAnsi="Arial"/>
                <w:sz w:val="14"/>
                <w:szCs w:val="14"/>
                <w:color w:val="001641"/>
              </w:rPr>
              <w:t>By the Company for</w:t>
            </w:r>
          </w:p>
        </w:tc>
        <w:tc>
          <w:tcPr>
            <w:tcW w:w="920" w:type="dxa"/>
            <w:vAlign w:val="bottom"/>
          </w:tcPr>
          <w:p>
            <w:pPr>
              <w:ind w:left="440"/>
              <w:spacing w:after="0"/>
              <w:rPr>
                <w:sz w:val="20"/>
                <w:szCs w:val="20"/>
                <w:color w:val="auto"/>
              </w:rPr>
            </w:pPr>
            <w:r>
              <w:rPr>
                <w:rFonts w:ascii="Arial" w:cs="Arial" w:eastAsia="Arial" w:hAnsi="Arial"/>
                <w:sz w:val="14"/>
                <w:szCs w:val="14"/>
                <w:color w:val="001641"/>
              </w:rPr>
              <w:t>$</w:t>
            </w:r>
          </w:p>
        </w:tc>
        <w:tc>
          <w:tcPr>
            <w:tcW w:w="580" w:type="dxa"/>
            <w:vAlign w:val="bottom"/>
          </w:tcPr>
          <w:p>
            <w:pPr>
              <w:jc w:val="right"/>
              <w:ind w:right="248"/>
              <w:spacing w:after="0"/>
              <w:rPr>
                <w:sz w:val="20"/>
                <w:szCs w:val="20"/>
                <w:color w:val="auto"/>
              </w:rPr>
            </w:pPr>
            <w:r>
              <w:rPr>
                <w:rFonts w:ascii="Arial" w:cs="Arial" w:eastAsia="Arial" w:hAnsi="Arial"/>
                <w:sz w:val="14"/>
                <w:szCs w:val="14"/>
                <w:color w:val="001641"/>
              </w:rPr>
              <w:t>0</w:t>
            </w:r>
          </w:p>
        </w:tc>
        <w:tc>
          <w:tcPr>
            <w:tcW w:w="640" w:type="dxa"/>
            <w:vAlign w:val="bottom"/>
          </w:tcPr>
          <w:p>
            <w:pPr>
              <w:ind w:left="460"/>
              <w:spacing w:after="0"/>
              <w:rPr>
                <w:sz w:val="20"/>
                <w:szCs w:val="20"/>
                <w:color w:val="auto"/>
              </w:rPr>
            </w:pPr>
            <w:r>
              <w:rPr>
                <w:rFonts w:ascii="Arial" w:cs="Arial" w:eastAsia="Arial" w:hAnsi="Arial"/>
                <w:sz w:val="14"/>
                <w:szCs w:val="14"/>
                <w:color w:val="001641"/>
              </w:rPr>
              <w:t>$</w:t>
            </w:r>
          </w:p>
        </w:tc>
        <w:tc>
          <w:tcPr>
            <w:tcW w:w="840" w:type="dxa"/>
            <w:vAlign w:val="bottom"/>
          </w:tcPr>
          <w:p>
            <w:pPr>
              <w:jc w:val="right"/>
              <w:ind w:right="228"/>
              <w:spacing w:after="0"/>
              <w:rPr>
                <w:sz w:val="20"/>
                <w:szCs w:val="20"/>
                <w:color w:val="auto"/>
              </w:rPr>
            </w:pPr>
            <w:r>
              <w:rPr>
                <w:rFonts w:ascii="Arial" w:cs="Arial" w:eastAsia="Arial" w:hAnsi="Arial"/>
                <w:sz w:val="14"/>
                <w:szCs w:val="14"/>
                <w:color w:val="001641"/>
              </w:rPr>
              <w:t>0</w:t>
            </w:r>
          </w:p>
        </w:tc>
        <w:tc>
          <w:tcPr>
            <w:tcW w:w="720" w:type="dxa"/>
            <w:vAlign w:val="bottom"/>
          </w:tcPr>
          <w:p>
            <w:pPr>
              <w:ind w:left="560"/>
              <w:spacing w:after="0"/>
              <w:rPr>
                <w:sz w:val="20"/>
                <w:szCs w:val="20"/>
                <w:color w:val="auto"/>
              </w:rPr>
            </w:pPr>
            <w:r>
              <w:rPr>
                <w:rFonts w:ascii="Arial" w:cs="Arial" w:eastAsia="Arial" w:hAnsi="Arial"/>
                <w:sz w:val="14"/>
                <w:szCs w:val="14"/>
                <w:color w:val="001641"/>
              </w:rPr>
              <w:t>$</w:t>
            </w:r>
          </w:p>
        </w:tc>
        <w:tc>
          <w:tcPr>
            <w:tcW w:w="840" w:type="dxa"/>
            <w:vAlign w:val="bottom"/>
          </w:tcPr>
          <w:p>
            <w:pPr>
              <w:jc w:val="right"/>
              <w:ind w:right="208"/>
              <w:spacing w:after="0"/>
              <w:rPr>
                <w:sz w:val="20"/>
                <w:szCs w:val="20"/>
                <w:color w:val="auto"/>
              </w:rPr>
            </w:pPr>
            <w:r>
              <w:rPr>
                <w:rFonts w:ascii="Arial" w:cs="Arial" w:eastAsia="Arial" w:hAnsi="Arial"/>
                <w:sz w:val="14"/>
                <w:szCs w:val="14"/>
                <w:color w:val="001641"/>
              </w:rPr>
              <w:t>0</w:t>
            </w:r>
          </w:p>
        </w:tc>
        <w:tc>
          <w:tcPr>
            <w:tcW w:w="960" w:type="dxa"/>
            <w:vAlign w:val="bottom"/>
          </w:tcPr>
          <w:p>
            <w:pPr>
              <w:jc w:val="center"/>
              <w:ind w:left="448"/>
              <w:spacing w:after="0"/>
              <w:rPr>
                <w:sz w:val="20"/>
                <w:szCs w:val="20"/>
                <w:color w:val="auto"/>
              </w:rPr>
            </w:pPr>
            <w:r>
              <w:rPr>
                <w:rFonts w:ascii="Arial" w:cs="Arial" w:eastAsia="Arial" w:hAnsi="Arial"/>
                <w:sz w:val="14"/>
                <w:szCs w:val="14"/>
                <w:color w:val="001641"/>
              </w:rPr>
              <w:t>$</w:t>
            </w:r>
          </w:p>
        </w:tc>
        <w:tc>
          <w:tcPr>
            <w:tcW w:w="580" w:type="dxa"/>
            <w:vAlign w:val="bottom"/>
          </w:tcPr>
          <w:p>
            <w:pPr>
              <w:jc w:val="right"/>
              <w:ind w:right="248"/>
              <w:spacing w:after="0"/>
              <w:rPr>
                <w:sz w:val="20"/>
                <w:szCs w:val="20"/>
                <w:color w:val="auto"/>
              </w:rPr>
            </w:pPr>
            <w:r>
              <w:rPr>
                <w:rFonts w:ascii="Arial" w:cs="Arial" w:eastAsia="Arial" w:hAnsi="Arial"/>
                <w:sz w:val="14"/>
                <w:szCs w:val="14"/>
                <w:color w:val="001641"/>
              </w:rPr>
              <w:t>0</w:t>
            </w:r>
          </w:p>
        </w:tc>
        <w:tc>
          <w:tcPr>
            <w:tcW w:w="300" w:type="dxa"/>
            <w:vAlign w:val="bottom"/>
          </w:tcPr>
          <w:p>
            <w:pPr>
              <w:jc w:val="right"/>
              <w:spacing w:after="0"/>
              <w:rPr>
                <w:sz w:val="20"/>
                <w:szCs w:val="20"/>
                <w:color w:val="auto"/>
              </w:rPr>
            </w:pPr>
            <w:r>
              <w:rPr>
                <w:rFonts w:ascii="Arial" w:cs="Arial" w:eastAsia="Arial" w:hAnsi="Arial"/>
                <w:sz w:val="14"/>
                <w:szCs w:val="14"/>
                <w:color w:val="001641"/>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001641"/>
              </w:rPr>
              <w:t>0</w:t>
            </w:r>
          </w:p>
        </w:tc>
      </w:tr>
      <w:tr>
        <w:trPr>
          <w:trHeight w:val="162"/>
        </w:trPr>
        <w:tc>
          <w:tcPr>
            <w:tcW w:w="2020" w:type="dxa"/>
            <w:vAlign w:val="bottom"/>
          </w:tcPr>
          <w:p>
            <w:pPr>
              <w:ind w:left="120"/>
              <w:spacing w:after="0"/>
              <w:rPr>
                <w:sz w:val="20"/>
                <w:szCs w:val="20"/>
                <w:color w:val="auto"/>
              </w:rPr>
            </w:pPr>
            <w:r>
              <w:rPr>
                <w:rFonts w:ascii="Arial" w:cs="Arial" w:eastAsia="Arial" w:hAnsi="Arial"/>
                <w:sz w:val="14"/>
                <w:szCs w:val="14"/>
                <w:color w:val="001641"/>
              </w:rPr>
              <w:t>Cause/by the Executive</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0"/>
        </w:trPr>
        <w:tc>
          <w:tcPr>
            <w:tcW w:w="2020" w:type="dxa"/>
            <w:vAlign w:val="bottom"/>
          </w:tcPr>
          <w:p>
            <w:pPr>
              <w:ind w:left="120"/>
              <w:spacing w:after="0"/>
              <w:rPr>
                <w:sz w:val="20"/>
                <w:szCs w:val="20"/>
                <w:color w:val="auto"/>
              </w:rPr>
            </w:pPr>
            <w:r>
              <w:rPr>
                <w:rFonts w:ascii="Arial" w:cs="Arial" w:eastAsia="Arial" w:hAnsi="Arial"/>
                <w:sz w:val="14"/>
                <w:szCs w:val="14"/>
                <w:color w:val="001641"/>
              </w:rPr>
              <w:t>Without Good Reason</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
        </w:trPr>
        <w:tc>
          <w:tcPr>
            <w:tcW w:w="2020" w:type="dxa"/>
            <w:vAlign w:val="bottom"/>
            <w:tcBorders>
              <w:bottom w:val="single" w:sz="8" w:color="BFA071"/>
            </w:tcBorders>
          </w:tcPr>
          <w:p>
            <w:pPr>
              <w:spacing w:after="0" w:line="20" w:lineRule="exact"/>
              <w:rPr>
                <w:sz w:val="1"/>
                <w:szCs w:val="1"/>
                <w:color w:val="auto"/>
              </w:rPr>
            </w:pPr>
          </w:p>
        </w:tc>
        <w:tc>
          <w:tcPr>
            <w:tcW w:w="1500" w:type="dxa"/>
            <w:vAlign w:val="bottom"/>
            <w:tcBorders>
              <w:bottom w:val="single" w:sz="8" w:color="BFA071"/>
            </w:tcBorders>
            <w:gridSpan w:val="2"/>
          </w:tcPr>
          <w:p>
            <w:pPr>
              <w:spacing w:after="0" w:line="20" w:lineRule="exact"/>
              <w:rPr>
                <w:sz w:val="1"/>
                <w:szCs w:val="1"/>
                <w:color w:val="auto"/>
              </w:rPr>
            </w:pPr>
          </w:p>
        </w:tc>
        <w:tc>
          <w:tcPr>
            <w:tcW w:w="1480" w:type="dxa"/>
            <w:vAlign w:val="bottom"/>
            <w:tcBorders>
              <w:bottom w:val="single" w:sz="8" w:color="BFA071"/>
            </w:tcBorders>
            <w:gridSpan w:val="2"/>
          </w:tcPr>
          <w:p>
            <w:pPr>
              <w:spacing w:after="0" w:line="20" w:lineRule="exact"/>
              <w:rPr>
                <w:sz w:val="1"/>
                <w:szCs w:val="1"/>
                <w:color w:val="auto"/>
              </w:rPr>
            </w:pPr>
          </w:p>
        </w:tc>
        <w:tc>
          <w:tcPr>
            <w:tcW w:w="720" w:type="dxa"/>
            <w:vAlign w:val="bottom"/>
            <w:tcBorders>
              <w:bottom w:val="single" w:sz="8" w:color="BFA071"/>
            </w:tcBorders>
          </w:tcPr>
          <w:p>
            <w:pPr>
              <w:spacing w:after="0" w:line="20" w:lineRule="exact"/>
              <w:rPr>
                <w:sz w:val="1"/>
                <w:szCs w:val="1"/>
                <w:color w:val="auto"/>
              </w:rPr>
            </w:pPr>
          </w:p>
        </w:tc>
        <w:tc>
          <w:tcPr>
            <w:tcW w:w="840" w:type="dxa"/>
            <w:vAlign w:val="bottom"/>
            <w:tcBorders>
              <w:bottom w:val="single" w:sz="8" w:color="BFA071"/>
            </w:tcBorders>
          </w:tcPr>
          <w:p>
            <w:pPr>
              <w:spacing w:after="0" w:line="20" w:lineRule="exact"/>
              <w:rPr>
                <w:sz w:val="1"/>
                <w:szCs w:val="1"/>
                <w:color w:val="auto"/>
              </w:rPr>
            </w:pPr>
          </w:p>
        </w:tc>
        <w:tc>
          <w:tcPr>
            <w:tcW w:w="1540" w:type="dxa"/>
            <w:vAlign w:val="bottom"/>
            <w:tcBorders>
              <w:bottom w:val="single" w:sz="8" w:color="BFA071"/>
            </w:tcBorders>
            <w:gridSpan w:val="2"/>
          </w:tcPr>
          <w:p>
            <w:pPr>
              <w:spacing w:after="0" w:line="20" w:lineRule="exact"/>
              <w:rPr>
                <w:sz w:val="1"/>
                <w:szCs w:val="1"/>
                <w:color w:val="auto"/>
              </w:rPr>
            </w:pPr>
          </w:p>
        </w:tc>
        <w:tc>
          <w:tcPr>
            <w:tcW w:w="300" w:type="dxa"/>
            <w:vAlign w:val="bottom"/>
            <w:tcBorders>
              <w:bottom w:val="single" w:sz="8" w:color="BFA071"/>
            </w:tcBorders>
          </w:tcPr>
          <w:p>
            <w:pPr>
              <w:spacing w:after="0" w:line="20" w:lineRule="exact"/>
              <w:rPr>
                <w:sz w:val="1"/>
                <w:szCs w:val="1"/>
                <w:color w:val="auto"/>
              </w:rPr>
            </w:pPr>
          </w:p>
        </w:tc>
        <w:tc>
          <w:tcPr>
            <w:tcW w:w="780" w:type="dxa"/>
            <w:vAlign w:val="bottom"/>
            <w:tcBorders>
              <w:bottom w:val="single" w:sz="8" w:color="BFA071"/>
            </w:tcBorders>
          </w:tcPr>
          <w:p>
            <w:pPr>
              <w:spacing w:after="0" w:line="20" w:lineRule="exact"/>
              <w:rPr>
                <w:sz w:val="1"/>
                <w:szCs w:val="1"/>
                <w:color w:val="auto"/>
              </w:rPr>
            </w:pPr>
          </w:p>
        </w:tc>
      </w:tr>
      <w:tr>
        <w:trPr>
          <w:trHeight w:val="183"/>
        </w:trPr>
        <w:tc>
          <w:tcPr>
            <w:tcW w:w="2020" w:type="dxa"/>
            <w:vAlign w:val="bottom"/>
          </w:tcPr>
          <w:p>
            <w:pPr>
              <w:ind w:left="120"/>
              <w:spacing w:after="0"/>
              <w:rPr>
                <w:sz w:val="20"/>
                <w:szCs w:val="20"/>
                <w:color w:val="auto"/>
              </w:rPr>
            </w:pPr>
            <w:r>
              <w:rPr>
                <w:rFonts w:ascii="Arial" w:cs="Arial" w:eastAsia="Arial" w:hAnsi="Arial"/>
                <w:sz w:val="14"/>
                <w:szCs w:val="14"/>
                <w:color w:val="001641"/>
              </w:rPr>
              <w:t>By the Company Without</w:t>
            </w:r>
          </w:p>
        </w:tc>
        <w:tc>
          <w:tcPr>
            <w:tcW w:w="1500" w:type="dxa"/>
            <w:vAlign w:val="bottom"/>
            <w:gridSpan w:val="2"/>
          </w:tcPr>
          <w:p>
            <w:pPr>
              <w:ind w:left="440"/>
              <w:spacing w:after="0"/>
              <w:rPr>
                <w:sz w:val="20"/>
                <w:szCs w:val="20"/>
                <w:color w:val="auto"/>
              </w:rPr>
            </w:pPr>
            <w:r>
              <w:rPr>
                <w:rFonts w:ascii="Arial" w:cs="Arial" w:eastAsia="Arial" w:hAnsi="Arial"/>
                <w:sz w:val="14"/>
                <w:szCs w:val="14"/>
                <w:color w:val="001641"/>
              </w:rPr>
              <w:t>$1,000,000</w:t>
            </w:r>
          </w:p>
        </w:tc>
        <w:tc>
          <w:tcPr>
            <w:tcW w:w="1480" w:type="dxa"/>
            <w:vAlign w:val="bottom"/>
            <w:gridSpan w:val="2"/>
          </w:tcPr>
          <w:p>
            <w:pPr>
              <w:ind w:left="460"/>
              <w:spacing w:after="0" w:line="183" w:lineRule="exact"/>
              <w:rPr>
                <w:sz w:val="20"/>
                <w:szCs w:val="20"/>
                <w:color w:val="auto"/>
              </w:rPr>
            </w:pPr>
            <w:r>
              <w:rPr>
                <w:rFonts w:ascii="Arial" w:cs="Arial" w:eastAsia="Arial" w:hAnsi="Arial"/>
                <w:sz w:val="13"/>
                <w:szCs w:val="13"/>
                <w:color w:val="001641"/>
              </w:rPr>
              <w:t>$1,000,000</w:t>
            </w:r>
            <w:r>
              <w:rPr>
                <w:rFonts w:ascii="Arial" w:cs="Arial" w:eastAsia="Arial" w:hAnsi="Arial"/>
                <w:sz w:val="21"/>
                <w:szCs w:val="21"/>
                <w:color w:val="001641"/>
                <w:vertAlign w:val="superscript"/>
              </w:rPr>
              <w:t>4</w:t>
            </w:r>
          </w:p>
        </w:tc>
        <w:tc>
          <w:tcPr>
            <w:tcW w:w="720" w:type="dxa"/>
            <w:vAlign w:val="bottom"/>
          </w:tcPr>
          <w:p>
            <w:pPr>
              <w:ind w:left="560"/>
              <w:spacing w:after="0"/>
              <w:rPr>
                <w:sz w:val="20"/>
                <w:szCs w:val="20"/>
                <w:color w:val="auto"/>
              </w:rPr>
            </w:pPr>
            <w:r>
              <w:rPr>
                <w:rFonts w:ascii="Arial" w:cs="Arial" w:eastAsia="Arial" w:hAnsi="Arial"/>
                <w:sz w:val="14"/>
                <w:szCs w:val="14"/>
                <w:color w:val="001641"/>
              </w:rPr>
              <w:t>$</w:t>
            </w:r>
          </w:p>
        </w:tc>
        <w:tc>
          <w:tcPr>
            <w:tcW w:w="840" w:type="dxa"/>
            <w:vAlign w:val="bottom"/>
          </w:tcPr>
          <w:p>
            <w:pPr>
              <w:jc w:val="right"/>
              <w:ind w:right="208"/>
              <w:spacing w:after="0"/>
              <w:rPr>
                <w:sz w:val="20"/>
                <w:szCs w:val="20"/>
                <w:color w:val="auto"/>
              </w:rPr>
            </w:pPr>
            <w:r>
              <w:rPr>
                <w:rFonts w:ascii="Arial" w:cs="Arial" w:eastAsia="Arial" w:hAnsi="Arial"/>
                <w:sz w:val="14"/>
                <w:szCs w:val="14"/>
                <w:color w:val="001641"/>
              </w:rPr>
              <w:t>0</w:t>
            </w:r>
          </w:p>
        </w:tc>
        <w:tc>
          <w:tcPr>
            <w:tcW w:w="1540" w:type="dxa"/>
            <w:vAlign w:val="bottom"/>
            <w:gridSpan w:val="2"/>
          </w:tcPr>
          <w:p>
            <w:pPr>
              <w:jc w:val="right"/>
              <w:ind w:right="248"/>
              <w:spacing w:after="0"/>
              <w:rPr>
                <w:sz w:val="20"/>
                <w:szCs w:val="20"/>
                <w:color w:val="auto"/>
              </w:rPr>
            </w:pPr>
            <w:r>
              <w:rPr>
                <w:rFonts w:ascii="Arial" w:cs="Arial" w:eastAsia="Arial" w:hAnsi="Arial"/>
                <w:sz w:val="14"/>
                <w:szCs w:val="14"/>
                <w:color w:val="001641"/>
              </w:rPr>
              <w:t>$48,913</w:t>
            </w:r>
          </w:p>
        </w:tc>
        <w:tc>
          <w:tcPr>
            <w:tcW w:w="300" w:type="dxa"/>
            <w:vAlign w:val="bottom"/>
          </w:tcPr>
          <w:p>
            <w:pPr>
              <w:jc w:val="right"/>
              <w:spacing w:after="0"/>
              <w:rPr>
                <w:sz w:val="20"/>
                <w:szCs w:val="20"/>
                <w:color w:val="auto"/>
              </w:rPr>
            </w:pPr>
            <w:r>
              <w:rPr>
                <w:rFonts w:ascii="Arial" w:cs="Arial" w:eastAsia="Arial" w:hAnsi="Arial"/>
                <w:sz w:val="14"/>
                <w:szCs w:val="14"/>
                <w:color w:val="001641"/>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001641"/>
              </w:rPr>
              <w:t>2,048,913</w:t>
            </w:r>
          </w:p>
        </w:tc>
      </w:tr>
      <w:tr>
        <w:trPr>
          <w:trHeight w:val="153"/>
        </w:trPr>
        <w:tc>
          <w:tcPr>
            <w:tcW w:w="2020" w:type="dxa"/>
            <w:vAlign w:val="bottom"/>
          </w:tcPr>
          <w:p>
            <w:pPr>
              <w:ind w:left="120"/>
              <w:spacing w:after="0" w:line="153" w:lineRule="exact"/>
              <w:rPr>
                <w:sz w:val="20"/>
                <w:szCs w:val="20"/>
                <w:color w:val="auto"/>
              </w:rPr>
            </w:pPr>
            <w:r>
              <w:rPr>
                <w:rFonts w:ascii="Arial" w:cs="Arial" w:eastAsia="Arial" w:hAnsi="Arial"/>
                <w:sz w:val="14"/>
                <w:szCs w:val="14"/>
                <w:color w:val="001641"/>
              </w:rPr>
              <w:t>Cause/by the Executive for</w:t>
            </w: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0"/>
        </w:trPr>
        <w:tc>
          <w:tcPr>
            <w:tcW w:w="2020" w:type="dxa"/>
            <w:vAlign w:val="bottom"/>
          </w:tcPr>
          <w:p>
            <w:pPr>
              <w:ind w:left="120"/>
              <w:spacing w:after="0"/>
              <w:rPr>
                <w:sz w:val="20"/>
                <w:szCs w:val="20"/>
                <w:color w:val="auto"/>
              </w:rPr>
            </w:pPr>
            <w:r>
              <w:rPr>
                <w:rFonts w:ascii="Arial" w:cs="Arial" w:eastAsia="Arial" w:hAnsi="Arial"/>
                <w:sz w:val="14"/>
                <w:szCs w:val="14"/>
                <w:color w:val="001641"/>
              </w:rPr>
              <w:t>Good Reason</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
        </w:trPr>
        <w:tc>
          <w:tcPr>
            <w:tcW w:w="202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580" w:type="dxa"/>
            <w:vAlign w:val="bottom"/>
            <w:tcBorders>
              <w:bottom w:val="single" w:sz="8" w:color="BFA071"/>
            </w:tcBorders>
          </w:tcPr>
          <w:p>
            <w:pPr>
              <w:spacing w:after="0" w:line="20" w:lineRule="exact"/>
              <w:rPr>
                <w:sz w:val="1"/>
                <w:szCs w:val="1"/>
                <w:color w:val="auto"/>
              </w:rPr>
            </w:pPr>
          </w:p>
        </w:tc>
        <w:tc>
          <w:tcPr>
            <w:tcW w:w="640" w:type="dxa"/>
            <w:vAlign w:val="bottom"/>
            <w:tcBorders>
              <w:bottom w:val="single" w:sz="8" w:color="BFA071"/>
            </w:tcBorders>
          </w:tcPr>
          <w:p>
            <w:pPr>
              <w:spacing w:after="0" w:line="20" w:lineRule="exact"/>
              <w:rPr>
                <w:sz w:val="1"/>
                <w:szCs w:val="1"/>
                <w:color w:val="auto"/>
              </w:rPr>
            </w:pPr>
          </w:p>
        </w:tc>
        <w:tc>
          <w:tcPr>
            <w:tcW w:w="840" w:type="dxa"/>
            <w:vAlign w:val="bottom"/>
            <w:tcBorders>
              <w:bottom w:val="single" w:sz="8" w:color="BFA071"/>
            </w:tcBorders>
          </w:tcPr>
          <w:p>
            <w:pPr>
              <w:spacing w:after="0" w:line="20" w:lineRule="exact"/>
              <w:rPr>
                <w:sz w:val="1"/>
                <w:szCs w:val="1"/>
                <w:color w:val="auto"/>
              </w:rPr>
            </w:pPr>
          </w:p>
        </w:tc>
        <w:tc>
          <w:tcPr>
            <w:tcW w:w="1560" w:type="dxa"/>
            <w:vAlign w:val="bottom"/>
            <w:tcBorders>
              <w:bottom w:val="single" w:sz="8" w:color="BFA071"/>
            </w:tcBorders>
            <w:gridSpan w:val="2"/>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580" w:type="dxa"/>
            <w:vAlign w:val="bottom"/>
            <w:tcBorders>
              <w:bottom w:val="single" w:sz="8" w:color="BFA071"/>
            </w:tcBorders>
          </w:tcPr>
          <w:p>
            <w:pPr>
              <w:spacing w:after="0" w:line="20" w:lineRule="exact"/>
              <w:rPr>
                <w:sz w:val="1"/>
                <w:szCs w:val="1"/>
                <w:color w:val="auto"/>
              </w:rPr>
            </w:pPr>
          </w:p>
        </w:tc>
        <w:tc>
          <w:tcPr>
            <w:tcW w:w="300" w:type="dxa"/>
            <w:vAlign w:val="bottom"/>
            <w:tcBorders>
              <w:bottom w:val="single" w:sz="8" w:color="BFA071"/>
            </w:tcBorders>
          </w:tcPr>
          <w:p>
            <w:pPr>
              <w:spacing w:after="0" w:line="20" w:lineRule="exact"/>
              <w:rPr>
                <w:sz w:val="1"/>
                <w:szCs w:val="1"/>
                <w:color w:val="auto"/>
              </w:rPr>
            </w:pPr>
          </w:p>
        </w:tc>
        <w:tc>
          <w:tcPr>
            <w:tcW w:w="780" w:type="dxa"/>
            <w:vAlign w:val="bottom"/>
            <w:tcBorders>
              <w:bottom w:val="single" w:sz="8" w:color="BFA071"/>
            </w:tcBorders>
          </w:tcPr>
          <w:p>
            <w:pPr>
              <w:spacing w:after="0" w:line="20" w:lineRule="exact"/>
              <w:rPr>
                <w:sz w:val="1"/>
                <w:szCs w:val="1"/>
                <w:color w:val="auto"/>
              </w:rPr>
            </w:pPr>
          </w:p>
        </w:tc>
      </w:tr>
      <w:tr>
        <w:trPr>
          <w:trHeight w:val="250"/>
        </w:trPr>
        <w:tc>
          <w:tcPr>
            <w:tcW w:w="2020" w:type="dxa"/>
            <w:vAlign w:val="bottom"/>
            <w:tcBorders>
              <w:bottom w:val="single" w:sz="8" w:color="BFA071"/>
            </w:tcBorders>
          </w:tcPr>
          <w:p>
            <w:pPr>
              <w:ind w:left="120"/>
              <w:spacing w:after="0"/>
              <w:rPr>
                <w:sz w:val="20"/>
                <w:szCs w:val="20"/>
                <w:color w:val="auto"/>
              </w:rPr>
            </w:pPr>
            <w:r>
              <w:rPr>
                <w:rFonts w:ascii="Arial" w:cs="Arial" w:eastAsia="Arial" w:hAnsi="Arial"/>
                <w:sz w:val="14"/>
                <w:szCs w:val="14"/>
                <w:color w:val="001641"/>
              </w:rPr>
              <w:t>Death or Disability</w:t>
            </w:r>
          </w:p>
        </w:tc>
        <w:tc>
          <w:tcPr>
            <w:tcW w:w="920" w:type="dxa"/>
            <w:vAlign w:val="bottom"/>
            <w:tcBorders>
              <w:bottom w:val="single" w:sz="8" w:color="BFA071"/>
            </w:tcBorders>
          </w:tcPr>
          <w:p>
            <w:pPr>
              <w:ind w:left="440"/>
              <w:spacing w:after="0"/>
              <w:rPr>
                <w:sz w:val="20"/>
                <w:szCs w:val="20"/>
                <w:color w:val="auto"/>
              </w:rPr>
            </w:pPr>
            <w:r>
              <w:rPr>
                <w:rFonts w:ascii="Arial" w:cs="Arial" w:eastAsia="Arial" w:hAnsi="Arial"/>
                <w:sz w:val="14"/>
                <w:szCs w:val="14"/>
                <w:color w:val="001641"/>
              </w:rPr>
              <w:t>$</w:t>
            </w:r>
          </w:p>
        </w:tc>
        <w:tc>
          <w:tcPr>
            <w:tcW w:w="580" w:type="dxa"/>
            <w:vAlign w:val="bottom"/>
            <w:tcBorders>
              <w:bottom w:val="single" w:sz="8" w:color="BFA071"/>
            </w:tcBorders>
          </w:tcPr>
          <w:p>
            <w:pPr>
              <w:jc w:val="right"/>
              <w:ind w:right="248"/>
              <w:spacing w:after="0"/>
              <w:rPr>
                <w:sz w:val="20"/>
                <w:szCs w:val="20"/>
                <w:color w:val="auto"/>
              </w:rPr>
            </w:pPr>
            <w:r>
              <w:rPr>
                <w:rFonts w:ascii="Arial" w:cs="Arial" w:eastAsia="Arial" w:hAnsi="Arial"/>
                <w:sz w:val="14"/>
                <w:szCs w:val="14"/>
                <w:color w:val="001641"/>
              </w:rPr>
              <w:t>0</w:t>
            </w:r>
          </w:p>
        </w:tc>
        <w:tc>
          <w:tcPr>
            <w:tcW w:w="640" w:type="dxa"/>
            <w:vAlign w:val="bottom"/>
            <w:tcBorders>
              <w:bottom w:val="single" w:sz="8" w:color="BFA071"/>
            </w:tcBorders>
          </w:tcPr>
          <w:p>
            <w:pPr>
              <w:ind w:left="460"/>
              <w:spacing w:after="0"/>
              <w:rPr>
                <w:sz w:val="20"/>
                <w:szCs w:val="20"/>
                <w:color w:val="auto"/>
              </w:rPr>
            </w:pPr>
            <w:r>
              <w:rPr>
                <w:rFonts w:ascii="Arial" w:cs="Arial" w:eastAsia="Arial" w:hAnsi="Arial"/>
                <w:sz w:val="14"/>
                <w:szCs w:val="14"/>
                <w:color w:val="001641"/>
              </w:rPr>
              <w:t>$</w:t>
            </w:r>
          </w:p>
        </w:tc>
        <w:tc>
          <w:tcPr>
            <w:tcW w:w="840" w:type="dxa"/>
            <w:vAlign w:val="bottom"/>
            <w:tcBorders>
              <w:bottom w:val="single" w:sz="8" w:color="BFA071"/>
            </w:tcBorders>
          </w:tcPr>
          <w:p>
            <w:pPr>
              <w:jc w:val="right"/>
              <w:ind w:right="228"/>
              <w:spacing w:after="0"/>
              <w:rPr>
                <w:sz w:val="20"/>
                <w:szCs w:val="20"/>
                <w:color w:val="auto"/>
              </w:rPr>
            </w:pPr>
            <w:r>
              <w:rPr>
                <w:rFonts w:ascii="Arial" w:cs="Arial" w:eastAsia="Arial" w:hAnsi="Arial"/>
                <w:sz w:val="14"/>
                <w:szCs w:val="14"/>
                <w:color w:val="001641"/>
              </w:rPr>
              <w:t>0</w:t>
            </w:r>
          </w:p>
        </w:tc>
        <w:tc>
          <w:tcPr>
            <w:tcW w:w="1560" w:type="dxa"/>
            <w:vAlign w:val="bottom"/>
            <w:tcBorders>
              <w:bottom w:val="single" w:sz="8" w:color="BFA071"/>
            </w:tcBorders>
            <w:gridSpan w:val="2"/>
          </w:tcPr>
          <w:p>
            <w:pPr>
              <w:ind w:left="560"/>
              <w:spacing w:after="0" w:line="250" w:lineRule="exact"/>
              <w:rPr>
                <w:sz w:val="20"/>
                <w:szCs w:val="20"/>
                <w:color w:val="auto"/>
              </w:rPr>
            </w:pPr>
            <w:r>
              <w:rPr>
                <w:rFonts w:ascii="Arial" w:cs="Arial" w:eastAsia="Arial" w:hAnsi="Arial"/>
                <w:sz w:val="14"/>
                <w:szCs w:val="14"/>
                <w:color w:val="001641"/>
              </w:rPr>
              <w:t>$6,061,501</w:t>
            </w:r>
            <w:r>
              <w:rPr>
                <w:rFonts w:ascii="Arial" w:cs="Arial" w:eastAsia="Arial" w:hAnsi="Arial"/>
                <w:sz w:val="23"/>
                <w:szCs w:val="23"/>
                <w:color w:val="001641"/>
                <w:vertAlign w:val="superscript"/>
              </w:rPr>
              <w:t>6</w:t>
            </w:r>
          </w:p>
        </w:tc>
        <w:tc>
          <w:tcPr>
            <w:tcW w:w="960" w:type="dxa"/>
            <w:vAlign w:val="bottom"/>
            <w:tcBorders>
              <w:bottom w:val="single" w:sz="8" w:color="BFA071"/>
            </w:tcBorders>
          </w:tcPr>
          <w:p>
            <w:pPr>
              <w:jc w:val="center"/>
              <w:ind w:left="448"/>
              <w:spacing w:after="0"/>
              <w:rPr>
                <w:sz w:val="20"/>
                <w:szCs w:val="20"/>
                <w:color w:val="auto"/>
              </w:rPr>
            </w:pPr>
            <w:r>
              <w:rPr>
                <w:rFonts w:ascii="Arial" w:cs="Arial" w:eastAsia="Arial" w:hAnsi="Arial"/>
                <w:sz w:val="14"/>
                <w:szCs w:val="14"/>
                <w:color w:val="001641"/>
              </w:rPr>
              <w:t>$</w:t>
            </w:r>
          </w:p>
        </w:tc>
        <w:tc>
          <w:tcPr>
            <w:tcW w:w="580" w:type="dxa"/>
            <w:vAlign w:val="bottom"/>
            <w:tcBorders>
              <w:bottom w:val="single" w:sz="8" w:color="BFA071"/>
            </w:tcBorders>
          </w:tcPr>
          <w:p>
            <w:pPr>
              <w:jc w:val="right"/>
              <w:ind w:right="248"/>
              <w:spacing w:after="0"/>
              <w:rPr>
                <w:sz w:val="20"/>
                <w:szCs w:val="20"/>
                <w:color w:val="auto"/>
              </w:rPr>
            </w:pPr>
            <w:r>
              <w:rPr>
                <w:rFonts w:ascii="Arial" w:cs="Arial" w:eastAsia="Arial" w:hAnsi="Arial"/>
                <w:sz w:val="14"/>
                <w:szCs w:val="14"/>
                <w:color w:val="001641"/>
              </w:rPr>
              <w:t>0</w:t>
            </w:r>
          </w:p>
        </w:tc>
        <w:tc>
          <w:tcPr>
            <w:tcW w:w="300" w:type="dxa"/>
            <w:vAlign w:val="bottom"/>
            <w:tcBorders>
              <w:bottom w:val="single" w:sz="8" w:color="BFA071"/>
            </w:tcBorders>
          </w:tcPr>
          <w:p>
            <w:pPr>
              <w:jc w:val="right"/>
              <w:spacing w:after="0"/>
              <w:rPr>
                <w:sz w:val="20"/>
                <w:szCs w:val="20"/>
                <w:color w:val="auto"/>
              </w:rPr>
            </w:pPr>
            <w:r>
              <w:rPr>
                <w:rFonts w:ascii="Arial" w:cs="Arial" w:eastAsia="Arial" w:hAnsi="Arial"/>
                <w:sz w:val="14"/>
                <w:szCs w:val="14"/>
                <w:color w:val="001641"/>
              </w:rPr>
              <w:t>$</w:t>
            </w:r>
          </w:p>
        </w:tc>
        <w:tc>
          <w:tcPr>
            <w:tcW w:w="780" w:type="dxa"/>
            <w:vAlign w:val="bottom"/>
            <w:tcBorders>
              <w:bottom w:val="single" w:sz="8" w:color="BFA071"/>
            </w:tcBorders>
          </w:tcPr>
          <w:p>
            <w:pPr>
              <w:jc w:val="right"/>
              <w:ind w:right="28"/>
              <w:spacing w:after="0"/>
              <w:rPr>
                <w:sz w:val="20"/>
                <w:szCs w:val="20"/>
                <w:color w:val="auto"/>
              </w:rPr>
            </w:pPr>
            <w:r>
              <w:rPr>
                <w:rFonts w:ascii="Arial" w:cs="Arial" w:eastAsia="Arial" w:hAnsi="Arial"/>
                <w:sz w:val="14"/>
                <w:szCs w:val="14"/>
                <w:color w:val="001641"/>
              </w:rPr>
              <w:t>6,061,501</w:t>
            </w:r>
          </w:p>
        </w:tc>
      </w:tr>
      <w:tr>
        <w:trPr>
          <w:trHeight w:val="183"/>
        </w:trPr>
        <w:tc>
          <w:tcPr>
            <w:tcW w:w="2020" w:type="dxa"/>
            <w:vAlign w:val="bottom"/>
          </w:tcPr>
          <w:p>
            <w:pPr>
              <w:ind w:left="120"/>
              <w:spacing w:after="0"/>
              <w:rPr>
                <w:sz w:val="20"/>
                <w:szCs w:val="20"/>
                <w:color w:val="auto"/>
              </w:rPr>
            </w:pPr>
            <w:r>
              <w:rPr>
                <w:rFonts w:ascii="Arial" w:cs="Arial" w:eastAsia="Arial" w:hAnsi="Arial"/>
                <w:sz w:val="14"/>
                <w:szCs w:val="14"/>
                <w:color w:val="001641"/>
              </w:rPr>
              <w:t>Change in Control with</w:t>
            </w:r>
          </w:p>
        </w:tc>
        <w:tc>
          <w:tcPr>
            <w:tcW w:w="1500" w:type="dxa"/>
            <w:vAlign w:val="bottom"/>
            <w:gridSpan w:val="2"/>
          </w:tcPr>
          <w:p>
            <w:pPr>
              <w:ind w:left="440"/>
              <w:spacing w:after="0"/>
              <w:rPr>
                <w:sz w:val="20"/>
                <w:szCs w:val="20"/>
                <w:color w:val="auto"/>
              </w:rPr>
            </w:pPr>
            <w:r>
              <w:rPr>
                <w:rFonts w:ascii="Arial" w:cs="Arial" w:eastAsia="Arial" w:hAnsi="Arial"/>
                <w:sz w:val="14"/>
                <w:szCs w:val="14"/>
                <w:color w:val="001641"/>
              </w:rPr>
              <w:t>$2,000,000</w:t>
            </w:r>
          </w:p>
        </w:tc>
        <w:tc>
          <w:tcPr>
            <w:tcW w:w="1480" w:type="dxa"/>
            <w:vAlign w:val="bottom"/>
            <w:gridSpan w:val="2"/>
          </w:tcPr>
          <w:p>
            <w:pPr>
              <w:ind w:left="460"/>
              <w:spacing w:after="0" w:line="183" w:lineRule="exact"/>
              <w:rPr>
                <w:sz w:val="20"/>
                <w:szCs w:val="20"/>
                <w:color w:val="auto"/>
              </w:rPr>
            </w:pPr>
            <w:r>
              <w:rPr>
                <w:rFonts w:ascii="Arial" w:cs="Arial" w:eastAsia="Arial" w:hAnsi="Arial"/>
                <w:sz w:val="13"/>
                <w:szCs w:val="13"/>
                <w:color w:val="001641"/>
              </w:rPr>
              <w:t>$3,750,000</w:t>
            </w:r>
            <w:r>
              <w:rPr>
                <w:rFonts w:ascii="Arial" w:cs="Arial" w:eastAsia="Arial" w:hAnsi="Arial"/>
                <w:sz w:val="21"/>
                <w:szCs w:val="21"/>
                <w:color w:val="001641"/>
                <w:vertAlign w:val="superscript"/>
              </w:rPr>
              <w:t>5</w:t>
            </w:r>
          </w:p>
        </w:tc>
        <w:tc>
          <w:tcPr>
            <w:tcW w:w="1560" w:type="dxa"/>
            <w:vAlign w:val="bottom"/>
            <w:gridSpan w:val="2"/>
          </w:tcPr>
          <w:p>
            <w:pPr>
              <w:ind w:left="560"/>
              <w:spacing w:after="0"/>
              <w:rPr>
                <w:sz w:val="20"/>
                <w:szCs w:val="20"/>
                <w:color w:val="auto"/>
              </w:rPr>
            </w:pPr>
            <w:r>
              <w:rPr>
                <w:rFonts w:ascii="Arial" w:cs="Arial" w:eastAsia="Arial" w:hAnsi="Arial"/>
                <w:sz w:val="14"/>
                <w:szCs w:val="14"/>
                <w:color w:val="001641"/>
              </w:rPr>
              <w:t>$7,619,520</w:t>
            </w:r>
          </w:p>
        </w:tc>
        <w:tc>
          <w:tcPr>
            <w:tcW w:w="1540" w:type="dxa"/>
            <w:vAlign w:val="bottom"/>
            <w:gridSpan w:val="2"/>
          </w:tcPr>
          <w:p>
            <w:pPr>
              <w:jc w:val="right"/>
              <w:ind w:right="248"/>
              <w:spacing w:after="0"/>
              <w:rPr>
                <w:sz w:val="20"/>
                <w:szCs w:val="20"/>
                <w:color w:val="auto"/>
              </w:rPr>
            </w:pPr>
            <w:r>
              <w:rPr>
                <w:rFonts w:ascii="Arial" w:cs="Arial" w:eastAsia="Arial" w:hAnsi="Arial"/>
                <w:sz w:val="14"/>
                <w:szCs w:val="14"/>
                <w:color w:val="001641"/>
              </w:rPr>
              <w:t>$97,825</w:t>
            </w: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001641"/>
              </w:rPr>
              <w:t>$13,467,345</w:t>
            </w:r>
          </w:p>
        </w:tc>
      </w:tr>
      <w:tr>
        <w:trPr>
          <w:trHeight w:val="189"/>
        </w:trPr>
        <w:tc>
          <w:tcPr>
            <w:tcW w:w="2020" w:type="dxa"/>
            <w:vAlign w:val="bottom"/>
            <w:tcBorders>
              <w:bottom w:val="single" w:sz="8" w:color="001641"/>
            </w:tcBorders>
          </w:tcPr>
          <w:p>
            <w:pPr>
              <w:ind w:left="120"/>
              <w:spacing w:after="0"/>
              <w:rPr>
                <w:sz w:val="20"/>
                <w:szCs w:val="20"/>
                <w:color w:val="auto"/>
              </w:rPr>
            </w:pPr>
            <w:r>
              <w:rPr>
                <w:rFonts w:ascii="Arial" w:cs="Arial" w:eastAsia="Arial" w:hAnsi="Arial"/>
                <w:sz w:val="14"/>
                <w:szCs w:val="14"/>
                <w:color w:val="001641"/>
              </w:rPr>
              <w:t>Termination</w:t>
            </w:r>
          </w:p>
        </w:tc>
        <w:tc>
          <w:tcPr>
            <w:tcW w:w="920" w:type="dxa"/>
            <w:vAlign w:val="bottom"/>
            <w:tcBorders>
              <w:bottom w:val="single" w:sz="8" w:color="001641"/>
            </w:tcBorders>
          </w:tcPr>
          <w:p>
            <w:pPr>
              <w:spacing w:after="0"/>
              <w:rPr>
                <w:sz w:val="16"/>
                <w:szCs w:val="16"/>
                <w:color w:val="auto"/>
              </w:rPr>
            </w:pPr>
          </w:p>
        </w:tc>
        <w:tc>
          <w:tcPr>
            <w:tcW w:w="580" w:type="dxa"/>
            <w:vAlign w:val="bottom"/>
            <w:tcBorders>
              <w:bottom w:val="single" w:sz="8" w:color="001641"/>
            </w:tcBorders>
          </w:tcPr>
          <w:p>
            <w:pPr>
              <w:spacing w:after="0"/>
              <w:rPr>
                <w:sz w:val="16"/>
                <w:szCs w:val="16"/>
                <w:color w:val="auto"/>
              </w:rPr>
            </w:pPr>
          </w:p>
        </w:tc>
        <w:tc>
          <w:tcPr>
            <w:tcW w:w="640" w:type="dxa"/>
            <w:vAlign w:val="bottom"/>
            <w:tcBorders>
              <w:bottom w:val="single" w:sz="8" w:color="001641"/>
            </w:tcBorders>
          </w:tcPr>
          <w:p>
            <w:pPr>
              <w:spacing w:after="0"/>
              <w:rPr>
                <w:sz w:val="16"/>
                <w:szCs w:val="16"/>
                <w:color w:val="auto"/>
              </w:rPr>
            </w:pPr>
          </w:p>
        </w:tc>
        <w:tc>
          <w:tcPr>
            <w:tcW w:w="840" w:type="dxa"/>
            <w:vAlign w:val="bottom"/>
            <w:tcBorders>
              <w:bottom w:val="single" w:sz="8" w:color="001641"/>
            </w:tcBorders>
          </w:tcPr>
          <w:p>
            <w:pPr>
              <w:spacing w:after="0"/>
              <w:rPr>
                <w:sz w:val="16"/>
                <w:szCs w:val="16"/>
                <w:color w:val="auto"/>
              </w:rPr>
            </w:pPr>
          </w:p>
        </w:tc>
        <w:tc>
          <w:tcPr>
            <w:tcW w:w="720" w:type="dxa"/>
            <w:vAlign w:val="bottom"/>
            <w:tcBorders>
              <w:bottom w:val="single" w:sz="8" w:color="001641"/>
            </w:tcBorders>
          </w:tcPr>
          <w:p>
            <w:pPr>
              <w:spacing w:after="0"/>
              <w:rPr>
                <w:sz w:val="16"/>
                <w:szCs w:val="16"/>
                <w:color w:val="auto"/>
              </w:rPr>
            </w:pPr>
          </w:p>
        </w:tc>
        <w:tc>
          <w:tcPr>
            <w:tcW w:w="840" w:type="dxa"/>
            <w:vAlign w:val="bottom"/>
            <w:tcBorders>
              <w:bottom w:val="single" w:sz="8" w:color="001641"/>
            </w:tcBorders>
          </w:tcPr>
          <w:p>
            <w:pPr>
              <w:spacing w:after="0"/>
              <w:rPr>
                <w:sz w:val="16"/>
                <w:szCs w:val="16"/>
                <w:color w:val="auto"/>
              </w:rPr>
            </w:pPr>
          </w:p>
        </w:tc>
        <w:tc>
          <w:tcPr>
            <w:tcW w:w="960" w:type="dxa"/>
            <w:vAlign w:val="bottom"/>
            <w:tcBorders>
              <w:bottom w:val="single" w:sz="8" w:color="001641"/>
            </w:tcBorders>
          </w:tcPr>
          <w:p>
            <w:pPr>
              <w:spacing w:after="0"/>
              <w:rPr>
                <w:sz w:val="16"/>
                <w:szCs w:val="16"/>
                <w:color w:val="auto"/>
              </w:rPr>
            </w:pPr>
          </w:p>
        </w:tc>
        <w:tc>
          <w:tcPr>
            <w:tcW w:w="580" w:type="dxa"/>
            <w:vAlign w:val="bottom"/>
            <w:tcBorders>
              <w:bottom w:val="single" w:sz="8" w:color="001641"/>
            </w:tcBorders>
          </w:tcPr>
          <w:p>
            <w:pPr>
              <w:spacing w:after="0"/>
              <w:rPr>
                <w:sz w:val="16"/>
                <w:szCs w:val="16"/>
                <w:color w:val="auto"/>
              </w:rPr>
            </w:pPr>
          </w:p>
        </w:tc>
        <w:tc>
          <w:tcPr>
            <w:tcW w:w="300" w:type="dxa"/>
            <w:vAlign w:val="bottom"/>
            <w:tcBorders>
              <w:bottom w:val="single" w:sz="8" w:color="001641"/>
            </w:tcBorders>
          </w:tcPr>
          <w:p>
            <w:pPr>
              <w:spacing w:after="0"/>
              <w:rPr>
                <w:sz w:val="16"/>
                <w:szCs w:val="16"/>
                <w:color w:val="auto"/>
              </w:rPr>
            </w:pPr>
          </w:p>
        </w:tc>
        <w:tc>
          <w:tcPr>
            <w:tcW w:w="780" w:type="dxa"/>
            <w:vAlign w:val="bottom"/>
            <w:tcBorders>
              <w:bottom w:val="single" w:sz="8" w:color="001641"/>
            </w:tcBorders>
          </w:tcPr>
          <w:p>
            <w:pPr>
              <w:spacing w:after="0"/>
              <w:rPr>
                <w:sz w:val="16"/>
                <w:szCs w:val="16"/>
                <w:color w:val="auto"/>
              </w:rPr>
            </w:pPr>
          </w:p>
        </w:tc>
      </w:tr>
    </w:tbl>
    <w:p>
      <w:pPr>
        <w:spacing w:after="0" w:line="153" w:lineRule="exact"/>
        <w:rPr>
          <w:sz w:val="20"/>
          <w:szCs w:val="20"/>
          <w:color w:val="auto"/>
        </w:rPr>
      </w:pPr>
    </w:p>
    <w:p>
      <w:pPr>
        <w:ind w:left="246" w:right="20" w:hanging="246"/>
        <w:spacing w:after="0" w:line="263" w:lineRule="auto"/>
        <w:tabs>
          <w:tab w:leader="none" w:pos="246" w:val="left"/>
        </w:tabs>
        <w:numPr>
          <w:ilvl w:val="0"/>
          <w:numId w:val="89"/>
        </w:numPr>
        <w:rPr>
          <w:rFonts w:ascii="Arial" w:cs="Arial" w:eastAsia="Arial" w:hAnsi="Arial"/>
          <w:sz w:val="14"/>
          <w:szCs w:val="14"/>
          <w:color w:val="4C4C4C"/>
        </w:rPr>
      </w:pPr>
      <w:r>
        <w:rPr>
          <w:rFonts w:ascii="Arial" w:cs="Arial" w:eastAsia="Arial" w:hAnsi="Arial"/>
          <w:sz w:val="14"/>
          <w:szCs w:val="14"/>
          <w:color w:val="4C4C4C"/>
        </w:rPr>
        <w:t>In the event of a termination by the Company without cause or by Mr. Ranftl for good reason and pursuant to his employment agreement, we would continue to pay Mr. Ranftl his base salary for one year. In the event of a qualifying termination in connection with a change in control Mr. Ranftl would be entitled to a lump sum payment equal to two times his base salary.</w:t>
      </w:r>
    </w:p>
    <w:p>
      <w:pPr>
        <w:spacing w:after="0" w:line="10" w:lineRule="exact"/>
        <w:rPr>
          <w:rFonts w:ascii="Arial" w:cs="Arial" w:eastAsia="Arial" w:hAnsi="Arial"/>
          <w:sz w:val="14"/>
          <w:szCs w:val="14"/>
          <w:color w:val="4C4C4C"/>
        </w:rPr>
      </w:pPr>
    </w:p>
    <w:p>
      <w:pPr>
        <w:ind w:left="246" w:right="220" w:hanging="246"/>
        <w:spacing w:after="0" w:line="281" w:lineRule="auto"/>
        <w:tabs>
          <w:tab w:leader="none" w:pos="246" w:val="left"/>
        </w:tabs>
        <w:numPr>
          <w:ilvl w:val="0"/>
          <w:numId w:val="89"/>
        </w:numPr>
        <w:rPr>
          <w:rFonts w:ascii="Arial" w:cs="Arial" w:eastAsia="Arial" w:hAnsi="Arial"/>
          <w:sz w:val="14"/>
          <w:szCs w:val="14"/>
          <w:color w:val="4C4C4C"/>
        </w:rPr>
      </w:pPr>
      <w:r>
        <w:rPr>
          <w:rFonts w:ascii="Arial" w:cs="Arial" w:eastAsia="Arial" w:hAnsi="Arial"/>
          <w:sz w:val="14"/>
          <w:szCs w:val="14"/>
          <w:color w:val="4C4C4C"/>
        </w:rPr>
        <w:t>Represents the value associated with the acceleration or continuation (as the case may be) of the vesting of equity awards. In the case of RSUs and PSUs, the value was based on the NYSE closing price of Class A Common Stock on March 27, 2026, which was $327.82.</w:t>
      </w:r>
    </w:p>
    <w:p>
      <w:pPr>
        <w:spacing w:after="0" w:line="1" w:lineRule="exact"/>
        <w:rPr>
          <w:rFonts w:ascii="Arial" w:cs="Arial" w:eastAsia="Arial" w:hAnsi="Arial"/>
          <w:sz w:val="14"/>
          <w:szCs w:val="14"/>
          <w:color w:val="4C4C4C"/>
        </w:rPr>
      </w:pPr>
    </w:p>
    <w:p>
      <w:pPr>
        <w:ind w:left="246" w:hanging="246"/>
        <w:spacing w:after="0"/>
        <w:tabs>
          <w:tab w:leader="none" w:pos="246" w:val="left"/>
        </w:tabs>
        <w:numPr>
          <w:ilvl w:val="0"/>
          <w:numId w:val="89"/>
        </w:numPr>
        <w:rPr>
          <w:rFonts w:ascii="Arial" w:cs="Arial" w:eastAsia="Arial" w:hAnsi="Arial"/>
          <w:sz w:val="14"/>
          <w:szCs w:val="14"/>
          <w:color w:val="4C4C4C"/>
        </w:rPr>
      </w:pPr>
      <w:r>
        <w:rPr>
          <w:rFonts w:ascii="Arial" w:cs="Arial" w:eastAsia="Arial" w:hAnsi="Arial"/>
          <w:sz w:val="14"/>
          <w:szCs w:val="14"/>
          <w:color w:val="4C4C4C"/>
        </w:rPr>
        <w:t>Represents the cost of providing medical and dental benefits during the applicable severance period.</w:t>
      </w:r>
    </w:p>
    <w:p>
      <w:pPr>
        <w:spacing w:after="0" w:line="55" w:lineRule="exact"/>
        <w:rPr>
          <w:rFonts w:ascii="Arial" w:cs="Arial" w:eastAsia="Arial" w:hAnsi="Arial"/>
          <w:sz w:val="14"/>
          <w:szCs w:val="14"/>
          <w:color w:val="4C4C4C"/>
        </w:rPr>
      </w:pPr>
    </w:p>
    <w:p>
      <w:pPr>
        <w:ind w:left="246" w:hanging="246"/>
        <w:spacing w:after="0"/>
        <w:tabs>
          <w:tab w:leader="none" w:pos="246" w:val="left"/>
        </w:tabs>
        <w:numPr>
          <w:ilvl w:val="0"/>
          <w:numId w:val="89"/>
        </w:numPr>
        <w:rPr>
          <w:rFonts w:ascii="Arial" w:cs="Arial" w:eastAsia="Arial" w:hAnsi="Arial"/>
          <w:sz w:val="14"/>
          <w:szCs w:val="14"/>
          <w:color w:val="4C4C4C"/>
        </w:rPr>
      </w:pPr>
      <w:r>
        <w:rPr>
          <w:rFonts w:ascii="Arial" w:cs="Arial" w:eastAsia="Arial" w:hAnsi="Arial"/>
          <w:sz w:val="14"/>
          <w:szCs w:val="14"/>
          <w:color w:val="4C4C4C"/>
        </w:rPr>
        <w:t>Represents 100% of base salary.</w:t>
      </w:r>
    </w:p>
    <w:p>
      <w:pPr>
        <w:spacing w:after="0" w:line="55" w:lineRule="exact"/>
        <w:rPr>
          <w:rFonts w:ascii="Arial" w:cs="Arial" w:eastAsia="Arial" w:hAnsi="Arial"/>
          <w:sz w:val="14"/>
          <w:szCs w:val="14"/>
          <w:color w:val="4C4C4C"/>
        </w:rPr>
      </w:pPr>
    </w:p>
    <w:p>
      <w:pPr>
        <w:ind w:left="246" w:hanging="246"/>
        <w:spacing w:after="0"/>
        <w:tabs>
          <w:tab w:leader="none" w:pos="246" w:val="left"/>
        </w:tabs>
        <w:numPr>
          <w:ilvl w:val="0"/>
          <w:numId w:val="89"/>
        </w:numPr>
        <w:rPr>
          <w:rFonts w:ascii="Arial" w:cs="Arial" w:eastAsia="Arial" w:hAnsi="Arial"/>
          <w:sz w:val="14"/>
          <w:szCs w:val="14"/>
          <w:color w:val="4C4C4C"/>
        </w:rPr>
      </w:pPr>
      <w:r>
        <w:rPr>
          <w:rFonts w:ascii="Arial" w:cs="Arial" w:eastAsia="Arial" w:hAnsi="Arial"/>
          <w:sz w:val="14"/>
          <w:szCs w:val="14"/>
          <w:color w:val="4C4C4C"/>
        </w:rPr>
        <w:t>Represents two times the bonus paid to Mr. Ranftl for the most recently completed fiscal immediately preceding the year of termination.</w:t>
      </w:r>
    </w:p>
    <w:p>
      <w:pPr>
        <w:spacing w:after="0" w:line="55" w:lineRule="exact"/>
        <w:rPr>
          <w:rFonts w:ascii="Arial" w:cs="Arial" w:eastAsia="Arial" w:hAnsi="Arial"/>
          <w:sz w:val="14"/>
          <w:szCs w:val="14"/>
          <w:color w:val="4C4C4C"/>
        </w:rPr>
      </w:pPr>
    </w:p>
    <w:p>
      <w:pPr>
        <w:ind w:left="246" w:hanging="246"/>
        <w:spacing w:after="0"/>
        <w:tabs>
          <w:tab w:leader="none" w:pos="246" w:val="left"/>
        </w:tabs>
        <w:numPr>
          <w:ilvl w:val="0"/>
          <w:numId w:val="89"/>
        </w:numPr>
        <w:rPr>
          <w:rFonts w:ascii="Arial" w:cs="Arial" w:eastAsia="Arial" w:hAnsi="Arial"/>
          <w:sz w:val="14"/>
          <w:szCs w:val="14"/>
          <w:color w:val="4C4C4C"/>
        </w:rPr>
      </w:pPr>
      <w:r>
        <w:rPr>
          <w:rFonts w:ascii="Arial" w:cs="Arial" w:eastAsia="Arial" w:hAnsi="Arial"/>
          <w:sz w:val="14"/>
          <w:szCs w:val="14"/>
          <w:color w:val="4C4C4C"/>
        </w:rPr>
        <w:t>If maximum performance for PSUs is reached, the value would increase by $3,794,298.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8293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001641"/>
        </w:rPr>
        <w:t xml:space="preserve">102 </w:t>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13" w:name="page114"/>
    <w:bookmarkEnd w:id="113"/>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6" w:lineRule="exact"/>
        <w:rPr>
          <w:sz w:val="20"/>
          <w:szCs w:val="20"/>
          <w:color w:val="auto"/>
        </w:rPr>
      </w:pPr>
    </w:p>
    <w:tbl>
      <w:tblPr>
        <w:tblLayout w:type="fixed"/>
        <w:tblInd w:w="6" w:type="dxa"/>
        <w:tblCellMar>
          <w:top w:w="0" w:type="dxa"/>
          <w:left w:w="0" w:type="dxa"/>
          <w:bottom w:w="0" w:type="dxa"/>
          <w:right w:w="0" w:type="dxa"/>
        </w:tblCellMar>
      </w:tblPr>
      <w:tr>
        <w:trPr>
          <w:trHeight w:val="303"/>
        </w:trPr>
        <w:tc>
          <w:tcPr>
            <w:tcW w:w="2740" w:type="dxa"/>
            <w:vAlign w:val="bottom"/>
            <w:gridSpan w:val="2"/>
            <w:shd w:val="clear" w:color="auto" w:fill="BFA071"/>
          </w:tcPr>
          <w:p>
            <w:pPr>
              <w:ind w:left="120"/>
              <w:spacing w:after="0"/>
              <w:rPr>
                <w:sz w:val="20"/>
                <w:szCs w:val="20"/>
                <w:color w:val="auto"/>
              </w:rPr>
            </w:pPr>
            <w:r>
              <w:rPr>
                <w:rFonts w:ascii="Arial" w:cs="Arial" w:eastAsia="Arial" w:hAnsi="Arial"/>
                <w:sz w:val="14"/>
                <w:szCs w:val="14"/>
                <w:b w:val="1"/>
                <w:bCs w:val="1"/>
                <w:color w:val="FFFFFF"/>
              </w:rPr>
              <w:t>Chief Financial Officer – Justin Picicci</w:t>
            </w:r>
          </w:p>
        </w:tc>
        <w:tc>
          <w:tcPr>
            <w:tcW w:w="820" w:type="dxa"/>
            <w:vAlign w:val="bottom"/>
            <w:shd w:val="clear" w:color="auto" w:fill="BFA071"/>
          </w:tcPr>
          <w:p>
            <w:pPr>
              <w:spacing w:after="0"/>
              <w:rPr>
                <w:sz w:val="24"/>
                <w:szCs w:val="24"/>
                <w:color w:val="auto"/>
              </w:rPr>
            </w:pPr>
          </w:p>
        </w:tc>
        <w:tc>
          <w:tcPr>
            <w:tcW w:w="640" w:type="dxa"/>
            <w:vAlign w:val="bottom"/>
            <w:shd w:val="clear" w:color="auto" w:fill="BFA071"/>
          </w:tcPr>
          <w:p>
            <w:pPr>
              <w:spacing w:after="0"/>
              <w:rPr>
                <w:sz w:val="24"/>
                <w:szCs w:val="24"/>
                <w:color w:val="auto"/>
              </w:rPr>
            </w:pPr>
          </w:p>
        </w:tc>
        <w:tc>
          <w:tcPr>
            <w:tcW w:w="880" w:type="dxa"/>
            <w:vAlign w:val="bottom"/>
            <w:shd w:val="clear" w:color="auto" w:fill="BFA071"/>
          </w:tcPr>
          <w:p>
            <w:pPr>
              <w:spacing w:after="0"/>
              <w:rPr>
                <w:sz w:val="24"/>
                <w:szCs w:val="24"/>
                <w:color w:val="auto"/>
              </w:rPr>
            </w:pPr>
          </w:p>
        </w:tc>
        <w:tc>
          <w:tcPr>
            <w:tcW w:w="540" w:type="dxa"/>
            <w:vAlign w:val="bottom"/>
            <w:shd w:val="clear" w:color="auto" w:fill="BFA071"/>
          </w:tcPr>
          <w:p>
            <w:pPr>
              <w:spacing w:after="0"/>
              <w:rPr>
                <w:sz w:val="24"/>
                <w:szCs w:val="24"/>
                <w:color w:val="auto"/>
              </w:rPr>
            </w:pPr>
          </w:p>
        </w:tc>
        <w:tc>
          <w:tcPr>
            <w:tcW w:w="1020" w:type="dxa"/>
            <w:vAlign w:val="bottom"/>
            <w:shd w:val="clear" w:color="auto" w:fill="BFA071"/>
          </w:tcPr>
          <w:p>
            <w:pPr>
              <w:spacing w:after="0"/>
              <w:rPr>
                <w:sz w:val="24"/>
                <w:szCs w:val="24"/>
                <w:color w:val="auto"/>
              </w:rPr>
            </w:pPr>
          </w:p>
        </w:tc>
        <w:tc>
          <w:tcPr>
            <w:tcW w:w="920" w:type="dxa"/>
            <w:vAlign w:val="bottom"/>
            <w:shd w:val="clear" w:color="auto" w:fill="BFA071"/>
          </w:tcPr>
          <w:p>
            <w:pPr>
              <w:spacing w:after="0"/>
              <w:rPr>
                <w:sz w:val="24"/>
                <w:szCs w:val="24"/>
                <w:color w:val="auto"/>
              </w:rPr>
            </w:pPr>
          </w:p>
        </w:tc>
        <w:tc>
          <w:tcPr>
            <w:tcW w:w="620" w:type="dxa"/>
            <w:vAlign w:val="bottom"/>
            <w:shd w:val="clear" w:color="auto" w:fill="BFA071"/>
          </w:tcPr>
          <w:p>
            <w:pPr>
              <w:spacing w:after="0"/>
              <w:rPr>
                <w:sz w:val="24"/>
                <w:szCs w:val="24"/>
                <w:color w:val="auto"/>
              </w:rPr>
            </w:pPr>
          </w:p>
        </w:tc>
        <w:tc>
          <w:tcPr>
            <w:tcW w:w="400" w:type="dxa"/>
            <w:vAlign w:val="bottom"/>
            <w:shd w:val="clear" w:color="auto" w:fill="BFA071"/>
          </w:tcPr>
          <w:p>
            <w:pPr>
              <w:spacing w:after="0"/>
              <w:rPr>
                <w:sz w:val="24"/>
                <w:szCs w:val="24"/>
                <w:color w:val="auto"/>
              </w:rPr>
            </w:pPr>
          </w:p>
        </w:tc>
        <w:tc>
          <w:tcPr>
            <w:tcW w:w="600" w:type="dxa"/>
            <w:vAlign w:val="bottom"/>
            <w:shd w:val="clear" w:color="auto" w:fill="BFA071"/>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40" w:type="dxa"/>
            <w:vAlign w:val="bottom"/>
            <w:shd w:val="clear" w:color="auto" w:fill="001641"/>
          </w:tcPr>
          <w:p>
            <w:pPr>
              <w:spacing w:after="0"/>
              <w:rPr>
                <w:sz w:val="17"/>
                <w:szCs w:val="17"/>
                <w:color w:val="auto"/>
              </w:rPr>
            </w:pPr>
          </w:p>
        </w:tc>
        <w:tc>
          <w:tcPr>
            <w:tcW w:w="700" w:type="dxa"/>
            <w:vAlign w:val="bottom"/>
            <w:shd w:val="clear" w:color="auto" w:fill="001641"/>
          </w:tcPr>
          <w:p>
            <w:pPr>
              <w:spacing w:after="0"/>
              <w:rPr>
                <w:sz w:val="17"/>
                <w:szCs w:val="17"/>
                <w:color w:val="auto"/>
              </w:rPr>
            </w:pPr>
          </w:p>
        </w:tc>
        <w:tc>
          <w:tcPr>
            <w:tcW w:w="820" w:type="dxa"/>
            <w:vAlign w:val="bottom"/>
            <w:shd w:val="clear" w:color="auto" w:fill="001641"/>
          </w:tcPr>
          <w:p>
            <w:pPr>
              <w:spacing w:after="0"/>
              <w:rPr>
                <w:sz w:val="17"/>
                <w:szCs w:val="17"/>
                <w:color w:val="auto"/>
              </w:rPr>
            </w:pPr>
          </w:p>
        </w:tc>
        <w:tc>
          <w:tcPr>
            <w:tcW w:w="640" w:type="dxa"/>
            <w:vAlign w:val="bottom"/>
            <w:shd w:val="clear" w:color="auto" w:fill="001641"/>
          </w:tcPr>
          <w:p>
            <w:pPr>
              <w:spacing w:after="0"/>
              <w:rPr>
                <w:sz w:val="17"/>
                <w:szCs w:val="17"/>
                <w:color w:val="auto"/>
              </w:rPr>
            </w:pPr>
          </w:p>
        </w:tc>
        <w:tc>
          <w:tcPr>
            <w:tcW w:w="880" w:type="dxa"/>
            <w:vAlign w:val="bottom"/>
            <w:shd w:val="clear" w:color="auto" w:fill="001641"/>
          </w:tcPr>
          <w:p>
            <w:pPr>
              <w:spacing w:after="0"/>
              <w:rPr>
                <w:sz w:val="17"/>
                <w:szCs w:val="17"/>
                <w:color w:val="auto"/>
              </w:rPr>
            </w:pPr>
          </w:p>
        </w:tc>
        <w:tc>
          <w:tcPr>
            <w:tcW w:w="540" w:type="dxa"/>
            <w:vAlign w:val="bottom"/>
            <w:shd w:val="clear" w:color="auto" w:fill="001641"/>
          </w:tcPr>
          <w:p>
            <w:pPr>
              <w:spacing w:after="0"/>
              <w:rPr>
                <w:sz w:val="17"/>
                <w:szCs w:val="17"/>
                <w:color w:val="auto"/>
              </w:rPr>
            </w:pPr>
          </w:p>
        </w:tc>
        <w:tc>
          <w:tcPr>
            <w:tcW w:w="1020" w:type="dxa"/>
            <w:vAlign w:val="bottom"/>
            <w:shd w:val="clear" w:color="auto" w:fill="001641"/>
          </w:tcPr>
          <w:p>
            <w:pPr>
              <w:spacing w:after="0"/>
              <w:rPr>
                <w:sz w:val="17"/>
                <w:szCs w:val="17"/>
                <w:color w:val="auto"/>
              </w:rPr>
            </w:pPr>
          </w:p>
        </w:tc>
        <w:tc>
          <w:tcPr>
            <w:tcW w:w="1540" w:type="dxa"/>
            <w:vAlign w:val="bottom"/>
            <w:gridSpan w:val="2"/>
            <w:shd w:val="clear" w:color="auto" w:fill="001641"/>
          </w:tcPr>
          <w:p>
            <w:pPr>
              <w:jc w:val="right"/>
              <w:ind w:right="148"/>
              <w:spacing w:after="0"/>
              <w:rPr>
                <w:sz w:val="20"/>
                <w:szCs w:val="20"/>
                <w:color w:val="auto"/>
              </w:rPr>
            </w:pPr>
            <w:r>
              <w:rPr>
                <w:rFonts w:ascii="Arial" w:cs="Arial" w:eastAsia="Arial" w:hAnsi="Arial"/>
                <w:sz w:val="14"/>
                <w:szCs w:val="14"/>
                <w:b w:val="1"/>
                <w:bCs w:val="1"/>
                <w:color w:val="FFFFFF"/>
              </w:rPr>
              <w:t>Continuation of</w:t>
            </w:r>
          </w:p>
        </w:tc>
        <w:tc>
          <w:tcPr>
            <w:tcW w:w="400" w:type="dxa"/>
            <w:vAlign w:val="bottom"/>
            <w:shd w:val="clear" w:color="auto" w:fill="001641"/>
          </w:tcPr>
          <w:p>
            <w:pPr>
              <w:spacing w:after="0"/>
              <w:rPr>
                <w:sz w:val="17"/>
                <w:szCs w:val="17"/>
                <w:color w:val="auto"/>
              </w:rPr>
            </w:pPr>
          </w:p>
        </w:tc>
        <w:tc>
          <w:tcPr>
            <w:tcW w:w="600" w:type="dxa"/>
            <w:vAlign w:val="bottom"/>
            <w:shd w:val="clear" w:color="auto" w:fill="001641"/>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001641"/>
          </w:tcPr>
          <w:p>
            <w:pPr>
              <w:spacing w:after="0"/>
              <w:rPr>
                <w:sz w:val="14"/>
                <w:szCs w:val="14"/>
                <w:color w:val="auto"/>
              </w:rPr>
            </w:pPr>
          </w:p>
        </w:tc>
        <w:tc>
          <w:tcPr>
            <w:tcW w:w="1520" w:type="dxa"/>
            <w:vAlign w:val="bottom"/>
            <w:gridSpan w:val="2"/>
            <w:shd w:val="clear" w:color="auto" w:fill="001641"/>
          </w:tcPr>
          <w:p>
            <w:pPr>
              <w:jc w:val="right"/>
              <w:ind w:right="148"/>
              <w:spacing w:after="0"/>
              <w:rPr>
                <w:sz w:val="20"/>
                <w:szCs w:val="20"/>
                <w:color w:val="auto"/>
              </w:rPr>
            </w:pPr>
            <w:r>
              <w:rPr>
                <w:rFonts w:ascii="Arial" w:cs="Arial" w:eastAsia="Arial" w:hAnsi="Arial"/>
                <w:sz w:val="14"/>
                <w:szCs w:val="14"/>
                <w:b w:val="1"/>
                <w:bCs w:val="1"/>
                <w:color w:val="FFFFFF"/>
              </w:rPr>
              <w:t>Cash Severance</w:t>
            </w:r>
          </w:p>
        </w:tc>
        <w:tc>
          <w:tcPr>
            <w:tcW w:w="1520" w:type="dxa"/>
            <w:vAlign w:val="bottom"/>
            <w:gridSpan w:val="2"/>
            <w:shd w:val="clear" w:color="auto" w:fill="001641"/>
          </w:tcPr>
          <w:p>
            <w:pPr>
              <w:ind w:left="180"/>
              <w:spacing w:after="0"/>
              <w:rPr>
                <w:sz w:val="20"/>
                <w:szCs w:val="20"/>
                <w:color w:val="auto"/>
              </w:rPr>
            </w:pPr>
            <w:r>
              <w:rPr>
                <w:rFonts w:ascii="Arial" w:cs="Arial" w:eastAsia="Arial" w:hAnsi="Arial"/>
                <w:sz w:val="14"/>
                <w:szCs w:val="14"/>
                <w:b w:val="1"/>
                <w:bCs w:val="1"/>
                <w:color w:val="FFFFFF"/>
              </w:rPr>
              <w:t>Cash Severance</w:t>
            </w:r>
          </w:p>
        </w:tc>
        <w:tc>
          <w:tcPr>
            <w:tcW w:w="1560" w:type="dxa"/>
            <w:vAlign w:val="bottom"/>
            <w:gridSpan w:val="2"/>
            <w:shd w:val="clear" w:color="auto" w:fill="001641"/>
          </w:tcPr>
          <w:p>
            <w:pPr>
              <w:ind w:left="180"/>
              <w:spacing w:after="0"/>
              <w:rPr>
                <w:sz w:val="20"/>
                <w:szCs w:val="20"/>
                <w:color w:val="auto"/>
              </w:rPr>
            </w:pPr>
            <w:r>
              <w:rPr>
                <w:rFonts w:ascii="Arial" w:cs="Arial" w:eastAsia="Arial" w:hAnsi="Arial"/>
                <w:sz w:val="14"/>
                <w:szCs w:val="14"/>
                <w:b w:val="1"/>
                <w:bCs w:val="1"/>
                <w:color w:val="FFFFFF"/>
              </w:rPr>
              <w:t>Vesting of Equity</w:t>
            </w:r>
          </w:p>
        </w:tc>
        <w:tc>
          <w:tcPr>
            <w:tcW w:w="1540" w:type="dxa"/>
            <w:vAlign w:val="bottom"/>
            <w:gridSpan w:val="2"/>
            <w:shd w:val="clear" w:color="auto" w:fill="001641"/>
          </w:tcPr>
          <w:p>
            <w:pPr>
              <w:jc w:val="right"/>
              <w:ind w:right="148"/>
              <w:spacing w:after="0"/>
              <w:rPr>
                <w:sz w:val="20"/>
                <w:szCs w:val="20"/>
                <w:color w:val="auto"/>
              </w:rPr>
            </w:pPr>
            <w:r>
              <w:rPr>
                <w:rFonts w:ascii="Arial" w:cs="Arial" w:eastAsia="Arial" w:hAnsi="Arial"/>
                <w:sz w:val="14"/>
                <w:szCs w:val="14"/>
                <w:b w:val="1"/>
                <w:bCs w:val="1"/>
                <w:color w:val="FFFFFF"/>
              </w:rPr>
              <w:t>Other Benefits &amp;</w:t>
            </w:r>
          </w:p>
        </w:tc>
        <w:tc>
          <w:tcPr>
            <w:tcW w:w="400" w:type="dxa"/>
            <w:vAlign w:val="bottom"/>
            <w:shd w:val="clear" w:color="auto" w:fill="001641"/>
          </w:tcPr>
          <w:p>
            <w:pPr>
              <w:spacing w:after="0"/>
              <w:rPr>
                <w:sz w:val="14"/>
                <w:szCs w:val="14"/>
                <w:color w:val="auto"/>
              </w:rPr>
            </w:pPr>
          </w:p>
        </w:tc>
        <w:tc>
          <w:tcPr>
            <w:tcW w:w="600" w:type="dxa"/>
            <w:vAlign w:val="bottom"/>
            <w:shd w:val="clear" w:color="auto" w:fill="001641"/>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001641"/>
          </w:tcPr>
          <w:p>
            <w:pPr>
              <w:spacing w:after="0"/>
              <w:rPr>
                <w:sz w:val="19"/>
                <w:szCs w:val="19"/>
                <w:color w:val="auto"/>
              </w:rPr>
            </w:pPr>
          </w:p>
        </w:tc>
        <w:tc>
          <w:tcPr>
            <w:tcW w:w="1520" w:type="dxa"/>
            <w:vAlign w:val="bottom"/>
            <w:gridSpan w:val="2"/>
            <w:shd w:val="clear" w:color="auto" w:fill="001641"/>
          </w:tcPr>
          <w:p>
            <w:pPr>
              <w:jc w:val="right"/>
              <w:ind w:right="108"/>
              <w:spacing w:after="0" w:line="230" w:lineRule="exact"/>
              <w:rPr>
                <w:sz w:val="20"/>
                <w:szCs w:val="20"/>
                <w:color w:val="auto"/>
              </w:rPr>
            </w:pPr>
            <w:r>
              <w:rPr>
                <w:rFonts w:ascii="Arial" w:cs="Arial" w:eastAsia="Arial" w:hAnsi="Arial"/>
                <w:sz w:val="14"/>
                <w:szCs w:val="14"/>
                <w:b w:val="1"/>
                <w:bCs w:val="1"/>
                <w:color w:val="FFFFFF"/>
              </w:rPr>
              <w:t>– Base Salary</w:t>
            </w:r>
            <w:r>
              <w:rPr>
                <w:rFonts w:ascii="Arial" w:cs="Arial" w:eastAsia="Arial" w:hAnsi="Arial"/>
                <w:sz w:val="23"/>
                <w:szCs w:val="23"/>
                <w:b w:val="1"/>
                <w:bCs w:val="1"/>
                <w:color w:val="FFFFFF"/>
                <w:vertAlign w:val="superscript"/>
              </w:rPr>
              <w:t>1</w:t>
            </w:r>
          </w:p>
        </w:tc>
        <w:tc>
          <w:tcPr>
            <w:tcW w:w="640" w:type="dxa"/>
            <w:vAlign w:val="bottom"/>
            <w:shd w:val="clear" w:color="auto" w:fill="001641"/>
          </w:tcPr>
          <w:p>
            <w:pPr>
              <w:spacing w:after="0"/>
              <w:rPr>
                <w:sz w:val="19"/>
                <w:szCs w:val="19"/>
                <w:color w:val="auto"/>
              </w:rPr>
            </w:pPr>
          </w:p>
        </w:tc>
        <w:tc>
          <w:tcPr>
            <w:tcW w:w="880" w:type="dxa"/>
            <w:vAlign w:val="bottom"/>
            <w:shd w:val="clear" w:color="auto" w:fill="001641"/>
          </w:tcPr>
          <w:p>
            <w:pPr>
              <w:jc w:val="right"/>
              <w:ind w:right="108"/>
              <w:spacing w:after="0"/>
              <w:rPr>
                <w:sz w:val="20"/>
                <w:szCs w:val="20"/>
                <w:color w:val="auto"/>
              </w:rPr>
            </w:pPr>
            <w:r>
              <w:rPr>
                <w:rFonts w:ascii="Arial" w:cs="Arial" w:eastAsia="Arial" w:hAnsi="Arial"/>
                <w:sz w:val="14"/>
                <w:szCs w:val="14"/>
                <w:b w:val="1"/>
                <w:bCs w:val="1"/>
                <w:color w:val="FFFFFF"/>
              </w:rPr>
              <w:t>– Bonus</w:t>
            </w:r>
          </w:p>
        </w:tc>
        <w:tc>
          <w:tcPr>
            <w:tcW w:w="540" w:type="dxa"/>
            <w:vAlign w:val="bottom"/>
            <w:shd w:val="clear" w:color="auto" w:fill="001641"/>
          </w:tcPr>
          <w:p>
            <w:pPr>
              <w:spacing w:after="0"/>
              <w:rPr>
                <w:sz w:val="19"/>
                <w:szCs w:val="19"/>
                <w:color w:val="auto"/>
              </w:rPr>
            </w:pPr>
          </w:p>
        </w:tc>
        <w:tc>
          <w:tcPr>
            <w:tcW w:w="1020" w:type="dxa"/>
            <w:vAlign w:val="bottom"/>
            <w:shd w:val="clear" w:color="auto" w:fill="001641"/>
          </w:tcPr>
          <w:p>
            <w:pPr>
              <w:jc w:val="right"/>
              <w:ind w:right="108"/>
              <w:spacing w:after="0" w:line="230"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23"/>
                <w:szCs w:val="23"/>
                <w:b w:val="1"/>
                <w:bCs w:val="1"/>
                <w:color w:val="FFFFFF"/>
                <w:vertAlign w:val="superscript"/>
              </w:rPr>
              <w:t>2</w:t>
            </w:r>
          </w:p>
        </w:tc>
        <w:tc>
          <w:tcPr>
            <w:tcW w:w="1540" w:type="dxa"/>
            <w:vAlign w:val="bottom"/>
            <w:gridSpan w:val="2"/>
            <w:shd w:val="clear" w:color="auto" w:fill="001641"/>
          </w:tcPr>
          <w:p>
            <w:pPr>
              <w:jc w:val="right"/>
              <w:ind w:right="108"/>
              <w:spacing w:after="0" w:line="230" w:lineRule="exact"/>
              <w:rPr>
                <w:sz w:val="20"/>
                <w:szCs w:val="20"/>
                <w:color w:val="auto"/>
              </w:rPr>
            </w:pPr>
            <w:r>
              <w:rPr>
                <w:rFonts w:ascii="Arial" w:cs="Arial" w:eastAsia="Arial" w:hAnsi="Arial"/>
                <w:sz w:val="14"/>
                <w:szCs w:val="14"/>
                <w:b w:val="1"/>
                <w:bCs w:val="1"/>
                <w:color w:val="FFFFFF"/>
              </w:rPr>
              <w:t>Perquisites</w:t>
            </w:r>
            <w:r>
              <w:rPr>
                <w:rFonts w:ascii="Arial" w:cs="Arial" w:eastAsia="Arial" w:hAnsi="Arial"/>
                <w:sz w:val="23"/>
                <w:szCs w:val="23"/>
                <w:b w:val="1"/>
                <w:bCs w:val="1"/>
                <w:color w:val="FFFFFF"/>
                <w:vertAlign w:val="superscript"/>
              </w:rPr>
              <w:t>3</w:t>
            </w:r>
          </w:p>
        </w:tc>
        <w:tc>
          <w:tcPr>
            <w:tcW w:w="400" w:type="dxa"/>
            <w:vAlign w:val="bottom"/>
            <w:shd w:val="clear" w:color="auto" w:fill="001641"/>
          </w:tcPr>
          <w:p>
            <w:pPr>
              <w:spacing w:after="0"/>
              <w:rPr>
                <w:sz w:val="19"/>
                <w:szCs w:val="19"/>
                <w:color w:val="auto"/>
              </w:rPr>
            </w:pPr>
          </w:p>
        </w:tc>
        <w:tc>
          <w:tcPr>
            <w:tcW w:w="600" w:type="dxa"/>
            <w:vAlign w:val="bottom"/>
            <w:shd w:val="clear" w:color="auto" w:fill="001641"/>
          </w:tcPr>
          <w:p>
            <w:pPr>
              <w:jc w:val="right"/>
              <w:ind w:right="2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93"/>
        </w:trPr>
        <w:tc>
          <w:tcPr>
            <w:tcW w:w="2040" w:type="dxa"/>
            <w:vAlign w:val="bottom"/>
          </w:tcPr>
          <w:p>
            <w:pPr>
              <w:ind w:left="120"/>
              <w:spacing w:after="0"/>
              <w:rPr>
                <w:sz w:val="20"/>
                <w:szCs w:val="20"/>
                <w:color w:val="auto"/>
              </w:rPr>
            </w:pPr>
            <w:r>
              <w:rPr>
                <w:rFonts w:ascii="Arial" w:cs="Arial" w:eastAsia="Arial" w:hAnsi="Arial"/>
                <w:sz w:val="14"/>
                <w:szCs w:val="14"/>
                <w:color w:val="001641"/>
              </w:rPr>
              <w:t>By the Company for</w:t>
            </w: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20"/>
              <w:spacing w:after="0"/>
              <w:rPr>
                <w:sz w:val="20"/>
                <w:szCs w:val="20"/>
                <w:color w:val="auto"/>
              </w:rPr>
            </w:pPr>
            <w:r>
              <w:rPr>
                <w:rFonts w:ascii="Arial" w:cs="Arial" w:eastAsia="Arial" w:hAnsi="Arial"/>
                <w:sz w:val="14"/>
                <w:szCs w:val="14"/>
                <w:color w:val="001641"/>
              </w:rPr>
              <w:t>Cause/by the Executive</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40" w:type="dxa"/>
            <w:vAlign w:val="bottom"/>
          </w:tcPr>
          <w:p>
            <w:pPr>
              <w:ind w:left="120"/>
              <w:spacing w:after="0"/>
              <w:rPr>
                <w:sz w:val="20"/>
                <w:szCs w:val="20"/>
                <w:color w:val="auto"/>
              </w:rPr>
            </w:pPr>
            <w:r>
              <w:rPr>
                <w:rFonts w:ascii="Arial" w:cs="Arial" w:eastAsia="Arial" w:hAnsi="Arial"/>
                <w:sz w:val="14"/>
                <w:szCs w:val="14"/>
                <w:color w:val="001641"/>
              </w:rPr>
              <w:t>Without Good Reason</w:t>
            </w:r>
          </w:p>
        </w:tc>
        <w:tc>
          <w:tcPr>
            <w:tcW w:w="700" w:type="dxa"/>
            <w:vAlign w:val="bottom"/>
          </w:tcPr>
          <w:p>
            <w:pPr>
              <w:jc w:val="right"/>
              <w:ind w:right="48"/>
              <w:spacing w:after="0"/>
              <w:rPr>
                <w:sz w:val="20"/>
                <w:szCs w:val="20"/>
                <w:color w:val="auto"/>
              </w:rPr>
            </w:pPr>
            <w:r>
              <w:rPr>
                <w:rFonts w:ascii="Arial" w:cs="Arial" w:eastAsia="Arial" w:hAnsi="Arial"/>
                <w:sz w:val="14"/>
                <w:szCs w:val="14"/>
                <w:color w:val="001641"/>
              </w:rPr>
              <w:t>$</w:t>
            </w:r>
          </w:p>
        </w:tc>
        <w:tc>
          <w:tcPr>
            <w:tcW w:w="820" w:type="dxa"/>
            <w:vAlign w:val="bottom"/>
          </w:tcPr>
          <w:p>
            <w:pPr>
              <w:jc w:val="right"/>
              <w:ind w:right="228"/>
              <w:spacing w:after="0"/>
              <w:rPr>
                <w:sz w:val="20"/>
                <w:szCs w:val="20"/>
                <w:color w:val="auto"/>
              </w:rPr>
            </w:pPr>
            <w:r>
              <w:rPr>
                <w:rFonts w:ascii="Arial" w:cs="Arial" w:eastAsia="Arial" w:hAnsi="Arial"/>
                <w:sz w:val="14"/>
                <w:szCs w:val="14"/>
                <w:color w:val="001641"/>
              </w:rPr>
              <w:t>0</w:t>
            </w:r>
          </w:p>
        </w:tc>
        <w:tc>
          <w:tcPr>
            <w:tcW w:w="640" w:type="dxa"/>
            <w:vAlign w:val="bottom"/>
          </w:tcPr>
          <w:p>
            <w:pPr>
              <w:ind w:left="500"/>
              <w:spacing w:after="0"/>
              <w:rPr>
                <w:sz w:val="20"/>
                <w:szCs w:val="20"/>
                <w:color w:val="auto"/>
              </w:rPr>
            </w:pPr>
            <w:r>
              <w:rPr>
                <w:rFonts w:ascii="Arial" w:cs="Arial" w:eastAsia="Arial" w:hAnsi="Arial"/>
                <w:sz w:val="14"/>
                <w:szCs w:val="14"/>
                <w:color w:val="001641"/>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001641"/>
              </w:rPr>
              <w:t>0</w:t>
            </w:r>
          </w:p>
        </w:tc>
        <w:tc>
          <w:tcPr>
            <w:tcW w:w="540" w:type="dxa"/>
            <w:vAlign w:val="bottom"/>
          </w:tcPr>
          <w:p>
            <w:pPr>
              <w:ind w:left="440"/>
              <w:spacing w:after="0"/>
              <w:rPr>
                <w:sz w:val="20"/>
                <w:szCs w:val="20"/>
                <w:color w:val="auto"/>
              </w:rPr>
            </w:pPr>
            <w:r>
              <w:rPr>
                <w:rFonts w:ascii="Arial" w:cs="Arial" w:eastAsia="Arial" w:hAnsi="Arial"/>
                <w:sz w:val="14"/>
                <w:szCs w:val="14"/>
                <w:color w:val="001641"/>
              </w:rPr>
              <w:t>$</w:t>
            </w:r>
          </w:p>
        </w:tc>
        <w:tc>
          <w:tcPr>
            <w:tcW w:w="1020" w:type="dxa"/>
            <w:vAlign w:val="bottom"/>
          </w:tcPr>
          <w:p>
            <w:pPr>
              <w:jc w:val="right"/>
              <w:ind w:right="268"/>
              <w:spacing w:after="0"/>
              <w:rPr>
                <w:sz w:val="20"/>
                <w:szCs w:val="20"/>
                <w:color w:val="auto"/>
              </w:rPr>
            </w:pPr>
            <w:r>
              <w:rPr>
                <w:rFonts w:ascii="Arial" w:cs="Arial" w:eastAsia="Arial" w:hAnsi="Arial"/>
                <w:sz w:val="14"/>
                <w:szCs w:val="14"/>
                <w:color w:val="001641"/>
              </w:rPr>
              <w:t>0</w:t>
            </w:r>
          </w:p>
        </w:tc>
        <w:tc>
          <w:tcPr>
            <w:tcW w:w="920" w:type="dxa"/>
            <w:vAlign w:val="bottom"/>
          </w:tcPr>
          <w:p>
            <w:pPr>
              <w:jc w:val="right"/>
              <w:ind w:right="108"/>
              <w:spacing w:after="0"/>
              <w:rPr>
                <w:sz w:val="20"/>
                <w:szCs w:val="20"/>
                <w:color w:val="auto"/>
              </w:rPr>
            </w:pPr>
            <w:r>
              <w:rPr>
                <w:rFonts w:ascii="Arial" w:cs="Arial" w:eastAsia="Arial" w:hAnsi="Arial"/>
                <w:sz w:val="14"/>
                <w:szCs w:val="14"/>
                <w:color w:val="001641"/>
              </w:rPr>
              <w:t>$</w:t>
            </w:r>
          </w:p>
        </w:tc>
        <w:tc>
          <w:tcPr>
            <w:tcW w:w="620" w:type="dxa"/>
            <w:vAlign w:val="bottom"/>
          </w:tcPr>
          <w:p>
            <w:pPr>
              <w:jc w:val="right"/>
              <w:ind w:right="288"/>
              <w:spacing w:after="0"/>
              <w:rPr>
                <w:sz w:val="20"/>
                <w:szCs w:val="20"/>
                <w:color w:val="auto"/>
              </w:rPr>
            </w:pPr>
            <w:r>
              <w:rPr>
                <w:rFonts w:ascii="Arial" w:cs="Arial" w:eastAsia="Arial" w:hAnsi="Arial"/>
                <w:sz w:val="14"/>
                <w:szCs w:val="14"/>
                <w:color w:val="001641"/>
              </w:rPr>
              <w:t>0</w:t>
            </w:r>
          </w:p>
        </w:tc>
        <w:tc>
          <w:tcPr>
            <w:tcW w:w="400" w:type="dxa"/>
            <w:vAlign w:val="bottom"/>
          </w:tcPr>
          <w:p>
            <w:pPr>
              <w:jc w:val="right"/>
              <w:ind w:right="68"/>
              <w:spacing w:after="0"/>
              <w:rPr>
                <w:sz w:val="20"/>
                <w:szCs w:val="20"/>
                <w:color w:val="auto"/>
              </w:rPr>
            </w:pPr>
            <w:r>
              <w:rPr>
                <w:rFonts w:ascii="Arial" w:cs="Arial" w:eastAsia="Arial" w:hAnsi="Arial"/>
                <w:sz w:val="14"/>
                <w:szCs w:val="14"/>
                <w:color w:val="001641"/>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001641"/>
              </w:rPr>
              <w:t>0</w:t>
            </w:r>
          </w:p>
        </w:tc>
        <w:tc>
          <w:tcPr>
            <w:tcW w:w="0" w:type="dxa"/>
            <w:vAlign w:val="bottom"/>
          </w:tcPr>
          <w:p>
            <w:pPr>
              <w:spacing w:after="0"/>
              <w:rPr>
                <w:sz w:val="1"/>
                <w:szCs w:val="1"/>
                <w:color w:val="auto"/>
              </w:rPr>
            </w:pPr>
          </w:p>
        </w:tc>
      </w:tr>
      <w:tr>
        <w:trPr>
          <w:trHeight w:val="22"/>
        </w:trPr>
        <w:tc>
          <w:tcPr>
            <w:tcW w:w="2040" w:type="dxa"/>
            <w:vAlign w:val="bottom"/>
            <w:tcBorders>
              <w:bottom w:val="single" w:sz="8" w:color="BFA071"/>
            </w:tcBorders>
          </w:tcPr>
          <w:p>
            <w:pPr>
              <w:spacing w:after="0" w:line="20" w:lineRule="exact"/>
              <w:rPr>
                <w:sz w:val="1"/>
                <w:szCs w:val="1"/>
                <w:color w:val="auto"/>
              </w:rPr>
            </w:pPr>
          </w:p>
        </w:tc>
        <w:tc>
          <w:tcPr>
            <w:tcW w:w="700" w:type="dxa"/>
            <w:vAlign w:val="bottom"/>
            <w:tcBorders>
              <w:bottom w:val="single" w:sz="8" w:color="BFA071"/>
            </w:tcBorders>
          </w:tcPr>
          <w:p>
            <w:pPr>
              <w:spacing w:after="0" w:line="20" w:lineRule="exact"/>
              <w:rPr>
                <w:sz w:val="1"/>
                <w:szCs w:val="1"/>
                <w:color w:val="auto"/>
              </w:rPr>
            </w:pPr>
          </w:p>
        </w:tc>
        <w:tc>
          <w:tcPr>
            <w:tcW w:w="820" w:type="dxa"/>
            <w:vAlign w:val="bottom"/>
            <w:tcBorders>
              <w:bottom w:val="single" w:sz="8" w:color="BFA071"/>
            </w:tcBorders>
          </w:tcPr>
          <w:p>
            <w:pPr>
              <w:spacing w:after="0" w:line="20" w:lineRule="exact"/>
              <w:rPr>
                <w:sz w:val="1"/>
                <w:szCs w:val="1"/>
                <w:color w:val="auto"/>
              </w:rPr>
            </w:pPr>
          </w:p>
        </w:tc>
        <w:tc>
          <w:tcPr>
            <w:tcW w:w="6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540" w:type="dxa"/>
            <w:vAlign w:val="bottom"/>
            <w:tcBorders>
              <w:bottom w:val="single" w:sz="8" w:color="BFA071"/>
            </w:tcBorders>
          </w:tcPr>
          <w:p>
            <w:pPr>
              <w:spacing w:after="0" w:line="20" w:lineRule="exact"/>
              <w:rPr>
                <w:sz w:val="1"/>
                <w:szCs w:val="1"/>
                <w:color w:val="auto"/>
              </w:rPr>
            </w:pPr>
          </w:p>
        </w:tc>
        <w:tc>
          <w:tcPr>
            <w:tcW w:w="102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620" w:type="dxa"/>
            <w:vAlign w:val="bottom"/>
            <w:tcBorders>
              <w:bottom w:val="single" w:sz="8" w:color="BFA071"/>
            </w:tcBorders>
          </w:tcPr>
          <w:p>
            <w:pPr>
              <w:spacing w:after="0" w:line="20" w:lineRule="exact"/>
              <w:rPr>
                <w:sz w:val="1"/>
                <w:szCs w:val="1"/>
                <w:color w:val="auto"/>
              </w:rPr>
            </w:pPr>
          </w:p>
        </w:tc>
        <w:tc>
          <w:tcPr>
            <w:tcW w:w="400" w:type="dxa"/>
            <w:vAlign w:val="bottom"/>
            <w:tcBorders>
              <w:bottom w:val="single" w:sz="8" w:color="BFA071"/>
            </w:tcBorders>
          </w:tcPr>
          <w:p>
            <w:pPr>
              <w:spacing w:after="0" w:line="20" w:lineRule="exact"/>
              <w:rPr>
                <w:sz w:val="1"/>
                <w:szCs w:val="1"/>
                <w:color w:val="auto"/>
              </w:rPr>
            </w:pPr>
          </w:p>
        </w:tc>
        <w:tc>
          <w:tcPr>
            <w:tcW w:w="60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040" w:type="dxa"/>
            <w:vAlign w:val="bottom"/>
          </w:tcPr>
          <w:p>
            <w:pPr>
              <w:ind w:left="120"/>
              <w:spacing w:after="0"/>
              <w:rPr>
                <w:sz w:val="20"/>
                <w:szCs w:val="20"/>
                <w:color w:val="auto"/>
              </w:rPr>
            </w:pPr>
            <w:r>
              <w:rPr>
                <w:rFonts w:ascii="Arial" w:cs="Arial" w:eastAsia="Arial" w:hAnsi="Arial"/>
                <w:sz w:val="14"/>
                <w:szCs w:val="14"/>
                <w:color w:val="001641"/>
              </w:rPr>
              <w:t>By the Company Without</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20"/>
              <w:spacing w:after="0"/>
              <w:rPr>
                <w:sz w:val="20"/>
                <w:szCs w:val="20"/>
                <w:color w:val="auto"/>
              </w:rPr>
            </w:pPr>
            <w:r>
              <w:rPr>
                <w:rFonts w:ascii="Arial" w:cs="Arial" w:eastAsia="Arial" w:hAnsi="Arial"/>
                <w:sz w:val="14"/>
                <w:szCs w:val="14"/>
                <w:color w:val="001641"/>
              </w:rPr>
              <w:t>Cause/by the Executive for</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color w:val="001641"/>
              </w:rPr>
              <w:t>700,000</w:t>
            </w:r>
            <w:r>
              <w:rPr>
                <w:rFonts w:ascii="Arial" w:cs="Arial" w:eastAsia="Arial" w:hAnsi="Arial"/>
                <w:sz w:val="23"/>
                <w:szCs w:val="23"/>
                <w:color w:val="001641"/>
                <w:vertAlign w:val="superscript"/>
              </w:rPr>
              <w:t>4</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40" w:type="dxa"/>
            <w:vAlign w:val="bottom"/>
            <w:tcBorders>
              <w:bottom w:val="single" w:sz="8" w:color="BFA071"/>
            </w:tcBorders>
          </w:tcPr>
          <w:p>
            <w:pPr>
              <w:ind w:left="120"/>
              <w:spacing w:after="0"/>
              <w:rPr>
                <w:sz w:val="20"/>
                <w:szCs w:val="20"/>
                <w:color w:val="auto"/>
              </w:rPr>
            </w:pPr>
            <w:r>
              <w:rPr>
                <w:rFonts w:ascii="Arial" w:cs="Arial" w:eastAsia="Arial" w:hAnsi="Arial"/>
                <w:sz w:val="14"/>
                <w:szCs w:val="14"/>
                <w:color w:val="001641"/>
              </w:rPr>
              <w:t>Good Reason</w:t>
            </w:r>
          </w:p>
        </w:tc>
        <w:tc>
          <w:tcPr>
            <w:tcW w:w="700" w:type="dxa"/>
            <w:vAlign w:val="bottom"/>
            <w:tcBorders>
              <w:bottom w:val="single" w:sz="8" w:color="BFA071"/>
            </w:tcBorders>
          </w:tcPr>
          <w:p>
            <w:pPr>
              <w:jc w:val="right"/>
              <w:ind w:right="48"/>
              <w:spacing w:after="0"/>
              <w:rPr>
                <w:sz w:val="20"/>
                <w:szCs w:val="20"/>
                <w:color w:val="auto"/>
              </w:rPr>
            </w:pPr>
            <w:r>
              <w:rPr>
                <w:rFonts w:ascii="Arial" w:cs="Arial" w:eastAsia="Arial" w:hAnsi="Arial"/>
                <w:sz w:val="14"/>
                <w:szCs w:val="14"/>
                <w:color w:val="001641"/>
              </w:rPr>
              <w:t>$</w:t>
            </w:r>
          </w:p>
        </w:tc>
        <w:tc>
          <w:tcPr>
            <w:tcW w:w="820" w:type="dxa"/>
            <w:vAlign w:val="bottom"/>
            <w:tcBorders>
              <w:bottom w:val="single" w:sz="8" w:color="BFA071"/>
            </w:tcBorders>
          </w:tcPr>
          <w:p>
            <w:pPr>
              <w:jc w:val="right"/>
              <w:ind w:right="228"/>
              <w:spacing w:after="0"/>
              <w:rPr>
                <w:sz w:val="20"/>
                <w:szCs w:val="20"/>
                <w:color w:val="auto"/>
              </w:rPr>
            </w:pPr>
            <w:r>
              <w:rPr>
                <w:rFonts w:ascii="Arial" w:cs="Arial" w:eastAsia="Arial" w:hAnsi="Arial"/>
                <w:sz w:val="14"/>
                <w:szCs w:val="14"/>
                <w:color w:val="001641"/>
                <w:w w:val="98"/>
              </w:rPr>
              <w:t>700,000</w:t>
            </w:r>
          </w:p>
        </w:tc>
        <w:tc>
          <w:tcPr>
            <w:tcW w:w="640" w:type="dxa"/>
            <w:vAlign w:val="bottom"/>
            <w:tcBorders>
              <w:bottom w:val="single" w:sz="8" w:color="BFA071"/>
            </w:tcBorders>
          </w:tcPr>
          <w:p>
            <w:pPr>
              <w:ind w:left="500"/>
              <w:spacing w:after="0"/>
              <w:rPr>
                <w:sz w:val="20"/>
                <w:szCs w:val="20"/>
                <w:color w:val="auto"/>
              </w:rPr>
            </w:pPr>
            <w:r>
              <w:rPr>
                <w:rFonts w:ascii="Arial" w:cs="Arial" w:eastAsia="Arial" w:hAnsi="Arial"/>
                <w:sz w:val="14"/>
                <w:szCs w:val="14"/>
                <w:color w:val="001641"/>
              </w:rPr>
              <w:t>$</w:t>
            </w:r>
          </w:p>
        </w:tc>
        <w:tc>
          <w:tcPr>
            <w:tcW w:w="880" w:type="dxa"/>
            <w:vAlign w:val="bottom"/>
            <w:tcBorders>
              <w:bottom w:val="single" w:sz="8" w:color="BFA071"/>
            </w:tcBorders>
            <w:vMerge w:val="continue"/>
          </w:tcPr>
          <w:p>
            <w:pPr>
              <w:spacing w:after="0"/>
              <w:rPr>
                <w:sz w:val="18"/>
                <w:szCs w:val="18"/>
                <w:color w:val="auto"/>
              </w:rPr>
            </w:pPr>
          </w:p>
        </w:tc>
        <w:tc>
          <w:tcPr>
            <w:tcW w:w="540" w:type="dxa"/>
            <w:vAlign w:val="bottom"/>
            <w:tcBorders>
              <w:bottom w:val="single" w:sz="8" w:color="BFA071"/>
            </w:tcBorders>
          </w:tcPr>
          <w:p>
            <w:pPr>
              <w:ind w:left="440"/>
              <w:spacing w:after="0"/>
              <w:rPr>
                <w:sz w:val="20"/>
                <w:szCs w:val="20"/>
                <w:color w:val="auto"/>
              </w:rPr>
            </w:pPr>
            <w:r>
              <w:rPr>
                <w:rFonts w:ascii="Arial" w:cs="Arial" w:eastAsia="Arial" w:hAnsi="Arial"/>
                <w:sz w:val="14"/>
                <w:szCs w:val="14"/>
                <w:color w:val="001641"/>
              </w:rPr>
              <w:t>$</w:t>
            </w:r>
          </w:p>
        </w:tc>
        <w:tc>
          <w:tcPr>
            <w:tcW w:w="1020" w:type="dxa"/>
            <w:vAlign w:val="bottom"/>
            <w:tcBorders>
              <w:bottom w:val="single" w:sz="8" w:color="BFA071"/>
            </w:tcBorders>
          </w:tcPr>
          <w:p>
            <w:pPr>
              <w:jc w:val="right"/>
              <w:ind w:right="268"/>
              <w:spacing w:after="0"/>
              <w:rPr>
                <w:sz w:val="20"/>
                <w:szCs w:val="20"/>
                <w:color w:val="auto"/>
              </w:rPr>
            </w:pPr>
            <w:r>
              <w:rPr>
                <w:rFonts w:ascii="Arial" w:cs="Arial" w:eastAsia="Arial" w:hAnsi="Arial"/>
                <w:sz w:val="14"/>
                <w:szCs w:val="14"/>
                <w:color w:val="001641"/>
              </w:rPr>
              <w:t>0</w:t>
            </w:r>
          </w:p>
        </w:tc>
        <w:tc>
          <w:tcPr>
            <w:tcW w:w="1540" w:type="dxa"/>
            <w:vAlign w:val="bottom"/>
            <w:tcBorders>
              <w:bottom w:val="single" w:sz="8" w:color="BFA071"/>
            </w:tcBorders>
            <w:gridSpan w:val="2"/>
          </w:tcPr>
          <w:p>
            <w:pPr>
              <w:jc w:val="right"/>
              <w:ind w:right="288"/>
              <w:spacing w:after="0"/>
              <w:rPr>
                <w:sz w:val="20"/>
                <w:szCs w:val="20"/>
                <w:color w:val="auto"/>
              </w:rPr>
            </w:pPr>
            <w:r>
              <w:rPr>
                <w:rFonts w:ascii="Arial" w:cs="Arial" w:eastAsia="Arial" w:hAnsi="Arial"/>
                <w:sz w:val="14"/>
                <w:szCs w:val="14"/>
                <w:color w:val="001641"/>
              </w:rPr>
              <w:t>$28,960</w:t>
            </w:r>
          </w:p>
        </w:tc>
        <w:tc>
          <w:tcPr>
            <w:tcW w:w="1000" w:type="dxa"/>
            <w:vAlign w:val="bottom"/>
            <w:tcBorders>
              <w:bottom w:val="single" w:sz="8" w:color="BFA071"/>
            </w:tcBorders>
            <w:gridSpan w:val="2"/>
          </w:tcPr>
          <w:p>
            <w:pPr>
              <w:jc w:val="right"/>
              <w:ind w:right="28"/>
              <w:spacing w:after="0"/>
              <w:rPr>
                <w:sz w:val="20"/>
                <w:szCs w:val="20"/>
                <w:color w:val="auto"/>
              </w:rPr>
            </w:pPr>
            <w:r>
              <w:rPr>
                <w:rFonts w:ascii="Arial" w:cs="Arial" w:eastAsia="Arial" w:hAnsi="Arial"/>
                <w:sz w:val="14"/>
                <w:szCs w:val="14"/>
                <w:color w:val="001641"/>
              </w:rPr>
              <w:t>$1,428,960</w:t>
            </w:r>
          </w:p>
        </w:tc>
        <w:tc>
          <w:tcPr>
            <w:tcW w:w="0" w:type="dxa"/>
            <w:vAlign w:val="bottom"/>
          </w:tcPr>
          <w:p>
            <w:pPr>
              <w:spacing w:after="0"/>
              <w:rPr>
                <w:sz w:val="1"/>
                <w:szCs w:val="1"/>
                <w:color w:val="auto"/>
              </w:rPr>
            </w:pPr>
          </w:p>
        </w:tc>
      </w:tr>
      <w:tr>
        <w:trPr>
          <w:trHeight w:val="250"/>
        </w:trPr>
        <w:tc>
          <w:tcPr>
            <w:tcW w:w="2040" w:type="dxa"/>
            <w:vAlign w:val="bottom"/>
            <w:tcBorders>
              <w:bottom w:val="single" w:sz="8" w:color="BFA071"/>
            </w:tcBorders>
          </w:tcPr>
          <w:p>
            <w:pPr>
              <w:ind w:left="120"/>
              <w:spacing w:after="0"/>
              <w:rPr>
                <w:sz w:val="20"/>
                <w:szCs w:val="20"/>
                <w:color w:val="auto"/>
              </w:rPr>
            </w:pPr>
            <w:r>
              <w:rPr>
                <w:rFonts w:ascii="Arial" w:cs="Arial" w:eastAsia="Arial" w:hAnsi="Arial"/>
                <w:sz w:val="14"/>
                <w:szCs w:val="14"/>
                <w:color w:val="001641"/>
              </w:rPr>
              <w:t>Death or Disability</w:t>
            </w:r>
          </w:p>
        </w:tc>
        <w:tc>
          <w:tcPr>
            <w:tcW w:w="700" w:type="dxa"/>
            <w:vAlign w:val="bottom"/>
            <w:tcBorders>
              <w:bottom w:val="single" w:sz="8" w:color="BFA071"/>
            </w:tcBorders>
          </w:tcPr>
          <w:p>
            <w:pPr>
              <w:jc w:val="right"/>
              <w:ind w:right="48"/>
              <w:spacing w:after="0"/>
              <w:rPr>
                <w:sz w:val="20"/>
                <w:szCs w:val="20"/>
                <w:color w:val="auto"/>
              </w:rPr>
            </w:pPr>
            <w:r>
              <w:rPr>
                <w:rFonts w:ascii="Arial" w:cs="Arial" w:eastAsia="Arial" w:hAnsi="Arial"/>
                <w:sz w:val="14"/>
                <w:szCs w:val="14"/>
                <w:color w:val="001641"/>
              </w:rPr>
              <w:t>$</w:t>
            </w:r>
          </w:p>
        </w:tc>
        <w:tc>
          <w:tcPr>
            <w:tcW w:w="820" w:type="dxa"/>
            <w:vAlign w:val="bottom"/>
            <w:tcBorders>
              <w:bottom w:val="single" w:sz="8" w:color="BFA071"/>
            </w:tcBorders>
          </w:tcPr>
          <w:p>
            <w:pPr>
              <w:jc w:val="right"/>
              <w:ind w:right="228"/>
              <w:spacing w:after="0"/>
              <w:rPr>
                <w:sz w:val="20"/>
                <w:szCs w:val="20"/>
                <w:color w:val="auto"/>
              </w:rPr>
            </w:pPr>
            <w:r>
              <w:rPr>
                <w:rFonts w:ascii="Arial" w:cs="Arial" w:eastAsia="Arial" w:hAnsi="Arial"/>
                <w:sz w:val="14"/>
                <w:szCs w:val="14"/>
                <w:color w:val="001641"/>
              </w:rPr>
              <w:t>0</w:t>
            </w:r>
          </w:p>
        </w:tc>
        <w:tc>
          <w:tcPr>
            <w:tcW w:w="640" w:type="dxa"/>
            <w:vAlign w:val="bottom"/>
            <w:tcBorders>
              <w:bottom w:val="single" w:sz="8" w:color="BFA071"/>
            </w:tcBorders>
          </w:tcPr>
          <w:p>
            <w:pPr>
              <w:ind w:left="500"/>
              <w:spacing w:after="0"/>
              <w:rPr>
                <w:sz w:val="20"/>
                <w:szCs w:val="20"/>
                <w:color w:val="auto"/>
              </w:rPr>
            </w:pPr>
            <w:r>
              <w:rPr>
                <w:rFonts w:ascii="Arial" w:cs="Arial" w:eastAsia="Arial" w:hAnsi="Arial"/>
                <w:sz w:val="14"/>
                <w:szCs w:val="14"/>
                <w:color w:val="001641"/>
              </w:rPr>
              <w:t>$</w:t>
            </w:r>
          </w:p>
        </w:tc>
        <w:tc>
          <w:tcPr>
            <w:tcW w:w="880" w:type="dxa"/>
            <w:vAlign w:val="bottom"/>
            <w:tcBorders>
              <w:bottom w:val="single" w:sz="8" w:color="BFA071"/>
            </w:tcBorders>
          </w:tcPr>
          <w:p>
            <w:pPr>
              <w:jc w:val="right"/>
              <w:ind w:right="168"/>
              <w:spacing w:after="0"/>
              <w:rPr>
                <w:sz w:val="20"/>
                <w:szCs w:val="20"/>
                <w:color w:val="auto"/>
              </w:rPr>
            </w:pPr>
            <w:r>
              <w:rPr>
                <w:rFonts w:ascii="Arial" w:cs="Arial" w:eastAsia="Arial" w:hAnsi="Arial"/>
                <w:sz w:val="14"/>
                <w:szCs w:val="14"/>
                <w:color w:val="001641"/>
              </w:rPr>
              <w:t>0</w:t>
            </w:r>
          </w:p>
        </w:tc>
        <w:tc>
          <w:tcPr>
            <w:tcW w:w="1560" w:type="dxa"/>
            <w:vAlign w:val="bottom"/>
            <w:tcBorders>
              <w:bottom w:val="single" w:sz="8" w:color="BFA071"/>
            </w:tcBorders>
            <w:gridSpan w:val="2"/>
          </w:tcPr>
          <w:p>
            <w:pPr>
              <w:ind w:left="440"/>
              <w:spacing w:after="0" w:line="250" w:lineRule="exact"/>
              <w:rPr>
                <w:sz w:val="20"/>
                <w:szCs w:val="20"/>
                <w:color w:val="auto"/>
              </w:rPr>
            </w:pPr>
            <w:r>
              <w:rPr>
                <w:rFonts w:ascii="Arial" w:cs="Arial" w:eastAsia="Arial" w:hAnsi="Arial"/>
                <w:sz w:val="14"/>
                <w:szCs w:val="14"/>
                <w:color w:val="001641"/>
              </w:rPr>
              <w:t>$2,985,566</w:t>
            </w:r>
            <w:r>
              <w:rPr>
                <w:rFonts w:ascii="Arial" w:cs="Arial" w:eastAsia="Arial" w:hAnsi="Arial"/>
                <w:sz w:val="23"/>
                <w:szCs w:val="23"/>
                <w:color w:val="001641"/>
                <w:vertAlign w:val="superscript"/>
              </w:rPr>
              <w:t>6</w:t>
            </w:r>
          </w:p>
        </w:tc>
        <w:tc>
          <w:tcPr>
            <w:tcW w:w="920" w:type="dxa"/>
            <w:vAlign w:val="bottom"/>
            <w:tcBorders>
              <w:bottom w:val="single" w:sz="8" w:color="BFA071"/>
            </w:tcBorders>
          </w:tcPr>
          <w:p>
            <w:pPr>
              <w:jc w:val="right"/>
              <w:ind w:right="108"/>
              <w:spacing w:after="0"/>
              <w:rPr>
                <w:sz w:val="20"/>
                <w:szCs w:val="20"/>
                <w:color w:val="auto"/>
              </w:rPr>
            </w:pPr>
            <w:r>
              <w:rPr>
                <w:rFonts w:ascii="Arial" w:cs="Arial" w:eastAsia="Arial" w:hAnsi="Arial"/>
                <w:sz w:val="14"/>
                <w:szCs w:val="14"/>
                <w:color w:val="001641"/>
              </w:rPr>
              <w:t>$</w:t>
            </w:r>
          </w:p>
        </w:tc>
        <w:tc>
          <w:tcPr>
            <w:tcW w:w="620" w:type="dxa"/>
            <w:vAlign w:val="bottom"/>
            <w:tcBorders>
              <w:bottom w:val="single" w:sz="8" w:color="BFA071"/>
            </w:tcBorders>
          </w:tcPr>
          <w:p>
            <w:pPr>
              <w:jc w:val="right"/>
              <w:ind w:right="288"/>
              <w:spacing w:after="0"/>
              <w:rPr>
                <w:sz w:val="20"/>
                <w:szCs w:val="20"/>
                <w:color w:val="auto"/>
              </w:rPr>
            </w:pPr>
            <w:r>
              <w:rPr>
                <w:rFonts w:ascii="Arial" w:cs="Arial" w:eastAsia="Arial" w:hAnsi="Arial"/>
                <w:sz w:val="14"/>
                <w:szCs w:val="14"/>
                <w:color w:val="001641"/>
              </w:rPr>
              <w:t>0</w:t>
            </w:r>
          </w:p>
        </w:tc>
        <w:tc>
          <w:tcPr>
            <w:tcW w:w="1000" w:type="dxa"/>
            <w:vAlign w:val="bottom"/>
            <w:tcBorders>
              <w:bottom w:val="single" w:sz="8" w:color="BFA071"/>
            </w:tcBorders>
            <w:gridSpan w:val="2"/>
          </w:tcPr>
          <w:p>
            <w:pPr>
              <w:jc w:val="right"/>
              <w:ind w:right="28"/>
              <w:spacing w:after="0"/>
              <w:rPr>
                <w:sz w:val="20"/>
                <w:szCs w:val="20"/>
                <w:color w:val="auto"/>
              </w:rPr>
            </w:pPr>
            <w:r>
              <w:rPr>
                <w:rFonts w:ascii="Arial" w:cs="Arial" w:eastAsia="Arial" w:hAnsi="Arial"/>
                <w:sz w:val="14"/>
                <w:szCs w:val="14"/>
                <w:color w:val="001641"/>
              </w:rPr>
              <w:t>$2,985,566</w:t>
            </w:r>
          </w:p>
        </w:tc>
        <w:tc>
          <w:tcPr>
            <w:tcW w:w="0" w:type="dxa"/>
            <w:vAlign w:val="bottom"/>
          </w:tcPr>
          <w:p>
            <w:pPr>
              <w:spacing w:after="0"/>
              <w:rPr>
                <w:sz w:val="1"/>
                <w:szCs w:val="1"/>
                <w:color w:val="auto"/>
              </w:rPr>
            </w:pPr>
          </w:p>
        </w:tc>
      </w:tr>
      <w:tr>
        <w:trPr>
          <w:trHeight w:val="173"/>
        </w:trPr>
        <w:tc>
          <w:tcPr>
            <w:tcW w:w="2040" w:type="dxa"/>
            <w:vAlign w:val="bottom"/>
          </w:tcPr>
          <w:p>
            <w:pPr>
              <w:ind w:left="120"/>
              <w:spacing w:after="0"/>
              <w:rPr>
                <w:sz w:val="20"/>
                <w:szCs w:val="20"/>
                <w:color w:val="auto"/>
              </w:rPr>
            </w:pPr>
            <w:r>
              <w:rPr>
                <w:rFonts w:ascii="Arial" w:cs="Arial" w:eastAsia="Arial" w:hAnsi="Arial"/>
                <w:sz w:val="14"/>
                <w:szCs w:val="14"/>
                <w:color w:val="001641"/>
              </w:rPr>
              <w:t>Change in Control with</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20" w:type="dxa"/>
            <w:vAlign w:val="bottom"/>
            <w:gridSpan w:val="2"/>
            <w:vMerge w:val="restart"/>
          </w:tcPr>
          <w:p>
            <w:pPr>
              <w:ind w:left="500"/>
              <w:spacing w:after="0"/>
              <w:rPr>
                <w:sz w:val="20"/>
                <w:szCs w:val="20"/>
                <w:color w:val="auto"/>
              </w:rPr>
            </w:pPr>
            <w:r>
              <w:rPr>
                <w:rFonts w:ascii="Arial" w:cs="Arial" w:eastAsia="Arial" w:hAnsi="Arial"/>
                <w:sz w:val="14"/>
                <w:szCs w:val="14"/>
                <w:color w:val="001641"/>
              </w:rPr>
              <w:t>$2,741,758</w:t>
            </w:r>
            <w:r>
              <w:rPr>
                <w:rFonts w:ascii="Arial" w:cs="Arial" w:eastAsia="Arial" w:hAnsi="Arial"/>
                <w:sz w:val="23"/>
                <w:szCs w:val="23"/>
                <w:color w:val="001641"/>
                <w:vertAlign w:val="superscript"/>
              </w:rPr>
              <w:t>5</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40" w:type="dxa"/>
            <w:vAlign w:val="bottom"/>
            <w:tcBorders>
              <w:bottom w:val="single" w:sz="8" w:color="001641"/>
            </w:tcBorders>
          </w:tcPr>
          <w:p>
            <w:pPr>
              <w:ind w:left="120"/>
              <w:spacing w:after="0"/>
              <w:rPr>
                <w:sz w:val="20"/>
                <w:szCs w:val="20"/>
                <w:color w:val="auto"/>
              </w:rPr>
            </w:pPr>
            <w:r>
              <w:rPr>
                <w:rFonts w:ascii="Arial" w:cs="Arial" w:eastAsia="Arial" w:hAnsi="Arial"/>
                <w:sz w:val="14"/>
                <w:szCs w:val="14"/>
                <w:color w:val="001641"/>
              </w:rPr>
              <w:t>Termination</w:t>
            </w:r>
          </w:p>
        </w:tc>
        <w:tc>
          <w:tcPr>
            <w:tcW w:w="1520" w:type="dxa"/>
            <w:vAlign w:val="bottom"/>
            <w:tcBorders>
              <w:bottom w:val="single" w:sz="8" w:color="001641"/>
            </w:tcBorders>
            <w:gridSpan w:val="2"/>
          </w:tcPr>
          <w:p>
            <w:pPr>
              <w:jc w:val="right"/>
              <w:ind w:right="228"/>
              <w:spacing w:after="0"/>
              <w:rPr>
                <w:sz w:val="20"/>
                <w:szCs w:val="20"/>
                <w:color w:val="auto"/>
              </w:rPr>
            </w:pPr>
            <w:r>
              <w:rPr>
                <w:rFonts w:ascii="Arial" w:cs="Arial" w:eastAsia="Arial" w:hAnsi="Arial"/>
                <w:sz w:val="14"/>
                <w:szCs w:val="14"/>
                <w:color w:val="001641"/>
              </w:rPr>
              <w:t>$1,400,000</w:t>
            </w:r>
          </w:p>
        </w:tc>
        <w:tc>
          <w:tcPr>
            <w:tcW w:w="1520" w:type="dxa"/>
            <w:vAlign w:val="bottom"/>
            <w:tcBorders>
              <w:bottom w:val="single" w:sz="8" w:color="001641"/>
            </w:tcBorders>
            <w:gridSpan w:val="2"/>
            <w:vMerge w:val="continue"/>
          </w:tcPr>
          <w:p>
            <w:pPr>
              <w:spacing w:after="0"/>
              <w:rPr>
                <w:sz w:val="17"/>
                <w:szCs w:val="17"/>
                <w:color w:val="auto"/>
              </w:rPr>
            </w:pPr>
          </w:p>
        </w:tc>
        <w:tc>
          <w:tcPr>
            <w:tcW w:w="540" w:type="dxa"/>
            <w:vAlign w:val="bottom"/>
            <w:tcBorders>
              <w:bottom w:val="single" w:sz="8" w:color="001641"/>
            </w:tcBorders>
          </w:tcPr>
          <w:p>
            <w:pPr>
              <w:ind w:left="440"/>
              <w:spacing w:after="0"/>
              <w:rPr>
                <w:sz w:val="20"/>
                <w:szCs w:val="20"/>
                <w:color w:val="auto"/>
              </w:rPr>
            </w:pPr>
            <w:r>
              <w:rPr>
                <w:rFonts w:ascii="Arial" w:cs="Arial" w:eastAsia="Arial" w:hAnsi="Arial"/>
                <w:sz w:val="14"/>
                <w:szCs w:val="14"/>
                <w:color w:val="001641"/>
              </w:rPr>
              <w:t>$</w:t>
            </w:r>
          </w:p>
        </w:tc>
        <w:tc>
          <w:tcPr>
            <w:tcW w:w="1020" w:type="dxa"/>
            <w:vAlign w:val="bottom"/>
            <w:tcBorders>
              <w:bottom w:val="single" w:sz="8" w:color="001641"/>
            </w:tcBorders>
          </w:tcPr>
          <w:p>
            <w:pPr>
              <w:jc w:val="right"/>
              <w:ind w:right="268"/>
              <w:spacing w:after="0"/>
              <w:rPr>
                <w:sz w:val="20"/>
                <w:szCs w:val="20"/>
                <w:color w:val="auto"/>
              </w:rPr>
            </w:pPr>
            <w:r>
              <w:rPr>
                <w:rFonts w:ascii="Arial" w:cs="Arial" w:eastAsia="Arial" w:hAnsi="Arial"/>
                <w:sz w:val="14"/>
                <w:szCs w:val="14"/>
                <w:color w:val="001641"/>
              </w:rPr>
              <w:t>3,816,480</w:t>
            </w:r>
          </w:p>
        </w:tc>
        <w:tc>
          <w:tcPr>
            <w:tcW w:w="1540" w:type="dxa"/>
            <w:vAlign w:val="bottom"/>
            <w:tcBorders>
              <w:bottom w:val="single" w:sz="8" w:color="001641"/>
            </w:tcBorders>
            <w:gridSpan w:val="2"/>
          </w:tcPr>
          <w:p>
            <w:pPr>
              <w:jc w:val="right"/>
              <w:ind w:right="288"/>
              <w:spacing w:after="0"/>
              <w:rPr>
                <w:sz w:val="20"/>
                <w:szCs w:val="20"/>
                <w:color w:val="auto"/>
              </w:rPr>
            </w:pPr>
            <w:r>
              <w:rPr>
                <w:rFonts w:ascii="Arial" w:cs="Arial" w:eastAsia="Arial" w:hAnsi="Arial"/>
                <w:sz w:val="14"/>
                <w:szCs w:val="14"/>
                <w:color w:val="001641"/>
              </w:rPr>
              <w:t>$57,921</w:t>
            </w:r>
          </w:p>
        </w:tc>
        <w:tc>
          <w:tcPr>
            <w:tcW w:w="1000" w:type="dxa"/>
            <w:vAlign w:val="bottom"/>
            <w:tcBorders>
              <w:bottom w:val="single" w:sz="8" w:color="001641"/>
            </w:tcBorders>
            <w:gridSpan w:val="2"/>
          </w:tcPr>
          <w:p>
            <w:pPr>
              <w:jc w:val="right"/>
              <w:ind w:right="28"/>
              <w:spacing w:after="0"/>
              <w:rPr>
                <w:sz w:val="20"/>
                <w:szCs w:val="20"/>
                <w:color w:val="auto"/>
              </w:rPr>
            </w:pPr>
            <w:r>
              <w:rPr>
                <w:rFonts w:ascii="Arial" w:cs="Arial" w:eastAsia="Arial" w:hAnsi="Arial"/>
                <w:sz w:val="14"/>
                <w:szCs w:val="14"/>
                <w:color w:val="001641"/>
              </w:rPr>
              <w:t>$8,016,159</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46" w:right="200" w:hanging="246"/>
        <w:spacing w:after="0" w:line="263" w:lineRule="auto"/>
        <w:tabs>
          <w:tab w:leader="none" w:pos="246" w:val="left"/>
        </w:tabs>
        <w:numPr>
          <w:ilvl w:val="0"/>
          <w:numId w:val="90"/>
        </w:numPr>
        <w:rPr>
          <w:rFonts w:ascii="Arial" w:cs="Arial" w:eastAsia="Arial" w:hAnsi="Arial"/>
          <w:sz w:val="14"/>
          <w:szCs w:val="14"/>
          <w:color w:val="4C4C4C"/>
        </w:rPr>
      </w:pPr>
      <w:r>
        <w:rPr>
          <w:rFonts w:ascii="Arial" w:cs="Arial" w:eastAsia="Arial" w:hAnsi="Arial"/>
          <w:sz w:val="14"/>
          <w:szCs w:val="14"/>
          <w:color w:val="4C4C4C"/>
        </w:rPr>
        <w:t>In the event of a termination by the Company without cause or by Mr. Picicci for good reason and pursuant to his employment agreement, we would continue to pay Mr. Picicci his base salary for one year. In the event of a qualifying termination in connection with a change in control Mr. Picicci would be entitled to a lump sum payment equal to two times his base salary.</w:t>
      </w:r>
    </w:p>
    <w:p>
      <w:pPr>
        <w:spacing w:after="0" w:line="10" w:lineRule="exact"/>
        <w:rPr>
          <w:rFonts w:ascii="Arial" w:cs="Arial" w:eastAsia="Arial" w:hAnsi="Arial"/>
          <w:sz w:val="14"/>
          <w:szCs w:val="14"/>
          <w:color w:val="4C4C4C"/>
        </w:rPr>
      </w:pPr>
    </w:p>
    <w:p>
      <w:pPr>
        <w:ind w:left="246" w:right="220" w:hanging="246"/>
        <w:spacing w:after="0" w:line="281" w:lineRule="auto"/>
        <w:tabs>
          <w:tab w:leader="none" w:pos="246" w:val="left"/>
        </w:tabs>
        <w:numPr>
          <w:ilvl w:val="0"/>
          <w:numId w:val="90"/>
        </w:numPr>
        <w:rPr>
          <w:rFonts w:ascii="Arial" w:cs="Arial" w:eastAsia="Arial" w:hAnsi="Arial"/>
          <w:sz w:val="14"/>
          <w:szCs w:val="14"/>
          <w:color w:val="4C4C4C"/>
        </w:rPr>
      </w:pPr>
      <w:r>
        <w:rPr>
          <w:rFonts w:ascii="Arial" w:cs="Arial" w:eastAsia="Arial" w:hAnsi="Arial"/>
          <w:sz w:val="14"/>
          <w:szCs w:val="14"/>
          <w:color w:val="4C4C4C"/>
        </w:rPr>
        <w:t>Represents the value associated with the acceleration or continuation (as the case may be) of the vesting of equity awards. In the case of RSUs and PSUs, the value was based on the NYSE closing price of Class A Common Stock on March 27, 2026, which was $327.82.</w:t>
      </w:r>
    </w:p>
    <w:p>
      <w:pPr>
        <w:spacing w:after="0" w:line="1" w:lineRule="exact"/>
        <w:rPr>
          <w:rFonts w:ascii="Arial" w:cs="Arial" w:eastAsia="Arial" w:hAnsi="Arial"/>
          <w:sz w:val="14"/>
          <w:szCs w:val="14"/>
          <w:color w:val="4C4C4C"/>
        </w:rPr>
      </w:pPr>
    </w:p>
    <w:p>
      <w:pPr>
        <w:ind w:left="246" w:hanging="246"/>
        <w:spacing w:after="0"/>
        <w:tabs>
          <w:tab w:leader="none" w:pos="246" w:val="left"/>
        </w:tabs>
        <w:numPr>
          <w:ilvl w:val="0"/>
          <w:numId w:val="90"/>
        </w:numPr>
        <w:rPr>
          <w:rFonts w:ascii="Arial" w:cs="Arial" w:eastAsia="Arial" w:hAnsi="Arial"/>
          <w:sz w:val="14"/>
          <w:szCs w:val="14"/>
          <w:color w:val="4C4C4C"/>
        </w:rPr>
      </w:pPr>
      <w:r>
        <w:rPr>
          <w:rFonts w:ascii="Arial" w:cs="Arial" w:eastAsia="Arial" w:hAnsi="Arial"/>
          <w:sz w:val="14"/>
          <w:szCs w:val="14"/>
          <w:color w:val="4C4C4C"/>
        </w:rPr>
        <w:t>Represents the cost of providing medical and dental benefits during the applicable severance period.</w:t>
      </w:r>
    </w:p>
    <w:p>
      <w:pPr>
        <w:spacing w:after="0" w:line="55" w:lineRule="exact"/>
        <w:rPr>
          <w:rFonts w:ascii="Arial" w:cs="Arial" w:eastAsia="Arial" w:hAnsi="Arial"/>
          <w:sz w:val="14"/>
          <w:szCs w:val="14"/>
          <w:color w:val="4C4C4C"/>
        </w:rPr>
      </w:pPr>
    </w:p>
    <w:p>
      <w:pPr>
        <w:ind w:left="246" w:hanging="246"/>
        <w:spacing w:after="0"/>
        <w:tabs>
          <w:tab w:leader="none" w:pos="246" w:val="left"/>
        </w:tabs>
        <w:numPr>
          <w:ilvl w:val="0"/>
          <w:numId w:val="90"/>
        </w:numPr>
        <w:rPr>
          <w:rFonts w:ascii="Arial" w:cs="Arial" w:eastAsia="Arial" w:hAnsi="Arial"/>
          <w:sz w:val="14"/>
          <w:szCs w:val="14"/>
          <w:color w:val="4C4C4C"/>
        </w:rPr>
      </w:pPr>
      <w:r>
        <w:rPr>
          <w:rFonts w:ascii="Arial" w:cs="Arial" w:eastAsia="Arial" w:hAnsi="Arial"/>
          <w:sz w:val="14"/>
          <w:szCs w:val="14"/>
          <w:color w:val="4C4C4C"/>
        </w:rPr>
        <w:t>Represents 100% of base salary.</w:t>
      </w:r>
    </w:p>
    <w:p>
      <w:pPr>
        <w:spacing w:after="0" w:line="55" w:lineRule="exact"/>
        <w:rPr>
          <w:rFonts w:ascii="Arial" w:cs="Arial" w:eastAsia="Arial" w:hAnsi="Arial"/>
          <w:sz w:val="14"/>
          <w:szCs w:val="14"/>
          <w:color w:val="4C4C4C"/>
        </w:rPr>
      </w:pPr>
    </w:p>
    <w:p>
      <w:pPr>
        <w:ind w:left="246" w:hanging="246"/>
        <w:spacing w:after="0"/>
        <w:tabs>
          <w:tab w:leader="none" w:pos="246" w:val="left"/>
        </w:tabs>
        <w:numPr>
          <w:ilvl w:val="0"/>
          <w:numId w:val="90"/>
        </w:numPr>
        <w:rPr>
          <w:rFonts w:ascii="Arial" w:cs="Arial" w:eastAsia="Arial" w:hAnsi="Arial"/>
          <w:sz w:val="14"/>
          <w:szCs w:val="14"/>
          <w:color w:val="4C4C4C"/>
        </w:rPr>
      </w:pPr>
      <w:r>
        <w:rPr>
          <w:rFonts w:ascii="Arial" w:cs="Arial" w:eastAsia="Arial" w:hAnsi="Arial"/>
          <w:sz w:val="14"/>
          <w:szCs w:val="14"/>
          <w:color w:val="4C4C4C"/>
        </w:rPr>
        <w:t>Represents two times the bonus paid to Mr. Picicci for the most recently completed fiscal immediately preceding the year of termination.</w:t>
      </w:r>
    </w:p>
    <w:p>
      <w:pPr>
        <w:spacing w:after="0" w:line="55" w:lineRule="exact"/>
        <w:rPr>
          <w:rFonts w:ascii="Arial" w:cs="Arial" w:eastAsia="Arial" w:hAnsi="Arial"/>
          <w:sz w:val="14"/>
          <w:szCs w:val="14"/>
          <w:color w:val="4C4C4C"/>
        </w:rPr>
      </w:pPr>
    </w:p>
    <w:p>
      <w:pPr>
        <w:ind w:left="246" w:hanging="246"/>
        <w:spacing w:after="0"/>
        <w:tabs>
          <w:tab w:leader="none" w:pos="246" w:val="left"/>
        </w:tabs>
        <w:numPr>
          <w:ilvl w:val="0"/>
          <w:numId w:val="90"/>
        </w:numPr>
        <w:rPr>
          <w:rFonts w:ascii="Arial" w:cs="Arial" w:eastAsia="Arial" w:hAnsi="Arial"/>
          <w:sz w:val="14"/>
          <w:szCs w:val="14"/>
          <w:color w:val="4C4C4C"/>
        </w:rPr>
      </w:pPr>
      <w:r>
        <w:rPr>
          <w:rFonts w:ascii="Arial" w:cs="Arial" w:eastAsia="Arial" w:hAnsi="Arial"/>
          <w:sz w:val="14"/>
          <w:szCs w:val="14"/>
          <w:color w:val="4C4C4C"/>
        </w:rPr>
        <w:t>If maximum performance for PSUs is reached, the value would increase by $1,257,955.</w:t>
      </w:r>
    </w:p>
    <w:p>
      <w:pPr>
        <w:spacing w:after="0" w:line="172" w:lineRule="exact"/>
        <w:rPr>
          <w:sz w:val="20"/>
          <w:szCs w:val="20"/>
          <w:color w:val="auto"/>
        </w:rPr>
      </w:pPr>
    </w:p>
    <w:tbl>
      <w:tblPr>
        <w:tblLayout w:type="fixed"/>
        <w:tblInd w:w="6" w:type="dxa"/>
        <w:tblCellMar>
          <w:top w:w="0" w:type="dxa"/>
          <w:left w:w="0" w:type="dxa"/>
          <w:bottom w:w="0" w:type="dxa"/>
          <w:right w:w="0" w:type="dxa"/>
        </w:tblCellMar>
      </w:tblPr>
      <w:tr>
        <w:trPr>
          <w:trHeight w:val="303"/>
        </w:trPr>
        <w:tc>
          <w:tcPr>
            <w:tcW w:w="4040" w:type="dxa"/>
            <w:vAlign w:val="bottom"/>
            <w:gridSpan w:val="4"/>
            <w:shd w:val="clear" w:color="auto" w:fill="BFA071"/>
          </w:tcPr>
          <w:p>
            <w:pPr>
              <w:ind w:left="120"/>
              <w:spacing w:after="0"/>
              <w:rPr>
                <w:sz w:val="20"/>
                <w:szCs w:val="20"/>
                <w:color w:val="auto"/>
              </w:rPr>
            </w:pPr>
            <w:r>
              <w:rPr>
                <w:rFonts w:ascii="Arial" w:cs="Arial" w:eastAsia="Arial" w:hAnsi="Arial"/>
                <w:sz w:val="14"/>
                <w:szCs w:val="14"/>
                <w:b w:val="1"/>
                <w:bCs w:val="1"/>
                <w:color w:val="FFFFFF"/>
              </w:rPr>
              <w:t>Chief Product &amp; Merchandising Officer - Halide Alagoz</w:t>
            </w:r>
          </w:p>
        </w:tc>
        <w:tc>
          <w:tcPr>
            <w:tcW w:w="960" w:type="dxa"/>
            <w:vAlign w:val="bottom"/>
            <w:shd w:val="clear" w:color="auto" w:fill="BFA071"/>
          </w:tcPr>
          <w:p>
            <w:pPr>
              <w:spacing w:after="0"/>
              <w:rPr>
                <w:sz w:val="24"/>
                <w:szCs w:val="24"/>
                <w:color w:val="auto"/>
              </w:rPr>
            </w:pPr>
          </w:p>
        </w:tc>
        <w:tc>
          <w:tcPr>
            <w:tcW w:w="680" w:type="dxa"/>
            <w:vAlign w:val="bottom"/>
            <w:shd w:val="clear" w:color="auto" w:fill="BFA071"/>
          </w:tcPr>
          <w:p>
            <w:pPr>
              <w:spacing w:after="0"/>
              <w:rPr>
                <w:sz w:val="24"/>
                <w:szCs w:val="24"/>
                <w:color w:val="auto"/>
              </w:rPr>
            </w:pPr>
          </w:p>
        </w:tc>
        <w:tc>
          <w:tcPr>
            <w:tcW w:w="880" w:type="dxa"/>
            <w:vAlign w:val="bottom"/>
            <w:shd w:val="clear" w:color="auto" w:fill="BFA071"/>
          </w:tcPr>
          <w:p>
            <w:pPr>
              <w:spacing w:after="0"/>
              <w:rPr>
                <w:sz w:val="24"/>
                <w:szCs w:val="24"/>
                <w:color w:val="auto"/>
              </w:rPr>
            </w:pPr>
          </w:p>
        </w:tc>
        <w:tc>
          <w:tcPr>
            <w:tcW w:w="920" w:type="dxa"/>
            <w:vAlign w:val="bottom"/>
            <w:shd w:val="clear" w:color="auto" w:fill="BFA071"/>
          </w:tcPr>
          <w:p>
            <w:pPr>
              <w:spacing w:after="0"/>
              <w:rPr>
                <w:sz w:val="24"/>
                <w:szCs w:val="24"/>
                <w:color w:val="auto"/>
              </w:rPr>
            </w:pPr>
          </w:p>
        </w:tc>
        <w:tc>
          <w:tcPr>
            <w:tcW w:w="620" w:type="dxa"/>
            <w:vAlign w:val="bottom"/>
            <w:shd w:val="clear" w:color="auto" w:fill="BFA071"/>
          </w:tcPr>
          <w:p>
            <w:pPr>
              <w:spacing w:after="0"/>
              <w:rPr>
                <w:sz w:val="24"/>
                <w:szCs w:val="24"/>
                <w:color w:val="auto"/>
              </w:rPr>
            </w:pPr>
          </w:p>
        </w:tc>
        <w:tc>
          <w:tcPr>
            <w:tcW w:w="260" w:type="dxa"/>
            <w:vAlign w:val="bottom"/>
            <w:shd w:val="clear" w:color="auto" w:fill="BFA071"/>
          </w:tcPr>
          <w:p>
            <w:pPr>
              <w:spacing w:after="0"/>
              <w:rPr>
                <w:sz w:val="24"/>
                <w:szCs w:val="24"/>
                <w:color w:val="auto"/>
              </w:rPr>
            </w:pPr>
          </w:p>
        </w:tc>
        <w:tc>
          <w:tcPr>
            <w:tcW w:w="820" w:type="dxa"/>
            <w:vAlign w:val="bottom"/>
            <w:shd w:val="clear" w:color="auto" w:fill="BFA071"/>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20" w:type="dxa"/>
            <w:vAlign w:val="bottom"/>
            <w:shd w:val="clear" w:color="auto" w:fill="001641"/>
          </w:tcPr>
          <w:p>
            <w:pPr>
              <w:spacing w:after="0"/>
              <w:rPr>
                <w:sz w:val="17"/>
                <w:szCs w:val="17"/>
                <w:color w:val="auto"/>
              </w:rPr>
            </w:pPr>
          </w:p>
        </w:tc>
        <w:tc>
          <w:tcPr>
            <w:tcW w:w="800" w:type="dxa"/>
            <w:vAlign w:val="bottom"/>
            <w:shd w:val="clear" w:color="auto" w:fill="001641"/>
          </w:tcPr>
          <w:p>
            <w:pPr>
              <w:spacing w:after="0"/>
              <w:rPr>
                <w:sz w:val="17"/>
                <w:szCs w:val="17"/>
                <w:color w:val="auto"/>
              </w:rPr>
            </w:pPr>
          </w:p>
        </w:tc>
        <w:tc>
          <w:tcPr>
            <w:tcW w:w="700" w:type="dxa"/>
            <w:vAlign w:val="bottom"/>
            <w:shd w:val="clear" w:color="auto" w:fill="001641"/>
          </w:tcPr>
          <w:p>
            <w:pPr>
              <w:spacing w:after="0"/>
              <w:rPr>
                <w:sz w:val="17"/>
                <w:szCs w:val="17"/>
                <w:color w:val="auto"/>
              </w:rPr>
            </w:pPr>
          </w:p>
        </w:tc>
        <w:tc>
          <w:tcPr>
            <w:tcW w:w="520" w:type="dxa"/>
            <w:vAlign w:val="bottom"/>
            <w:shd w:val="clear" w:color="auto" w:fill="001641"/>
          </w:tcPr>
          <w:p>
            <w:pPr>
              <w:spacing w:after="0"/>
              <w:rPr>
                <w:sz w:val="17"/>
                <w:szCs w:val="17"/>
                <w:color w:val="auto"/>
              </w:rPr>
            </w:pPr>
          </w:p>
        </w:tc>
        <w:tc>
          <w:tcPr>
            <w:tcW w:w="960" w:type="dxa"/>
            <w:vAlign w:val="bottom"/>
            <w:shd w:val="clear" w:color="auto" w:fill="001641"/>
          </w:tcPr>
          <w:p>
            <w:pPr>
              <w:spacing w:after="0"/>
              <w:rPr>
                <w:sz w:val="17"/>
                <w:szCs w:val="17"/>
                <w:color w:val="auto"/>
              </w:rPr>
            </w:pPr>
          </w:p>
        </w:tc>
        <w:tc>
          <w:tcPr>
            <w:tcW w:w="680" w:type="dxa"/>
            <w:vAlign w:val="bottom"/>
            <w:shd w:val="clear" w:color="auto" w:fill="001641"/>
          </w:tcPr>
          <w:p>
            <w:pPr>
              <w:spacing w:after="0"/>
              <w:rPr>
                <w:sz w:val="17"/>
                <w:szCs w:val="17"/>
                <w:color w:val="auto"/>
              </w:rPr>
            </w:pPr>
          </w:p>
        </w:tc>
        <w:tc>
          <w:tcPr>
            <w:tcW w:w="880" w:type="dxa"/>
            <w:vAlign w:val="bottom"/>
            <w:shd w:val="clear" w:color="auto" w:fill="001641"/>
          </w:tcPr>
          <w:p>
            <w:pPr>
              <w:spacing w:after="0"/>
              <w:rPr>
                <w:sz w:val="17"/>
                <w:szCs w:val="17"/>
                <w:color w:val="auto"/>
              </w:rPr>
            </w:pPr>
          </w:p>
        </w:tc>
        <w:tc>
          <w:tcPr>
            <w:tcW w:w="1540" w:type="dxa"/>
            <w:vAlign w:val="bottom"/>
            <w:gridSpan w:val="2"/>
            <w:shd w:val="clear" w:color="auto" w:fill="001641"/>
          </w:tcPr>
          <w:p>
            <w:pPr>
              <w:jc w:val="right"/>
              <w:ind w:right="148"/>
              <w:spacing w:after="0"/>
              <w:rPr>
                <w:sz w:val="20"/>
                <w:szCs w:val="20"/>
                <w:color w:val="auto"/>
              </w:rPr>
            </w:pPr>
            <w:r>
              <w:rPr>
                <w:rFonts w:ascii="Arial" w:cs="Arial" w:eastAsia="Arial" w:hAnsi="Arial"/>
                <w:sz w:val="14"/>
                <w:szCs w:val="14"/>
                <w:b w:val="1"/>
                <w:bCs w:val="1"/>
                <w:color w:val="FFFFFF"/>
              </w:rPr>
              <w:t>Continuation of</w:t>
            </w:r>
          </w:p>
        </w:tc>
        <w:tc>
          <w:tcPr>
            <w:tcW w:w="260" w:type="dxa"/>
            <w:vAlign w:val="bottom"/>
            <w:shd w:val="clear" w:color="auto" w:fill="001641"/>
          </w:tcPr>
          <w:p>
            <w:pPr>
              <w:spacing w:after="0"/>
              <w:rPr>
                <w:sz w:val="17"/>
                <w:szCs w:val="17"/>
                <w:color w:val="auto"/>
              </w:rPr>
            </w:pPr>
          </w:p>
        </w:tc>
        <w:tc>
          <w:tcPr>
            <w:tcW w:w="820" w:type="dxa"/>
            <w:vAlign w:val="bottom"/>
            <w:shd w:val="clear" w:color="auto" w:fill="001641"/>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20" w:type="dxa"/>
            <w:vAlign w:val="bottom"/>
            <w:shd w:val="clear" w:color="auto" w:fill="001641"/>
          </w:tcPr>
          <w:p>
            <w:pPr>
              <w:spacing w:after="0"/>
              <w:rPr>
                <w:sz w:val="14"/>
                <w:szCs w:val="14"/>
                <w:color w:val="auto"/>
              </w:rPr>
            </w:pPr>
          </w:p>
        </w:tc>
        <w:tc>
          <w:tcPr>
            <w:tcW w:w="1500" w:type="dxa"/>
            <w:vAlign w:val="bottom"/>
            <w:gridSpan w:val="2"/>
            <w:shd w:val="clear" w:color="auto" w:fill="001641"/>
          </w:tcPr>
          <w:p>
            <w:pPr>
              <w:jc w:val="right"/>
              <w:ind w:right="128"/>
              <w:spacing w:after="0"/>
              <w:rPr>
                <w:sz w:val="20"/>
                <w:szCs w:val="20"/>
                <w:color w:val="auto"/>
              </w:rPr>
            </w:pPr>
            <w:r>
              <w:rPr>
                <w:rFonts w:ascii="Arial" w:cs="Arial" w:eastAsia="Arial" w:hAnsi="Arial"/>
                <w:sz w:val="14"/>
                <w:szCs w:val="14"/>
                <w:b w:val="1"/>
                <w:bCs w:val="1"/>
                <w:color w:val="FFFFFF"/>
              </w:rPr>
              <w:t>Cash Severance</w:t>
            </w:r>
          </w:p>
        </w:tc>
        <w:tc>
          <w:tcPr>
            <w:tcW w:w="1480" w:type="dxa"/>
            <w:vAlign w:val="bottom"/>
            <w:gridSpan w:val="2"/>
            <w:shd w:val="clear" w:color="auto" w:fill="001641"/>
          </w:tcPr>
          <w:p>
            <w:pPr>
              <w:ind w:left="160"/>
              <w:spacing w:after="0"/>
              <w:rPr>
                <w:sz w:val="20"/>
                <w:szCs w:val="20"/>
                <w:color w:val="auto"/>
              </w:rPr>
            </w:pPr>
            <w:r>
              <w:rPr>
                <w:rFonts w:ascii="Arial" w:cs="Arial" w:eastAsia="Arial" w:hAnsi="Arial"/>
                <w:sz w:val="14"/>
                <w:szCs w:val="14"/>
                <w:b w:val="1"/>
                <w:bCs w:val="1"/>
                <w:color w:val="FFFFFF"/>
              </w:rPr>
              <w:t>Cash Severance</w:t>
            </w:r>
          </w:p>
        </w:tc>
        <w:tc>
          <w:tcPr>
            <w:tcW w:w="1560" w:type="dxa"/>
            <w:vAlign w:val="bottom"/>
            <w:gridSpan w:val="2"/>
            <w:shd w:val="clear" w:color="auto" w:fill="001641"/>
          </w:tcPr>
          <w:p>
            <w:pPr>
              <w:ind w:left="180"/>
              <w:spacing w:after="0"/>
              <w:rPr>
                <w:sz w:val="20"/>
                <w:szCs w:val="20"/>
                <w:color w:val="auto"/>
              </w:rPr>
            </w:pPr>
            <w:r>
              <w:rPr>
                <w:rFonts w:ascii="Arial" w:cs="Arial" w:eastAsia="Arial" w:hAnsi="Arial"/>
                <w:sz w:val="14"/>
                <w:szCs w:val="14"/>
                <w:b w:val="1"/>
                <w:bCs w:val="1"/>
                <w:color w:val="FFFFFF"/>
              </w:rPr>
              <w:t>Vesting of Equity</w:t>
            </w:r>
          </w:p>
        </w:tc>
        <w:tc>
          <w:tcPr>
            <w:tcW w:w="1540" w:type="dxa"/>
            <w:vAlign w:val="bottom"/>
            <w:gridSpan w:val="2"/>
            <w:shd w:val="clear" w:color="auto" w:fill="001641"/>
          </w:tcPr>
          <w:p>
            <w:pPr>
              <w:jc w:val="right"/>
              <w:ind w:right="148"/>
              <w:spacing w:after="0"/>
              <w:rPr>
                <w:sz w:val="20"/>
                <w:szCs w:val="20"/>
                <w:color w:val="auto"/>
              </w:rPr>
            </w:pPr>
            <w:r>
              <w:rPr>
                <w:rFonts w:ascii="Arial" w:cs="Arial" w:eastAsia="Arial" w:hAnsi="Arial"/>
                <w:sz w:val="14"/>
                <w:szCs w:val="14"/>
                <w:b w:val="1"/>
                <w:bCs w:val="1"/>
                <w:color w:val="FFFFFF"/>
              </w:rPr>
              <w:t>Other Benefits &amp;</w:t>
            </w:r>
          </w:p>
        </w:tc>
        <w:tc>
          <w:tcPr>
            <w:tcW w:w="260" w:type="dxa"/>
            <w:vAlign w:val="bottom"/>
            <w:shd w:val="clear" w:color="auto" w:fill="001641"/>
          </w:tcPr>
          <w:p>
            <w:pPr>
              <w:spacing w:after="0"/>
              <w:rPr>
                <w:sz w:val="14"/>
                <w:szCs w:val="14"/>
                <w:color w:val="auto"/>
              </w:rPr>
            </w:pPr>
          </w:p>
        </w:tc>
        <w:tc>
          <w:tcPr>
            <w:tcW w:w="820" w:type="dxa"/>
            <w:vAlign w:val="bottom"/>
            <w:shd w:val="clear" w:color="auto" w:fill="001641"/>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001641"/>
          </w:tcPr>
          <w:p>
            <w:pPr>
              <w:spacing w:after="0"/>
              <w:rPr>
                <w:sz w:val="19"/>
                <w:szCs w:val="19"/>
                <w:color w:val="auto"/>
              </w:rPr>
            </w:pPr>
          </w:p>
        </w:tc>
        <w:tc>
          <w:tcPr>
            <w:tcW w:w="1500" w:type="dxa"/>
            <w:vAlign w:val="bottom"/>
            <w:gridSpan w:val="2"/>
            <w:shd w:val="clear" w:color="auto" w:fill="001641"/>
          </w:tcPr>
          <w:p>
            <w:pPr>
              <w:jc w:val="right"/>
              <w:ind w:right="88"/>
              <w:spacing w:after="0" w:line="230" w:lineRule="exact"/>
              <w:rPr>
                <w:sz w:val="20"/>
                <w:szCs w:val="20"/>
                <w:color w:val="auto"/>
              </w:rPr>
            </w:pPr>
            <w:r>
              <w:rPr>
                <w:rFonts w:ascii="Arial" w:cs="Arial" w:eastAsia="Arial" w:hAnsi="Arial"/>
                <w:sz w:val="14"/>
                <w:szCs w:val="14"/>
                <w:b w:val="1"/>
                <w:bCs w:val="1"/>
                <w:color w:val="FFFFFF"/>
              </w:rPr>
              <w:t>– Base Salary</w:t>
            </w:r>
            <w:r>
              <w:rPr>
                <w:rFonts w:ascii="Arial" w:cs="Arial" w:eastAsia="Arial" w:hAnsi="Arial"/>
                <w:sz w:val="23"/>
                <w:szCs w:val="23"/>
                <w:b w:val="1"/>
                <w:bCs w:val="1"/>
                <w:color w:val="FFFFFF"/>
                <w:vertAlign w:val="superscript"/>
              </w:rPr>
              <w:t>1</w:t>
            </w:r>
          </w:p>
        </w:tc>
        <w:tc>
          <w:tcPr>
            <w:tcW w:w="520" w:type="dxa"/>
            <w:vAlign w:val="bottom"/>
            <w:shd w:val="clear" w:color="auto" w:fill="001641"/>
          </w:tcPr>
          <w:p>
            <w:pPr>
              <w:spacing w:after="0"/>
              <w:rPr>
                <w:sz w:val="19"/>
                <w:szCs w:val="19"/>
                <w:color w:val="auto"/>
              </w:rPr>
            </w:pPr>
          </w:p>
        </w:tc>
        <w:tc>
          <w:tcPr>
            <w:tcW w:w="960" w:type="dxa"/>
            <w:vAlign w:val="bottom"/>
            <w:shd w:val="clear" w:color="auto" w:fill="001641"/>
          </w:tcPr>
          <w:p>
            <w:pPr>
              <w:jc w:val="right"/>
              <w:ind w:right="88"/>
              <w:spacing w:after="0"/>
              <w:rPr>
                <w:sz w:val="20"/>
                <w:szCs w:val="20"/>
                <w:color w:val="auto"/>
              </w:rPr>
            </w:pPr>
            <w:r>
              <w:rPr>
                <w:rFonts w:ascii="Arial" w:cs="Arial" w:eastAsia="Arial" w:hAnsi="Arial"/>
                <w:sz w:val="14"/>
                <w:szCs w:val="14"/>
                <w:b w:val="1"/>
                <w:bCs w:val="1"/>
                <w:color w:val="FFFFFF"/>
              </w:rPr>
              <w:t>– Bonus</w:t>
            </w:r>
          </w:p>
        </w:tc>
        <w:tc>
          <w:tcPr>
            <w:tcW w:w="680" w:type="dxa"/>
            <w:vAlign w:val="bottom"/>
            <w:shd w:val="clear" w:color="auto" w:fill="001641"/>
          </w:tcPr>
          <w:p>
            <w:pPr>
              <w:spacing w:after="0"/>
              <w:rPr>
                <w:sz w:val="19"/>
                <w:szCs w:val="19"/>
                <w:color w:val="auto"/>
              </w:rPr>
            </w:pPr>
          </w:p>
        </w:tc>
        <w:tc>
          <w:tcPr>
            <w:tcW w:w="880" w:type="dxa"/>
            <w:vAlign w:val="bottom"/>
            <w:shd w:val="clear" w:color="auto" w:fill="001641"/>
          </w:tcPr>
          <w:p>
            <w:pPr>
              <w:jc w:val="right"/>
              <w:ind w:right="108"/>
              <w:spacing w:after="0" w:line="230"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23"/>
                <w:szCs w:val="23"/>
                <w:b w:val="1"/>
                <w:bCs w:val="1"/>
                <w:color w:val="FFFFFF"/>
                <w:vertAlign w:val="superscript"/>
              </w:rPr>
              <w:t>2</w:t>
            </w:r>
          </w:p>
        </w:tc>
        <w:tc>
          <w:tcPr>
            <w:tcW w:w="1540" w:type="dxa"/>
            <w:vAlign w:val="bottom"/>
            <w:gridSpan w:val="2"/>
            <w:shd w:val="clear" w:color="auto" w:fill="001641"/>
          </w:tcPr>
          <w:p>
            <w:pPr>
              <w:jc w:val="right"/>
              <w:ind w:right="108"/>
              <w:spacing w:after="0" w:line="230" w:lineRule="exact"/>
              <w:rPr>
                <w:sz w:val="20"/>
                <w:szCs w:val="20"/>
                <w:color w:val="auto"/>
              </w:rPr>
            </w:pPr>
            <w:r>
              <w:rPr>
                <w:rFonts w:ascii="Arial" w:cs="Arial" w:eastAsia="Arial" w:hAnsi="Arial"/>
                <w:sz w:val="14"/>
                <w:szCs w:val="14"/>
                <w:b w:val="1"/>
                <w:bCs w:val="1"/>
                <w:color w:val="FFFFFF"/>
              </w:rPr>
              <w:t>Perquisites</w:t>
            </w:r>
            <w:r>
              <w:rPr>
                <w:rFonts w:ascii="Arial" w:cs="Arial" w:eastAsia="Arial" w:hAnsi="Arial"/>
                <w:sz w:val="23"/>
                <w:szCs w:val="23"/>
                <w:b w:val="1"/>
                <w:bCs w:val="1"/>
                <w:color w:val="FFFFFF"/>
                <w:vertAlign w:val="superscript"/>
              </w:rPr>
              <w:t>3</w:t>
            </w:r>
          </w:p>
        </w:tc>
        <w:tc>
          <w:tcPr>
            <w:tcW w:w="260" w:type="dxa"/>
            <w:vAlign w:val="bottom"/>
            <w:shd w:val="clear" w:color="auto" w:fill="001641"/>
          </w:tcPr>
          <w:p>
            <w:pPr>
              <w:spacing w:after="0"/>
              <w:rPr>
                <w:sz w:val="19"/>
                <w:szCs w:val="19"/>
                <w:color w:val="auto"/>
              </w:rPr>
            </w:pPr>
          </w:p>
        </w:tc>
        <w:tc>
          <w:tcPr>
            <w:tcW w:w="820" w:type="dxa"/>
            <w:vAlign w:val="bottom"/>
            <w:shd w:val="clear" w:color="auto" w:fill="001641"/>
          </w:tcPr>
          <w:p>
            <w:pPr>
              <w:jc w:val="right"/>
              <w:ind w:right="2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93"/>
        </w:trPr>
        <w:tc>
          <w:tcPr>
            <w:tcW w:w="2020" w:type="dxa"/>
            <w:vAlign w:val="bottom"/>
          </w:tcPr>
          <w:p>
            <w:pPr>
              <w:ind w:left="120"/>
              <w:spacing w:after="0"/>
              <w:rPr>
                <w:sz w:val="20"/>
                <w:szCs w:val="20"/>
                <w:color w:val="auto"/>
              </w:rPr>
            </w:pPr>
            <w:r>
              <w:rPr>
                <w:rFonts w:ascii="Arial" w:cs="Arial" w:eastAsia="Arial" w:hAnsi="Arial"/>
                <w:sz w:val="14"/>
                <w:szCs w:val="14"/>
                <w:color w:val="001641"/>
              </w:rPr>
              <w:t>By the Company for</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120"/>
              <w:spacing w:after="0"/>
              <w:rPr>
                <w:sz w:val="20"/>
                <w:szCs w:val="20"/>
                <w:color w:val="auto"/>
              </w:rPr>
            </w:pPr>
            <w:r>
              <w:rPr>
                <w:rFonts w:ascii="Arial" w:cs="Arial" w:eastAsia="Arial" w:hAnsi="Arial"/>
                <w:sz w:val="14"/>
                <w:szCs w:val="14"/>
                <w:color w:val="001641"/>
              </w:rPr>
              <w:t>Cause/by the Executive</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20" w:type="dxa"/>
            <w:vAlign w:val="bottom"/>
          </w:tcPr>
          <w:p>
            <w:pPr>
              <w:ind w:left="120"/>
              <w:spacing w:after="0"/>
              <w:rPr>
                <w:sz w:val="20"/>
                <w:szCs w:val="20"/>
                <w:color w:val="auto"/>
              </w:rPr>
            </w:pPr>
            <w:r>
              <w:rPr>
                <w:rFonts w:ascii="Arial" w:cs="Arial" w:eastAsia="Arial" w:hAnsi="Arial"/>
                <w:sz w:val="14"/>
                <w:szCs w:val="14"/>
                <w:color w:val="001641"/>
              </w:rPr>
              <w:t>Without Good Reason</w:t>
            </w:r>
          </w:p>
        </w:tc>
        <w:tc>
          <w:tcPr>
            <w:tcW w:w="800" w:type="dxa"/>
            <w:vAlign w:val="bottom"/>
          </w:tcPr>
          <w:p>
            <w:pPr>
              <w:jc w:val="right"/>
              <w:ind w:right="208"/>
              <w:spacing w:after="0"/>
              <w:rPr>
                <w:sz w:val="20"/>
                <w:szCs w:val="20"/>
                <w:color w:val="auto"/>
              </w:rPr>
            </w:pPr>
            <w:r>
              <w:rPr>
                <w:rFonts w:ascii="Arial" w:cs="Arial" w:eastAsia="Arial" w:hAnsi="Arial"/>
                <w:sz w:val="14"/>
                <w:szCs w:val="14"/>
                <w:color w:val="001641"/>
              </w:rPr>
              <w:t>$</w:t>
            </w:r>
          </w:p>
        </w:tc>
        <w:tc>
          <w:tcPr>
            <w:tcW w:w="700" w:type="dxa"/>
            <w:vAlign w:val="bottom"/>
          </w:tcPr>
          <w:p>
            <w:pPr>
              <w:jc w:val="right"/>
              <w:ind w:right="248"/>
              <w:spacing w:after="0"/>
              <w:rPr>
                <w:sz w:val="20"/>
                <w:szCs w:val="20"/>
                <w:color w:val="auto"/>
              </w:rPr>
            </w:pPr>
            <w:r>
              <w:rPr>
                <w:rFonts w:ascii="Arial" w:cs="Arial" w:eastAsia="Arial" w:hAnsi="Arial"/>
                <w:sz w:val="14"/>
                <w:szCs w:val="14"/>
                <w:color w:val="001641"/>
              </w:rPr>
              <w:t>0</w:t>
            </w:r>
          </w:p>
        </w:tc>
        <w:tc>
          <w:tcPr>
            <w:tcW w:w="520" w:type="dxa"/>
            <w:vAlign w:val="bottom"/>
          </w:tcPr>
          <w:p>
            <w:pPr>
              <w:ind w:left="400"/>
              <w:spacing w:after="0"/>
              <w:rPr>
                <w:sz w:val="20"/>
                <w:szCs w:val="20"/>
                <w:color w:val="auto"/>
              </w:rPr>
            </w:pPr>
            <w:r>
              <w:rPr>
                <w:rFonts w:ascii="Arial" w:cs="Arial" w:eastAsia="Arial" w:hAnsi="Arial"/>
                <w:sz w:val="14"/>
                <w:szCs w:val="14"/>
                <w:color w:val="001641"/>
              </w:rPr>
              <w:t>$</w:t>
            </w:r>
          </w:p>
        </w:tc>
        <w:tc>
          <w:tcPr>
            <w:tcW w:w="960" w:type="dxa"/>
            <w:vAlign w:val="bottom"/>
          </w:tcPr>
          <w:p>
            <w:pPr>
              <w:jc w:val="right"/>
              <w:ind w:right="228"/>
              <w:spacing w:after="0"/>
              <w:rPr>
                <w:sz w:val="20"/>
                <w:szCs w:val="20"/>
                <w:color w:val="auto"/>
              </w:rPr>
            </w:pPr>
            <w:r>
              <w:rPr>
                <w:rFonts w:ascii="Arial" w:cs="Arial" w:eastAsia="Arial" w:hAnsi="Arial"/>
                <w:sz w:val="14"/>
                <w:szCs w:val="14"/>
                <w:color w:val="001641"/>
              </w:rPr>
              <w:t>0</w:t>
            </w:r>
          </w:p>
        </w:tc>
        <w:tc>
          <w:tcPr>
            <w:tcW w:w="680" w:type="dxa"/>
            <w:vAlign w:val="bottom"/>
          </w:tcPr>
          <w:p>
            <w:pPr>
              <w:ind w:left="500"/>
              <w:spacing w:after="0"/>
              <w:rPr>
                <w:sz w:val="20"/>
                <w:szCs w:val="20"/>
                <w:color w:val="auto"/>
              </w:rPr>
            </w:pPr>
            <w:r>
              <w:rPr>
                <w:rFonts w:ascii="Arial" w:cs="Arial" w:eastAsia="Arial" w:hAnsi="Arial"/>
                <w:sz w:val="14"/>
                <w:szCs w:val="14"/>
                <w:color w:val="001641"/>
              </w:rPr>
              <w:t>$</w:t>
            </w:r>
          </w:p>
        </w:tc>
        <w:tc>
          <w:tcPr>
            <w:tcW w:w="880" w:type="dxa"/>
            <w:vAlign w:val="bottom"/>
          </w:tcPr>
          <w:p>
            <w:pPr>
              <w:jc w:val="right"/>
              <w:ind w:right="268"/>
              <w:spacing w:after="0"/>
              <w:rPr>
                <w:sz w:val="20"/>
                <w:szCs w:val="20"/>
                <w:color w:val="auto"/>
              </w:rPr>
            </w:pPr>
            <w:r>
              <w:rPr>
                <w:rFonts w:ascii="Arial" w:cs="Arial" w:eastAsia="Arial" w:hAnsi="Arial"/>
                <w:sz w:val="14"/>
                <w:szCs w:val="14"/>
                <w:color w:val="001641"/>
              </w:rPr>
              <w:t>0</w:t>
            </w:r>
          </w:p>
        </w:tc>
        <w:tc>
          <w:tcPr>
            <w:tcW w:w="920" w:type="dxa"/>
            <w:vAlign w:val="bottom"/>
          </w:tcPr>
          <w:p>
            <w:pPr>
              <w:jc w:val="right"/>
              <w:ind w:right="108"/>
              <w:spacing w:after="0"/>
              <w:rPr>
                <w:sz w:val="20"/>
                <w:szCs w:val="20"/>
                <w:color w:val="auto"/>
              </w:rPr>
            </w:pPr>
            <w:r>
              <w:rPr>
                <w:rFonts w:ascii="Arial" w:cs="Arial" w:eastAsia="Arial" w:hAnsi="Arial"/>
                <w:sz w:val="14"/>
                <w:szCs w:val="14"/>
                <w:color w:val="001641"/>
              </w:rPr>
              <w:t>$</w:t>
            </w:r>
          </w:p>
        </w:tc>
        <w:tc>
          <w:tcPr>
            <w:tcW w:w="620" w:type="dxa"/>
            <w:vAlign w:val="bottom"/>
          </w:tcPr>
          <w:p>
            <w:pPr>
              <w:jc w:val="right"/>
              <w:ind w:right="288"/>
              <w:spacing w:after="0"/>
              <w:rPr>
                <w:sz w:val="20"/>
                <w:szCs w:val="20"/>
                <w:color w:val="auto"/>
              </w:rPr>
            </w:pPr>
            <w:r>
              <w:rPr>
                <w:rFonts w:ascii="Arial" w:cs="Arial" w:eastAsia="Arial" w:hAnsi="Arial"/>
                <w:sz w:val="14"/>
                <w:szCs w:val="14"/>
                <w:color w:val="001641"/>
              </w:rPr>
              <w:t>0</w:t>
            </w:r>
          </w:p>
        </w:tc>
        <w:tc>
          <w:tcPr>
            <w:tcW w:w="260" w:type="dxa"/>
            <w:vAlign w:val="bottom"/>
          </w:tcPr>
          <w:p>
            <w:pPr>
              <w:jc w:val="right"/>
              <w:spacing w:after="0"/>
              <w:rPr>
                <w:sz w:val="20"/>
                <w:szCs w:val="20"/>
                <w:color w:val="auto"/>
              </w:rPr>
            </w:pPr>
            <w:r>
              <w:rPr>
                <w:rFonts w:ascii="Arial" w:cs="Arial" w:eastAsia="Arial" w:hAnsi="Arial"/>
                <w:sz w:val="14"/>
                <w:szCs w:val="14"/>
                <w:color w:val="001641"/>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001641"/>
              </w:rPr>
              <w:t>0</w:t>
            </w:r>
          </w:p>
        </w:tc>
        <w:tc>
          <w:tcPr>
            <w:tcW w:w="0" w:type="dxa"/>
            <w:vAlign w:val="bottom"/>
          </w:tcPr>
          <w:p>
            <w:pPr>
              <w:spacing w:after="0"/>
              <w:rPr>
                <w:sz w:val="1"/>
                <w:szCs w:val="1"/>
                <w:color w:val="auto"/>
              </w:rPr>
            </w:pPr>
          </w:p>
        </w:tc>
      </w:tr>
      <w:tr>
        <w:trPr>
          <w:trHeight w:val="22"/>
        </w:trPr>
        <w:tc>
          <w:tcPr>
            <w:tcW w:w="2020" w:type="dxa"/>
            <w:vAlign w:val="bottom"/>
            <w:tcBorders>
              <w:bottom w:val="single" w:sz="8" w:color="BFA071"/>
            </w:tcBorders>
          </w:tcPr>
          <w:p>
            <w:pPr>
              <w:spacing w:after="0" w:line="20" w:lineRule="exact"/>
              <w:rPr>
                <w:sz w:val="1"/>
                <w:szCs w:val="1"/>
                <w:color w:val="auto"/>
              </w:rPr>
            </w:pPr>
          </w:p>
        </w:tc>
        <w:tc>
          <w:tcPr>
            <w:tcW w:w="800" w:type="dxa"/>
            <w:vAlign w:val="bottom"/>
            <w:tcBorders>
              <w:bottom w:val="single" w:sz="8" w:color="BFA071"/>
            </w:tcBorders>
          </w:tcPr>
          <w:p>
            <w:pPr>
              <w:spacing w:after="0" w:line="20" w:lineRule="exact"/>
              <w:rPr>
                <w:sz w:val="1"/>
                <w:szCs w:val="1"/>
                <w:color w:val="auto"/>
              </w:rPr>
            </w:pPr>
          </w:p>
        </w:tc>
        <w:tc>
          <w:tcPr>
            <w:tcW w:w="700" w:type="dxa"/>
            <w:vAlign w:val="bottom"/>
            <w:tcBorders>
              <w:bottom w:val="single" w:sz="8" w:color="BFA071"/>
            </w:tcBorders>
          </w:tcPr>
          <w:p>
            <w:pPr>
              <w:spacing w:after="0" w:line="20" w:lineRule="exact"/>
              <w:rPr>
                <w:sz w:val="1"/>
                <w:szCs w:val="1"/>
                <w:color w:val="auto"/>
              </w:rPr>
            </w:pPr>
          </w:p>
        </w:tc>
        <w:tc>
          <w:tcPr>
            <w:tcW w:w="52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68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620" w:type="dxa"/>
            <w:vAlign w:val="bottom"/>
            <w:tcBorders>
              <w:bottom w:val="single" w:sz="8" w:color="BFA071"/>
            </w:tcBorders>
          </w:tcPr>
          <w:p>
            <w:pPr>
              <w:spacing w:after="0" w:line="20" w:lineRule="exact"/>
              <w:rPr>
                <w:sz w:val="1"/>
                <w:szCs w:val="1"/>
                <w:color w:val="auto"/>
              </w:rPr>
            </w:pPr>
          </w:p>
        </w:tc>
        <w:tc>
          <w:tcPr>
            <w:tcW w:w="260" w:type="dxa"/>
            <w:vAlign w:val="bottom"/>
            <w:tcBorders>
              <w:bottom w:val="single" w:sz="8" w:color="BFA071"/>
            </w:tcBorders>
          </w:tcPr>
          <w:p>
            <w:pPr>
              <w:spacing w:after="0" w:line="20" w:lineRule="exact"/>
              <w:rPr>
                <w:sz w:val="1"/>
                <w:szCs w:val="1"/>
                <w:color w:val="auto"/>
              </w:rPr>
            </w:pPr>
          </w:p>
        </w:tc>
        <w:tc>
          <w:tcPr>
            <w:tcW w:w="82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020" w:type="dxa"/>
            <w:vAlign w:val="bottom"/>
          </w:tcPr>
          <w:p>
            <w:pPr>
              <w:ind w:left="120"/>
              <w:spacing w:after="0"/>
              <w:rPr>
                <w:sz w:val="20"/>
                <w:szCs w:val="20"/>
                <w:color w:val="auto"/>
              </w:rPr>
            </w:pPr>
            <w:r>
              <w:rPr>
                <w:rFonts w:ascii="Arial" w:cs="Arial" w:eastAsia="Arial" w:hAnsi="Arial"/>
                <w:sz w:val="14"/>
                <w:szCs w:val="14"/>
                <w:color w:val="001641"/>
              </w:rPr>
              <w:t>By the Company Without</w:t>
            </w: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120"/>
              <w:spacing w:after="0"/>
              <w:rPr>
                <w:sz w:val="20"/>
                <w:szCs w:val="20"/>
                <w:color w:val="auto"/>
              </w:rPr>
            </w:pPr>
            <w:r>
              <w:rPr>
                <w:rFonts w:ascii="Arial" w:cs="Arial" w:eastAsia="Arial" w:hAnsi="Arial"/>
                <w:sz w:val="14"/>
                <w:szCs w:val="14"/>
                <w:color w:val="001641"/>
              </w:rPr>
              <w:t>Cause/by the Executive for</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2"/>
            <w:vMerge w:val="restart"/>
          </w:tcPr>
          <w:p>
            <w:pPr>
              <w:ind w:left="400"/>
              <w:spacing w:after="0"/>
              <w:rPr>
                <w:sz w:val="20"/>
                <w:szCs w:val="20"/>
                <w:color w:val="auto"/>
              </w:rPr>
            </w:pPr>
            <w:r>
              <w:rPr>
                <w:rFonts w:ascii="Arial" w:cs="Arial" w:eastAsia="Arial" w:hAnsi="Arial"/>
                <w:sz w:val="14"/>
                <w:szCs w:val="14"/>
                <w:color w:val="001641"/>
              </w:rPr>
              <w:t>$1,000,000</w:t>
            </w:r>
            <w:r>
              <w:rPr>
                <w:rFonts w:ascii="Arial" w:cs="Arial" w:eastAsia="Arial" w:hAnsi="Arial"/>
                <w:sz w:val="23"/>
                <w:szCs w:val="23"/>
                <w:color w:val="001641"/>
                <w:vertAlign w:val="superscript"/>
              </w:rPr>
              <w:t>4</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20" w:type="dxa"/>
            <w:vAlign w:val="bottom"/>
            <w:tcBorders>
              <w:bottom w:val="single" w:sz="8" w:color="BFA071"/>
            </w:tcBorders>
          </w:tcPr>
          <w:p>
            <w:pPr>
              <w:ind w:left="120"/>
              <w:spacing w:after="0"/>
              <w:rPr>
                <w:sz w:val="20"/>
                <w:szCs w:val="20"/>
                <w:color w:val="auto"/>
              </w:rPr>
            </w:pPr>
            <w:r>
              <w:rPr>
                <w:rFonts w:ascii="Arial" w:cs="Arial" w:eastAsia="Arial" w:hAnsi="Arial"/>
                <w:sz w:val="14"/>
                <w:szCs w:val="14"/>
                <w:color w:val="001641"/>
              </w:rPr>
              <w:t>Good Reason</w:t>
            </w:r>
          </w:p>
        </w:tc>
        <w:tc>
          <w:tcPr>
            <w:tcW w:w="1500" w:type="dxa"/>
            <w:vAlign w:val="bottom"/>
            <w:tcBorders>
              <w:bottom w:val="single" w:sz="8" w:color="BFA071"/>
            </w:tcBorders>
            <w:gridSpan w:val="2"/>
          </w:tcPr>
          <w:p>
            <w:pPr>
              <w:jc w:val="right"/>
              <w:ind w:right="268"/>
              <w:spacing w:after="0"/>
              <w:rPr>
                <w:sz w:val="20"/>
                <w:szCs w:val="20"/>
                <w:color w:val="auto"/>
              </w:rPr>
            </w:pPr>
            <w:r>
              <w:rPr>
                <w:rFonts w:ascii="Arial" w:cs="Arial" w:eastAsia="Arial" w:hAnsi="Arial"/>
                <w:sz w:val="14"/>
                <w:szCs w:val="14"/>
                <w:color w:val="001641"/>
              </w:rPr>
              <w:t>$1,000,000</w:t>
            </w:r>
          </w:p>
        </w:tc>
        <w:tc>
          <w:tcPr>
            <w:tcW w:w="1480" w:type="dxa"/>
            <w:vAlign w:val="bottom"/>
            <w:tcBorders>
              <w:bottom w:val="single" w:sz="8" w:color="BFA071"/>
            </w:tcBorders>
            <w:gridSpan w:val="2"/>
            <w:vMerge w:val="continue"/>
          </w:tcPr>
          <w:p>
            <w:pPr>
              <w:spacing w:after="0"/>
              <w:rPr>
                <w:sz w:val="18"/>
                <w:szCs w:val="18"/>
                <w:color w:val="auto"/>
              </w:rPr>
            </w:pPr>
          </w:p>
        </w:tc>
        <w:tc>
          <w:tcPr>
            <w:tcW w:w="680" w:type="dxa"/>
            <w:vAlign w:val="bottom"/>
            <w:tcBorders>
              <w:bottom w:val="single" w:sz="8" w:color="BFA071"/>
            </w:tcBorders>
          </w:tcPr>
          <w:p>
            <w:pPr>
              <w:ind w:left="500"/>
              <w:spacing w:after="0"/>
              <w:rPr>
                <w:sz w:val="20"/>
                <w:szCs w:val="20"/>
                <w:color w:val="auto"/>
              </w:rPr>
            </w:pPr>
            <w:r>
              <w:rPr>
                <w:rFonts w:ascii="Arial" w:cs="Arial" w:eastAsia="Arial" w:hAnsi="Arial"/>
                <w:sz w:val="14"/>
                <w:szCs w:val="14"/>
                <w:color w:val="001641"/>
              </w:rPr>
              <w:t>$</w:t>
            </w:r>
          </w:p>
        </w:tc>
        <w:tc>
          <w:tcPr>
            <w:tcW w:w="880" w:type="dxa"/>
            <w:vAlign w:val="bottom"/>
            <w:tcBorders>
              <w:bottom w:val="single" w:sz="8" w:color="BFA071"/>
            </w:tcBorders>
          </w:tcPr>
          <w:p>
            <w:pPr>
              <w:jc w:val="right"/>
              <w:ind w:right="268"/>
              <w:spacing w:after="0"/>
              <w:rPr>
                <w:sz w:val="20"/>
                <w:szCs w:val="20"/>
                <w:color w:val="auto"/>
              </w:rPr>
            </w:pPr>
            <w:r>
              <w:rPr>
                <w:rFonts w:ascii="Arial" w:cs="Arial" w:eastAsia="Arial" w:hAnsi="Arial"/>
                <w:sz w:val="14"/>
                <w:szCs w:val="14"/>
                <w:color w:val="001641"/>
              </w:rPr>
              <w:t>0</w:t>
            </w:r>
          </w:p>
        </w:tc>
        <w:tc>
          <w:tcPr>
            <w:tcW w:w="1540" w:type="dxa"/>
            <w:vAlign w:val="bottom"/>
            <w:tcBorders>
              <w:bottom w:val="single" w:sz="8" w:color="BFA071"/>
            </w:tcBorders>
            <w:gridSpan w:val="2"/>
          </w:tcPr>
          <w:p>
            <w:pPr>
              <w:jc w:val="right"/>
              <w:ind w:right="288"/>
              <w:spacing w:after="0"/>
              <w:rPr>
                <w:sz w:val="20"/>
                <w:szCs w:val="20"/>
                <w:color w:val="auto"/>
              </w:rPr>
            </w:pPr>
            <w:r>
              <w:rPr>
                <w:rFonts w:ascii="Arial" w:cs="Arial" w:eastAsia="Arial" w:hAnsi="Arial"/>
                <w:sz w:val="14"/>
                <w:szCs w:val="14"/>
                <w:color w:val="001641"/>
              </w:rPr>
              <w:t>$28,960</w:t>
            </w:r>
          </w:p>
        </w:tc>
        <w:tc>
          <w:tcPr>
            <w:tcW w:w="260" w:type="dxa"/>
            <w:vAlign w:val="bottom"/>
            <w:tcBorders>
              <w:bottom w:val="single" w:sz="8" w:color="BFA071"/>
            </w:tcBorders>
          </w:tcPr>
          <w:p>
            <w:pPr>
              <w:spacing w:after="0"/>
              <w:rPr>
                <w:sz w:val="18"/>
                <w:szCs w:val="18"/>
                <w:color w:val="auto"/>
              </w:rPr>
            </w:pPr>
          </w:p>
        </w:tc>
        <w:tc>
          <w:tcPr>
            <w:tcW w:w="820" w:type="dxa"/>
            <w:vAlign w:val="bottom"/>
            <w:tcBorders>
              <w:bottom w:val="single" w:sz="8" w:color="BFA071"/>
            </w:tcBorders>
          </w:tcPr>
          <w:p>
            <w:pPr>
              <w:jc w:val="right"/>
              <w:ind w:right="28"/>
              <w:spacing w:after="0"/>
              <w:rPr>
                <w:sz w:val="20"/>
                <w:szCs w:val="20"/>
                <w:color w:val="auto"/>
              </w:rPr>
            </w:pPr>
            <w:r>
              <w:rPr>
                <w:rFonts w:ascii="Arial" w:cs="Arial" w:eastAsia="Arial" w:hAnsi="Arial"/>
                <w:sz w:val="14"/>
                <w:szCs w:val="14"/>
                <w:color w:val="001641"/>
                <w:w w:val="99"/>
              </w:rPr>
              <w:t>$2,028,960</w:t>
            </w:r>
          </w:p>
        </w:tc>
        <w:tc>
          <w:tcPr>
            <w:tcW w:w="0" w:type="dxa"/>
            <w:vAlign w:val="bottom"/>
          </w:tcPr>
          <w:p>
            <w:pPr>
              <w:spacing w:after="0"/>
              <w:rPr>
                <w:sz w:val="1"/>
                <w:szCs w:val="1"/>
                <w:color w:val="auto"/>
              </w:rPr>
            </w:pPr>
          </w:p>
        </w:tc>
      </w:tr>
      <w:tr>
        <w:trPr>
          <w:trHeight w:val="250"/>
        </w:trPr>
        <w:tc>
          <w:tcPr>
            <w:tcW w:w="2020" w:type="dxa"/>
            <w:vAlign w:val="bottom"/>
            <w:tcBorders>
              <w:bottom w:val="single" w:sz="8" w:color="BFA071"/>
            </w:tcBorders>
          </w:tcPr>
          <w:p>
            <w:pPr>
              <w:ind w:left="120"/>
              <w:spacing w:after="0"/>
              <w:rPr>
                <w:sz w:val="20"/>
                <w:szCs w:val="20"/>
                <w:color w:val="auto"/>
              </w:rPr>
            </w:pPr>
            <w:r>
              <w:rPr>
                <w:rFonts w:ascii="Arial" w:cs="Arial" w:eastAsia="Arial" w:hAnsi="Arial"/>
                <w:sz w:val="14"/>
                <w:szCs w:val="14"/>
                <w:color w:val="001641"/>
              </w:rPr>
              <w:t>Death or Disability</w:t>
            </w:r>
          </w:p>
        </w:tc>
        <w:tc>
          <w:tcPr>
            <w:tcW w:w="800" w:type="dxa"/>
            <w:vAlign w:val="bottom"/>
            <w:tcBorders>
              <w:bottom w:val="single" w:sz="8" w:color="BFA071"/>
            </w:tcBorders>
          </w:tcPr>
          <w:p>
            <w:pPr>
              <w:jc w:val="right"/>
              <w:ind w:right="208"/>
              <w:spacing w:after="0"/>
              <w:rPr>
                <w:sz w:val="20"/>
                <w:szCs w:val="20"/>
                <w:color w:val="auto"/>
              </w:rPr>
            </w:pPr>
            <w:r>
              <w:rPr>
                <w:rFonts w:ascii="Arial" w:cs="Arial" w:eastAsia="Arial" w:hAnsi="Arial"/>
                <w:sz w:val="14"/>
                <w:szCs w:val="14"/>
                <w:color w:val="001641"/>
              </w:rPr>
              <w:t>$</w:t>
            </w:r>
          </w:p>
        </w:tc>
        <w:tc>
          <w:tcPr>
            <w:tcW w:w="700" w:type="dxa"/>
            <w:vAlign w:val="bottom"/>
            <w:tcBorders>
              <w:bottom w:val="single" w:sz="8" w:color="BFA071"/>
            </w:tcBorders>
          </w:tcPr>
          <w:p>
            <w:pPr>
              <w:jc w:val="right"/>
              <w:ind w:right="248"/>
              <w:spacing w:after="0"/>
              <w:rPr>
                <w:sz w:val="20"/>
                <w:szCs w:val="20"/>
                <w:color w:val="auto"/>
              </w:rPr>
            </w:pPr>
            <w:r>
              <w:rPr>
                <w:rFonts w:ascii="Arial" w:cs="Arial" w:eastAsia="Arial" w:hAnsi="Arial"/>
                <w:sz w:val="14"/>
                <w:szCs w:val="14"/>
                <w:color w:val="001641"/>
              </w:rPr>
              <w:t>0</w:t>
            </w:r>
          </w:p>
        </w:tc>
        <w:tc>
          <w:tcPr>
            <w:tcW w:w="520" w:type="dxa"/>
            <w:vAlign w:val="bottom"/>
            <w:tcBorders>
              <w:bottom w:val="single" w:sz="8" w:color="BFA071"/>
            </w:tcBorders>
          </w:tcPr>
          <w:p>
            <w:pPr>
              <w:ind w:left="400"/>
              <w:spacing w:after="0"/>
              <w:rPr>
                <w:sz w:val="20"/>
                <w:szCs w:val="20"/>
                <w:color w:val="auto"/>
              </w:rPr>
            </w:pPr>
            <w:r>
              <w:rPr>
                <w:rFonts w:ascii="Arial" w:cs="Arial" w:eastAsia="Arial" w:hAnsi="Arial"/>
                <w:sz w:val="14"/>
                <w:szCs w:val="14"/>
                <w:color w:val="001641"/>
              </w:rPr>
              <w:t>$</w:t>
            </w:r>
          </w:p>
        </w:tc>
        <w:tc>
          <w:tcPr>
            <w:tcW w:w="960" w:type="dxa"/>
            <w:vAlign w:val="bottom"/>
            <w:tcBorders>
              <w:bottom w:val="single" w:sz="8" w:color="BFA071"/>
            </w:tcBorders>
          </w:tcPr>
          <w:p>
            <w:pPr>
              <w:jc w:val="right"/>
              <w:ind w:right="228"/>
              <w:spacing w:after="0"/>
              <w:rPr>
                <w:sz w:val="20"/>
                <w:szCs w:val="20"/>
                <w:color w:val="auto"/>
              </w:rPr>
            </w:pPr>
            <w:r>
              <w:rPr>
                <w:rFonts w:ascii="Arial" w:cs="Arial" w:eastAsia="Arial" w:hAnsi="Arial"/>
                <w:sz w:val="14"/>
                <w:szCs w:val="14"/>
                <w:color w:val="001641"/>
              </w:rPr>
              <w:t>0</w:t>
            </w:r>
          </w:p>
        </w:tc>
        <w:tc>
          <w:tcPr>
            <w:tcW w:w="1560" w:type="dxa"/>
            <w:vAlign w:val="bottom"/>
            <w:tcBorders>
              <w:bottom w:val="single" w:sz="8" w:color="BFA071"/>
            </w:tcBorders>
            <w:gridSpan w:val="2"/>
          </w:tcPr>
          <w:p>
            <w:pPr>
              <w:ind w:left="500"/>
              <w:spacing w:after="0" w:line="250" w:lineRule="exact"/>
              <w:rPr>
                <w:sz w:val="20"/>
                <w:szCs w:val="20"/>
                <w:color w:val="auto"/>
              </w:rPr>
            </w:pPr>
            <w:r>
              <w:rPr>
                <w:rFonts w:ascii="Arial" w:cs="Arial" w:eastAsia="Arial" w:hAnsi="Arial"/>
                <w:sz w:val="14"/>
                <w:szCs w:val="14"/>
                <w:color w:val="001641"/>
              </w:rPr>
              <w:t>$5,073,124</w:t>
            </w:r>
            <w:r>
              <w:rPr>
                <w:rFonts w:ascii="Arial" w:cs="Arial" w:eastAsia="Arial" w:hAnsi="Arial"/>
                <w:sz w:val="23"/>
                <w:szCs w:val="23"/>
                <w:color w:val="001641"/>
                <w:vertAlign w:val="superscript"/>
              </w:rPr>
              <w:t>6</w:t>
            </w:r>
          </w:p>
        </w:tc>
        <w:tc>
          <w:tcPr>
            <w:tcW w:w="920" w:type="dxa"/>
            <w:vAlign w:val="bottom"/>
            <w:tcBorders>
              <w:bottom w:val="single" w:sz="8" w:color="BFA071"/>
            </w:tcBorders>
          </w:tcPr>
          <w:p>
            <w:pPr>
              <w:jc w:val="right"/>
              <w:ind w:right="108"/>
              <w:spacing w:after="0"/>
              <w:rPr>
                <w:sz w:val="20"/>
                <w:szCs w:val="20"/>
                <w:color w:val="auto"/>
              </w:rPr>
            </w:pPr>
            <w:r>
              <w:rPr>
                <w:rFonts w:ascii="Arial" w:cs="Arial" w:eastAsia="Arial" w:hAnsi="Arial"/>
                <w:sz w:val="14"/>
                <w:szCs w:val="14"/>
                <w:color w:val="001641"/>
              </w:rPr>
              <w:t>$</w:t>
            </w:r>
          </w:p>
        </w:tc>
        <w:tc>
          <w:tcPr>
            <w:tcW w:w="620" w:type="dxa"/>
            <w:vAlign w:val="bottom"/>
            <w:tcBorders>
              <w:bottom w:val="single" w:sz="8" w:color="BFA071"/>
            </w:tcBorders>
          </w:tcPr>
          <w:p>
            <w:pPr>
              <w:jc w:val="right"/>
              <w:ind w:right="288"/>
              <w:spacing w:after="0"/>
              <w:rPr>
                <w:sz w:val="20"/>
                <w:szCs w:val="20"/>
                <w:color w:val="auto"/>
              </w:rPr>
            </w:pPr>
            <w:r>
              <w:rPr>
                <w:rFonts w:ascii="Arial" w:cs="Arial" w:eastAsia="Arial" w:hAnsi="Arial"/>
                <w:sz w:val="14"/>
                <w:szCs w:val="14"/>
                <w:color w:val="001641"/>
              </w:rPr>
              <w:t>0</w:t>
            </w:r>
          </w:p>
        </w:tc>
        <w:tc>
          <w:tcPr>
            <w:tcW w:w="260" w:type="dxa"/>
            <w:vAlign w:val="bottom"/>
            <w:tcBorders>
              <w:bottom w:val="single" w:sz="8" w:color="BFA071"/>
            </w:tcBorders>
          </w:tcPr>
          <w:p>
            <w:pPr>
              <w:jc w:val="right"/>
              <w:spacing w:after="0"/>
              <w:rPr>
                <w:sz w:val="20"/>
                <w:szCs w:val="20"/>
                <w:color w:val="auto"/>
              </w:rPr>
            </w:pPr>
            <w:r>
              <w:rPr>
                <w:rFonts w:ascii="Arial" w:cs="Arial" w:eastAsia="Arial" w:hAnsi="Arial"/>
                <w:sz w:val="14"/>
                <w:szCs w:val="14"/>
                <w:color w:val="001641"/>
              </w:rPr>
              <w:t>$</w:t>
            </w:r>
          </w:p>
        </w:tc>
        <w:tc>
          <w:tcPr>
            <w:tcW w:w="820" w:type="dxa"/>
            <w:vAlign w:val="bottom"/>
            <w:tcBorders>
              <w:bottom w:val="single" w:sz="8" w:color="BFA071"/>
            </w:tcBorders>
          </w:tcPr>
          <w:p>
            <w:pPr>
              <w:jc w:val="right"/>
              <w:ind w:right="28"/>
              <w:spacing w:after="0"/>
              <w:rPr>
                <w:sz w:val="20"/>
                <w:szCs w:val="20"/>
                <w:color w:val="auto"/>
              </w:rPr>
            </w:pPr>
            <w:r>
              <w:rPr>
                <w:rFonts w:ascii="Arial" w:cs="Arial" w:eastAsia="Arial" w:hAnsi="Arial"/>
                <w:sz w:val="14"/>
                <w:szCs w:val="14"/>
                <w:color w:val="001641"/>
              </w:rPr>
              <w:t>5,073,124</w:t>
            </w:r>
          </w:p>
        </w:tc>
        <w:tc>
          <w:tcPr>
            <w:tcW w:w="0" w:type="dxa"/>
            <w:vAlign w:val="bottom"/>
          </w:tcPr>
          <w:p>
            <w:pPr>
              <w:spacing w:after="0"/>
              <w:rPr>
                <w:sz w:val="1"/>
                <w:szCs w:val="1"/>
                <w:color w:val="auto"/>
              </w:rPr>
            </w:pPr>
          </w:p>
        </w:tc>
      </w:tr>
      <w:tr>
        <w:trPr>
          <w:trHeight w:val="173"/>
        </w:trPr>
        <w:tc>
          <w:tcPr>
            <w:tcW w:w="2020" w:type="dxa"/>
            <w:vAlign w:val="bottom"/>
          </w:tcPr>
          <w:p>
            <w:pPr>
              <w:ind w:left="120"/>
              <w:spacing w:after="0"/>
              <w:rPr>
                <w:sz w:val="20"/>
                <w:szCs w:val="20"/>
                <w:color w:val="auto"/>
              </w:rPr>
            </w:pPr>
            <w:r>
              <w:rPr>
                <w:rFonts w:ascii="Arial" w:cs="Arial" w:eastAsia="Arial" w:hAnsi="Arial"/>
                <w:sz w:val="14"/>
                <w:szCs w:val="14"/>
                <w:color w:val="001641"/>
              </w:rPr>
              <w:t>Change in Control with</w:t>
            </w: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vMerge w:val="restart"/>
          </w:tcPr>
          <w:p>
            <w:pPr>
              <w:jc w:val="right"/>
              <w:ind w:right="168"/>
              <w:spacing w:after="0"/>
              <w:rPr>
                <w:sz w:val="20"/>
                <w:szCs w:val="20"/>
                <w:color w:val="auto"/>
              </w:rPr>
            </w:pPr>
            <w:r>
              <w:rPr>
                <w:rFonts w:ascii="Arial" w:cs="Arial" w:eastAsia="Arial" w:hAnsi="Arial"/>
                <w:sz w:val="14"/>
                <w:szCs w:val="14"/>
                <w:color w:val="001641"/>
                <w:w w:val="98"/>
              </w:rPr>
              <w:t>3,800,000</w:t>
            </w:r>
            <w:r>
              <w:rPr>
                <w:rFonts w:ascii="Arial" w:cs="Arial" w:eastAsia="Arial" w:hAnsi="Arial"/>
                <w:sz w:val="23"/>
                <w:szCs w:val="23"/>
                <w:color w:val="001641"/>
                <w:w w:val="98"/>
                <w:vertAlign w:val="superscript"/>
              </w:rPr>
              <w:t>5</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20" w:type="dxa"/>
            <w:vAlign w:val="bottom"/>
            <w:tcBorders>
              <w:bottom w:val="single" w:sz="8" w:color="001641"/>
            </w:tcBorders>
          </w:tcPr>
          <w:p>
            <w:pPr>
              <w:ind w:left="120"/>
              <w:spacing w:after="0"/>
              <w:rPr>
                <w:sz w:val="20"/>
                <w:szCs w:val="20"/>
                <w:color w:val="auto"/>
              </w:rPr>
            </w:pPr>
            <w:r>
              <w:rPr>
                <w:rFonts w:ascii="Arial" w:cs="Arial" w:eastAsia="Arial" w:hAnsi="Arial"/>
                <w:sz w:val="14"/>
                <w:szCs w:val="14"/>
                <w:color w:val="001641"/>
              </w:rPr>
              <w:t>Termination</w:t>
            </w:r>
          </w:p>
        </w:tc>
        <w:tc>
          <w:tcPr>
            <w:tcW w:w="1500" w:type="dxa"/>
            <w:vAlign w:val="bottom"/>
            <w:tcBorders>
              <w:bottom w:val="single" w:sz="8" w:color="001641"/>
            </w:tcBorders>
            <w:gridSpan w:val="2"/>
          </w:tcPr>
          <w:p>
            <w:pPr>
              <w:jc w:val="right"/>
              <w:ind w:right="268"/>
              <w:spacing w:after="0"/>
              <w:rPr>
                <w:sz w:val="20"/>
                <w:szCs w:val="20"/>
                <w:color w:val="auto"/>
              </w:rPr>
            </w:pPr>
            <w:r>
              <w:rPr>
                <w:rFonts w:ascii="Arial" w:cs="Arial" w:eastAsia="Arial" w:hAnsi="Arial"/>
                <w:sz w:val="14"/>
                <w:szCs w:val="14"/>
                <w:color w:val="001641"/>
              </w:rPr>
              <w:t>$2,000,000</w:t>
            </w:r>
          </w:p>
        </w:tc>
        <w:tc>
          <w:tcPr>
            <w:tcW w:w="520" w:type="dxa"/>
            <w:vAlign w:val="bottom"/>
            <w:tcBorders>
              <w:bottom w:val="single" w:sz="8" w:color="001641"/>
            </w:tcBorders>
          </w:tcPr>
          <w:p>
            <w:pPr>
              <w:ind w:left="400"/>
              <w:spacing w:after="0"/>
              <w:rPr>
                <w:sz w:val="20"/>
                <w:szCs w:val="20"/>
                <w:color w:val="auto"/>
              </w:rPr>
            </w:pPr>
            <w:r>
              <w:rPr>
                <w:rFonts w:ascii="Arial" w:cs="Arial" w:eastAsia="Arial" w:hAnsi="Arial"/>
                <w:sz w:val="14"/>
                <w:szCs w:val="14"/>
                <w:color w:val="001641"/>
              </w:rPr>
              <w:t>$</w:t>
            </w:r>
          </w:p>
        </w:tc>
        <w:tc>
          <w:tcPr>
            <w:tcW w:w="960" w:type="dxa"/>
            <w:vAlign w:val="bottom"/>
            <w:tcBorders>
              <w:bottom w:val="single" w:sz="8" w:color="001641"/>
            </w:tcBorders>
            <w:vMerge w:val="continue"/>
          </w:tcPr>
          <w:p>
            <w:pPr>
              <w:spacing w:after="0"/>
              <w:rPr>
                <w:sz w:val="17"/>
                <w:szCs w:val="17"/>
                <w:color w:val="auto"/>
              </w:rPr>
            </w:pPr>
          </w:p>
        </w:tc>
        <w:tc>
          <w:tcPr>
            <w:tcW w:w="1560" w:type="dxa"/>
            <w:vAlign w:val="bottom"/>
            <w:tcBorders>
              <w:bottom w:val="single" w:sz="8" w:color="001641"/>
            </w:tcBorders>
            <w:gridSpan w:val="2"/>
          </w:tcPr>
          <w:p>
            <w:pPr>
              <w:ind w:left="500"/>
              <w:spacing w:after="0"/>
              <w:rPr>
                <w:sz w:val="20"/>
                <w:szCs w:val="20"/>
                <w:color w:val="auto"/>
              </w:rPr>
            </w:pPr>
            <w:r>
              <w:rPr>
                <w:rFonts w:ascii="Arial" w:cs="Arial" w:eastAsia="Arial" w:hAnsi="Arial"/>
                <w:sz w:val="14"/>
                <w:szCs w:val="14"/>
                <w:color w:val="001641"/>
              </w:rPr>
              <w:t>$6,458,054</w:t>
            </w:r>
          </w:p>
        </w:tc>
        <w:tc>
          <w:tcPr>
            <w:tcW w:w="1540" w:type="dxa"/>
            <w:vAlign w:val="bottom"/>
            <w:tcBorders>
              <w:bottom w:val="single" w:sz="8" w:color="001641"/>
            </w:tcBorders>
            <w:gridSpan w:val="2"/>
          </w:tcPr>
          <w:p>
            <w:pPr>
              <w:jc w:val="right"/>
              <w:ind w:right="288"/>
              <w:spacing w:after="0"/>
              <w:rPr>
                <w:sz w:val="20"/>
                <w:szCs w:val="20"/>
                <w:color w:val="auto"/>
              </w:rPr>
            </w:pPr>
            <w:r>
              <w:rPr>
                <w:rFonts w:ascii="Arial" w:cs="Arial" w:eastAsia="Arial" w:hAnsi="Arial"/>
                <w:sz w:val="14"/>
                <w:szCs w:val="14"/>
                <w:color w:val="001641"/>
              </w:rPr>
              <w:t>$57,921</w:t>
            </w:r>
          </w:p>
        </w:tc>
        <w:tc>
          <w:tcPr>
            <w:tcW w:w="1080" w:type="dxa"/>
            <w:vAlign w:val="bottom"/>
            <w:tcBorders>
              <w:bottom w:val="single" w:sz="8" w:color="001641"/>
            </w:tcBorders>
            <w:gridSpan w:val="2"/>
          </w:tcPr>
          <w:p>
            <w:pPr>
              <w:jc w:val="right"/>
              <w:ind w:right="48"/>
              <w:spacing w:after="0"/>
              <w:rPr>
                <w:sz w:val="20"/>
                <w:szCs w:val="20"/>
                <w:color w:val="auto"/>
              </w:rPr>
            </w:pPr>
            <w:r>
              <w:rPr>
                <w:rFonts w:ascii="Arial" w:cs="Arial" w:eastAsia="Arial" w:hAnsi="Arial"/>
                <w:sz w:val="14"/>
                <w:szCs w:val="14"/>
                <w:color w:val="001641"/>
              </w:rPr>
              <w:t>$12,315,975</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46" w:right="120" w:hanging="246"/>
        <w:spacing w:after="0" w:line="263" w:lineRule="auto"/>
        <w:tabs>
          <w:tab w:leader="none" w:pos="246" w:val="left"/>
        </w:tabs>
        <w:numPr>
          <w:ilvl w:val="0"/>
          <w:numId w:val="91"/>
        </w:numPr>
        <w:rPr>
          <w:rFonts w:ascii="Arial" w:cs="Arial" w:eastAsia="Arial" w:hAnsi="Arial"/>
          <w:sz w:val="14"/>
          <w:szCs w:val="14"/>
          <w:color w:val="4C4C4C"/>
        </w:rPr>
      </w:pPr>
      <w:r>
        <w:rPr>
          <w:rFonts w:ascii="Arial" w:cs="Arial" w:eastAsia="Arial" w:hAnsi="Arial"/>
          <w:sz w:val="14"/>
          <w:szCs w:val="14"/>
          <w:color w:val="4C4C4C"/>
        </w:rPr>
        <w:t>In the event of a termination by the Company without cause or by Ms. Alagoz for good reason and pursuant to her employment agreement, we would continue to pay Ms. Alagoz her base salary for one year. In the event of a qualifying termination in connection with a change in control Ms. Alagoz would be entitled to a lump sum payment equal to two times her base salary.</w:t>
      </w:r>
    </w:p>
    <w:p>
      <w:pPr>
        <w:spacing w:after="0" w:line="10" w:lineRule="exact"/>
        <w:rPr>
          <w:rFonts w:ascii="Arial" w:cs="Arial" w:eastAsia="Arial" w:hAnsi="Arial"/>
          <w:sz w:val="14"/>
          <w:szCs w:val="14"/>
          <w:color w:val="4C4C4C"/>
        </w:rPr>
      </w:pPr>
    </w:p>
    <w:p>
      <w:pPr>
        <w:ind w:left="246" w:right="220" w:hanging="246"/>
        <w:spacing w:after="0" w:line="281" w:lineRule="auto"/>
        <w:tabs>
          <w:tab w:leader="none" w:pos="246" w:val="left"/>
        </w:tabs>
        <w:numPr>
          <w:ilvl w:val="0"/>
          <w:numId w:val="91"/>
        </w:numPr>
        <w:rPr>
          <w:rFonts w:ascii="Arial" w:cs="Arial" w:eastAsia="Arial" w:hAnsi="Arial"/>
          <w:sz w:val="14"/>
          <w:szCs w:val="14"/>
          <w:color w:val="4C4C4C"/>
        </w:rPr>
      </w:pPr>
      <w:r>
        <w:rPr>
          <w:rFonts w:ascii="Arial" w:cs="Arial" w:eastAsia="Arial" w:hAnsi="Arial"/>
          <w:sz w:val="14"/>
          <w:szCs w:val="14"/>
          <w:color w:val="4C4C4C"/>
        </w:rPr>
        <w:t>Represents the value associated with the acceleration or continuation (as the case may be) of the vesting of equity awards. In the case of RSUs and PSUs, the value was based on the NYSE closing price of Class A Common Stock on March 27, 2026, which was $327.82.</w:t>
      </w:r>
    </w:p>
    <w:p>
      <w:pPr>
        <w:spacing w:after="0" w:line="1" w:lineRule="exact"/>
        <w:rPr>
          <w:rFonts w:ascii="Arial" w:cs="Arial" w:eastAsia="Arial" w:hAnsi="Arial"/>
          <w:sz w:val="14"/>
          <w:szCs w:val="14"/>
          <w:color w:val="4C4C4C"/>
        </w:rPr>
      </w:pPr>
    </w:p>
    <w:p>
      <w:pPr>
        <w:ind w:left="246" w:hanging="246"/>
        <w:spacing w:after="0"/>
        <w:tabs>
          <w:tab w:leader="none" w:pos="246" w:val="left"/>
        </w:tabs>
        <w:numPr>
          <w:ilvl w:val="0"/>
          <w:numId w:val="91"/>
        </w:numPr>
        <w:rPr>
          <w:rFonts w:ascii="Arial" w:cs="Arial" w:eastAsia="Arial" w:hAnsi="Arial"/>
          <w:sz w:val="14"/>
          <w:szCs w:val="14"/>
          <w:color w:val="4C4C4C"/>
        </w:rPr>
      </w:pPr>
      <w:r>
        <w:rPr>
          <w:rFonts w:ascii="Arial" w:cs="Arial" w:eastAsia="Arial" w:hAnsi="Arial"/>
          <w:sz w:val="14"/>
          <w:szCs w:val="14"/>
          <w:color w:val="4C4C4C"/>
        </w:rPr>
        <w:t>Represents the cost of providing medical and dental benefits during the applicable severance period.</w:t>
      </w:r>
    </w:p>
    <w:p>
      <w:pPr>
        <w:spacing w:after="0" w:line="55" w:lineRule="exact"/>
        <w:rPr>
          <w:rFonts w:ascii="Arial" w:cs="Arial" w:eastAsia="Arial" w:hAnsi="Arial"/>
          <w:sz w:val="14"/>
          <w:szCs w:val="14"/>
          <w:color w:val="4C4C4C"/>
        </w:rPr>
      </w:pPr>
    </w:p>
    <w:p>
      <w:pPr>
        <w:ind w:left="246" w:hanging="246"/>
        <w:spacing w:after="0"/>
        <w:tabs>
          <w:tab w:leader="none" w:pos="246" w:val="left"/>
        </w:tabs>
        <w:numPr>
          <w:ilvl w:val="0"/>
          <w:numId w:val="91"/>
        </w:numPr>
        <w:rPr>
          <w:rFonts w:ascii="Arial" w:cs="Arial" w:eastAsia="Arial" w:hAnsi="Arial"/>
          <w:sz w:val="14"/>
          <w:szCs w:val="14"/>
          <w:color w:val="4C4C4C"/>
        </w:rPr>
      </w:pPr>
      <w:r>
        <w:rPr>
          <w:rFonts w:ascii="Arial" w:cs="Arial" w:eastAsia="Arial" w:hAnsi="Arial"/>
          <w:sz w:val="14"/>
          <w:szCs w:val="14"/>
          <w:color w:val="4C4C4C"/>
        </w:rPr>
        <w:t>Represents 100% of base salary.</w:t>
      </w:r>
    </w:p>
    <w:p>
      <w:pPr>
        <w:spacing w:after="0" w:line="55" w:lineRule="exact"/>
        <w:rPr>
          <w:rFonts w:ascii="Arial" w:cs="Arial" w:eastAsia="Arial" w:hAnsi="Arial"/>
          <w:sz w:val="14"/>
          <w:szCs w:val="14"/>
          <w:color w:val="4C4C4C"/>
        </w:rPr>
      </w:pPr>
    </w:p>
    <w:p>
      <w:pPr>
        <w:ind w:left="246" w:hanging="246"/>
        <w:spacing w:after="0"/>
        <w:tabs>
          <w:tab w:leader="none" w:pos="246" w:val="left"/>
        </w:tabs>
        <w:numPr>
          <w:ilvl w:val="0"/>
          <w:numId w:val="91"/>
        </w:numPr>
        <w:rPr>
          <w:rFonts w:ascii="Arial" w:cs="Arial" w:eastAsia="Arial" w:hAnsi="Arial"/>
          <w:sz w:val="14"/>
          <w:szCs w:val="14"/>
          <w:color w:val="4C4C4C"/>
        </w:rPr>
      </w:pPr>
      <w:r>
        <w:rPr>
          <w:rFonts w:ascii="Arial" w:cs="Arial" w:eastAsia="Arial" w:hAnsi="Arial"/>
          <w:sz w:val="14"/>
          <w:szCs w:val="14"/>
          <w:color w:val="4C4C4C"/>
        </w:rPr>
        <w:t>Represents two times the bonus paid to Ms. Alagoz for the most recently completed fiscal immediately preceding the year of termination.</w:t>
      </w:r>
    </w:p>
    <w:p>
      <w:pPr>
        <w:spacing w:after="0" w:line="55" w:lineRule="exact"/>
        <w:rPr>
          <w:rFonts w:ascii="Arial" w:cs="Arial" w:eastAsia="Arial" w:hAnsi="Arial"/>
          <w:sz w:val="14"/>
          <w:szCs w:val="14"/>
          <w:color w:val="4C4C4C"/>
        </w:rPr>
      </w:pPr>
    </w:p>
    <w:p>
      <w:pPr>
        <w:ind w:left="246" w:hanging="246"/>
        <w:spacing w:after="0"/>
        <w:tabs>
          <w:tab w:leader="none" w:pos="246" w:val="left"/>
        </w:tabs>
        <w:numPr>
          <w:ilvl w:val="0"/>
          <w:numId w:val="91"/>
        </w:numPr>
        <w:rPr>
          <w:rFonts w:ascii="Arial" w:cs="Arial" w:eastAsia="Arial" w:hAnsi="Arial"/>
          <w:sz w:val="14"/>
          <w:szCs w:val="14"/>
          <w:color w:val="4C4C4C"/>
        </w:rPr>
      </w:pPr>
      <w:r>
        <w:rPr>
          <w:rFonts w:ascii="Arial" w:cs="Arial" w:eastAsia="Arial" w:hAnsi="Arial"/>
          <w:sz w:val="14"/>
          <w:szCs w:val="14"/>
          <w:color w:val="4C4C4C"/>
        </w:rPr>
        <w:t>If maximum performance for PSUs is reached, the value would increase by $3,155,377.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8293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128905" cy="11112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14" w:name="page115"/>
    <w:bookmarkEnd w:id="114"/>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6" w:lineRule="exact"/>
        <w:rPr>
          <w:sz w:val="20"/>
          <w:szCs w:val="20"/>
          <w:color w:val="auto"/>
        </w:rPr>
      </w:pPr>
    </w:p>
    <w:tbl>
      <w:tblPr>
        <w:tblLayout w:type="fixed"/>
        <w:tblInd w:w="6" w:type="dxa"/>
        <w:tblCellMar>
          <w:top w:w="0" w:type="dxa"/>
          <w:left w:w="0" w:type="dxa"/>
          <w:bottom w:w="0" w:type="dxa"/>
          <w:right w:w="0" w:type="dxa"/>
        </w:tblCellMar>
      </w:tblPr>
      <w:tr>
        <w:trPr>
          <w:trHeight w:val="303"/>
        </w:trPr>
        <w:tc>
          <w:tcPr>
            <w:tcW w:w="5820" w:type="dxa"/>
            <w:vAlign w:val="bottom"/>
            <w:gridSpan w:val="5"/>
            <w:shd w:val="clear" w:color="auto" w:fill="BFA071"/>
          </w:tcPr>
          <w:p>
            <w:pPr>
              <w:ind w:left="120"/>
              <w:spacing w:after="0"/>
              <w:rPr>
                <w:sz w:val="20"/>
                <w:szCs w:val="20"/>
                <w:color w:val="auto"/>
              </w:rPr>
            </w:pPr>
            <w:r>
              <w:rPr>
                <w:rFonts w:ascii="Arial" w:cs="Arial" w:eastAsia="Arial" w:hAnsi="Arial"/>
                <w:sz w:val="14"/>
                <w:szCs w:val="14"/>
                <w:b w:val="1"/>
                <w:bCs w:val="1"/>
                <w:color w:val="FFFFFF"/>
              </w:rPr>
              <w:t>Chief Branding and Innovation Officer, Vice Chairman of the Board – David Lauren</w:t>
            </w:r>
          </w:p>
        </w:tc>
        <w:tc>
          <w:tcPr>
            <w:tcW w:w="820" w:type="dxa"/>
            <w:vAlign w:val="bottom"/>
            <w:shd w:val="clear" w:color="auto" w:fill="BFA071"/>
          </w:tcPr>
          <w:p>
            <w:pPr>
              <w:spacing w:after="0"/>
              <w:rPr>
                <w:sz w:val="24"/>
                <w:szCs w:val="24"/>
                <w:color w:val="auto"/>
              </w:rPr>
            </w:pPr>
          </w:p>
        </w:tc>
        <w:tc>
          <w:tcPr>
            <w:tcW w:w="1540" w:type="dxa"/>
            <w:vAlign w:val="bottom"/>
            <w:shd w:val="clear" w:color="auto" w:fill="BFA071"/>
          </w:tcPr>
          <w:p>
            <w:pPr>
              <w:spacing w:after="0"/>
              <w:rPr>
                <w:sz w:val="24"/>
                <w:szCs w:val="24"/>
                <w:color w:val="auto"/>
              </w:rPr>
            </w:pPr>
          </w:p>
        </w:tc>
        <w:tc>
          <w:tcPr>
            <w:tcW w:w="400" w:type="dxa"/>
            <w:vAlign w:val="bottom"/>
            <w:shd w:val="clear" w:color="auto" w:fill="BFA071"/>
          </w:tcPr>
          <w:p>
            <w:pPr>
              <w:spacing w:after="0"/>
              <w:rPr>
                <w:sz w:val="24"/>
                <w:szCs w:val="24"/>
                <w:color w:val="auto"/>
              </w:rPr>
            </w:pPr>
          </w:p>
        </w:tc>
        <w:tc>
          <w:tcPr>
            <w:tcW w:w="600" w:type="dxa"/>
            <w:vAlign w:val="bottom"/>
            <w:shd w:val="clear" w:color="auto" w:fill="BFA071"/>
          </w:tcPr>
          <w:p>
            <w:pPr>
              <w:spacing w:after="0"/>
              <w:rPr>
                <w:sz w:val="24"/>
                <w:szCs w:val="24"/>
                <w:color w:val="auto"/>
              </w:rPr>
            </w:pPr>
          </w:p>
        </w:tc>
      </w:tr>
      <w:tr>
        <w:trPr>
          <w:trHeight w:val="210"/>
        </w:trPr>
        <w:tc>
          <w:tcPr>
            <w:tcW w:w="1980" w:type="dxa"/>
            <w:vAlign w:val="bottom"/>
            <w:shd w:val="clear" w:color="auto" w:fill="001641"/>
          </w:tcPr>
          <w:p>
            <w:pPr>
              <w:spacing w:after="0"/>
              <w:rPr>
                <w:sz w:val="18"/>
                <w:szCs w:val="18"/>
                <w:color w:val="auto"/>
              </w:rPr>
            </w:pPr>
          </w:p>
        </w:tc>
        <w:tc>
          <w:tcPr>
            <w:tcW w:w="1580" w:type="dxa"/>
            <w:vAlign w:val="bottom"/>
            <w:gridSpan w:val="2"/>
            <w:shd w:val="clear" w:color="auto" w:fill="001641"/>
          </w:tcPr>
          <w:p>
            <w:pPr>
              <w:jc w:val="right"/>
              <w:ind w:right="148"/>
              <w:spacing w:after="0"/>
              <w:rPr>
                <w:sz w:val="20"/>
                <w:szCs w:val="20"/>
                <w:color w:val="auto"/>
              </w:rPr>
            </w:pPr>
            <w:r>
              <w:rPr>
                <w:rFonts w:ascii="Arial" w:cs="Arial" w:eastAsia="Arial" w:hAnsi="Arial"/>
                <w:sz w:val="14"/>
                <w:szCs w:val="14"/>
                <w:b w:val="1"/>
                <w:bCs w:val="1"/>
                <w:color w:val="FFFFFF"/>
              </w:rPr>
              <w:t>Cash Severance</w:t>
            </w:r>
          </w:p>
        </w:tc>
        <w:tc>
          <w:tcPr>
            <w:tcW w:w="1520" w:type="dxa"/>
            <w:vAlign w:val="bottom"/>
            <w:shd w:val="clear" w:color="auto" w:fill="001641"/>
          </w:tcPr>
          <w:p>
            <w:pPr>
              <w:ind w:left="180"/>
              <w:spacing w:after="0"/>
              <w:rPr>
                <w:sz w:val="20"/>
                <w:szCs w:val="20"/>
                <w:color w:val="auto"/>
              </w:rPr>
            </w:pPr>
            <w:r>
              <w:rPr>
                <w:rFonts w:ascii="Arial" w:cs="Arial" w:eastAsia="Arial" w:hAnsi="Arial"/>
                <w:sz w:val="14"/>
                <w:szCs w:val="14"/>
                <w:b w:val="1"/>
                <w:bCs w:val="1"/>
                <w:color w:val="FFFFFF"/>
              </w:rPr>
              <w:t>Cash Severance</w:t>
            </w:r>
          </w:p>
        </w:tc>
        <w:tc>
          <w:tcPr>
            <w:tcW w:w="1560" w:type="dxa"/>
            <w:vAlign w:val="bottom"/>
            <w:gridSpan w:val="2"/>
            <w:shd w:val="clear" w:color="auto" w:fill="001641"/>
          </w:tcPr>
          <w:p>
            <w:pPr>
              <w:ind w:left="180"/>
              <w:spacing w:after="0"/>
              <w:rPr>
                <w:sz w:val="20"/>
                <w:szCs w:val="20"/>
                <w:color w:val="auto"/>
              </w:rPr>
            </w:pPr>
            <w:r>
              <w:rPr>
                <w:rFonts w:ascii="Arial" w:cs="Arial" w:eastAsia="Arial" w:hAnsi="Arial"/>
                <w:sz w:val="14"/>
                <w:szCs w:val="14"/>
                <w:b w:val="1"/>
                <w:bCs w:val="1"/>
                <w:color w:val="FFFFFF"/>
              </w:rPr>
              <w:t>Vesting of Equity</w:t>
            </w:r>
          </w:p>
        </w:tc>
        <w:tc>
          <w:tcPr>
            <w:tcW w:w="1540" w:type="dxa"/>
            <w:vAlign w:val="bottom"/>
            <w:shd w:val="clear" w:color="auto" w:fill="001641"/>
          </w:tcPr>
          <w:p>
            <w:pPr>
              <w:jc w:val="right"/>
              <w:ind w:right="148"/>
              <w:spacing w:after="0"/>
              <w:rPr>
                <w:sz w:val="20"/>
                <w:szCs w:val="20"/>
                <w:color w:val="auto"/>
              </w:rPr>
            </w:pPr>
            <w:r>
              <w:rPr>
                <w:rFonts w:ascii="Arial" w:cs="Arial" w:eastAsia="Arial" w:hAnsi="Arial"/>
                <w:sz w:val="14"/>
                <w:szCs w:val="14"/>
                <w:b w:val="1"/>
                <w:bCs w:val="1"/>
                <w:color w:val="FFFFFF"/>
              </w:rPr>
              <w:t>Other Benefits &amp;</w:t>
            </w:r>
          </w:p>
        </w:tc>
        <w:tc>
          <w:tcPr>
            <w:tcW w:w="400" w:type="dxa"/>
            <w:vAlign w:val="bottom"/>
            <w:shd w:val="clear" w:color="auto" w:fill="001641"/>
          </w:tcPr>
          <w:p>
            <w:pPr>
              <w:spacing w:after="0"/>
              <w:rPr>
                <w:sz w:val="18"/>
                <w:szCs w:val="18"/>
                <w:color w:val="auto"/>
              </w:rPr>
            </w:pPr>
          </w:p>
        </w:tc>
        <w:tc>
          <w:tcPr>
            <w:tcW w:w="600" w:type="dxa"/>
            <w:vAlign w:val="bottom"/>
            <w:shd w:val="clear" w:color="auto" w:fill="001641"/>
          </w:tcPr>
          <w:p>
            <w:pPr>
              <w:spacing w:after="0"/>
              <w:rPr>
                <w:sz w:val="18"/>
                <w:szCs w:val="18"/>
                <w:color w:val="auto"/>
              </w:rPr>
            </w:pPr>
          </w:p>
        </w:tc>
      </w:tr>
      <w:tr>
        <w:trPr>
          <w:trHeight w:val="229"/>
        </w:trPr>
        <w:tc>
          <w:tcPr>
            <w:tcW w:w="1980" w:type="dxa"/>
            <w:vAlign w:val="bottom"/>
            <w:shd w:val="clear" w:color="auto" w:fill="001641"/>
          </w:tcPr>
          <w:p>
            <w:pPr>
              <w:spacing w:after="0"/>
              <w:rPr>
                <w:sz w:val="19"/>
                <w:szCs w:val="19"/>
                <w:color w:val="auto"/>
              </w:rPr>
            </w:pPr>
          </w:p>
        </w:tc>
        <w:tc>
          <w:tcPr>
            <w:tcW w:w="1580" w:type="dxa"/>
            <w:vAlign w:val="bottom"/>
            <w:gridSpan w:val="2"/>
            <w:shd w:val="clear" w:color="auto" w:fill="001641"/>
          </w:tcPr>
          <w:p>
            <w:pPr>
              <w:jc w:val="right"/>
              <w:ind w:right="108"/>
              <w:spacing w:after="0"/>
              <w:rPr>
                <w:sz w:val="20"/>
                <w:szCs w:val="20"/>
                <w:color w:val="auto"/>
              </w:rPr>
            </w:pPr>
            <w:r>
              <w:rPr>
                <w:rFonts w:ascii="Arial" w:cs="Arial" w:eastAsia="Arial" w:hAnsi="Arial"/>
                <w:sz w:val="14"/>
                <w:szCs w:val="14"/>
                <w:b w:val="1"/>
                <w:bCs w:val="1"/>
                <w:color w:val="FFFFFF"/>
              </w:rPr>
              <w:t>– Base Salary</w:t>
            </w:r>
          </w:p>
        </w:tc>
        <w:tc>
          <w:tcPr>
            <w:tcW w:w="1520" w:type="dxa"/>
            <w:vAlign w:val="bottom"/>
            <w:shd w:val="clear" w:color="auto" w:fill="001641"/>
          </w:tcPr>
          <w:p>
            <w:pPr>
              <w:jc w:val="center"/>
              <w:ind w:left="508"/>
              <w:spacing w:after="0"/>
              <w:rPr>
                <w:sz w:val="20"/>
                <w:szCs w:val="20"/>
                <w:color w:val="auto"/>
              </w:rPr>
            </w:pPr>
            <w:r>
              <w:rPr>
                <w:rFonts w:ascii="Arial" w:cs="Arial" w:eastAsia="Arial" w:hAnsi="Arial"/>
                <w:sz w:val="14"/>
                <w:szCs w:val="14"/>
                <w:b w:val="1"/>
                <w:bCs w:val="1"/>
                <w:color w:val="FFFFFF"/>
              </w:rPr>
              <w:t>– Bonus</w:t>
            </w:r>
          </w:p>
        </w:tc>
        <w:tc>
          <w:tcPr>
            <w:tcW w:w="740" w:type="dxa"/>
            <w:vAlign w:val="bottom"/>
            <w:shd w:val="clear" w:color="auto" w:fill="001641"/>
          </w:tcPr>
          <w:p>
            <w:pPr>
              <w:spacing w:after="0"/>
              <w:rPr>
                <w:sz w:val="19"/>
                <w:szCs w:val="19"/>
                <w:color w:val="auto"/>
              </w:rPr>
            </w:pPr>
          </w:p>
        </w:tc>
        <w:tc>
          <w:tcPr>
            <w:tcW w:w="820" w:type="dxa"/>
            <w:vAlign w:val="bottom"/>
            <w:shd w:val="clear" w:color="auto" w:fill="001641"/>
          </w:tcPr>
          <w:p>
            <w:pPr>
              <w:jc w:val="right"/>
              <w:ind w:right="108"/>
              <w:spacing w:after="0" w:line="230"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23"/>
                <w:szCs w:val="23"/>
                <w:b w:val="1"/>
                <w:bCs w:val="1"/>
                <w:color w:val="FFFFFF"/>
                <w:vertAlign w:val="superscript"/>
              </w:rPr>
              <w:t>2</w:t>
            </w:r>
          </w:p>
        </w:tc>
        <w:tc>
          <w:tcPr>
            <w:tcW w:w="1540" w:type="dxa"/>
            <w:vAlign w:val="bottom"/>
            <w:shd w:val="clear" w:color="auto" w:fill="001641"/>
          </w:tcPr>
          <w:p>
            <w:pPr>
              <w:jc w:val="right"/>
              <w:ind w:right="108"/>
              <w:spacing w:after="0"/>
              <w:rPr>
                <w:sz w:val="20"/>
                <w:szCs w:val="20"/>
                <w:color w:val="auto"/>
              </w:rPr>
            </w:pPr>
            <w:r>
              <w:rPr>
                <w:rFonts w:ascii="Arial" w:cs="Arial" w:eastAsia="Arial" w:hAnsi="Arial"/>
                <w:sz w:val="14"/>
                <w:szCs w:val="14"/>
                <w:b w:val="1"/>
                <w:bCs w:val="1"/>
                <w:color w:val="FFFFFF"/>
              </w:rPr>
              <w:t>Perquisites</w:t>
            </w:r>
          </w:p>
        </w:tc>
        <w:tc>
          <w:tcPr>
            <w:tcW w:w="400" w:type="dxa"/>
            <w:vAlign w:val="bottom"/>
            <w:shd w:val="clear" w:color="auto" w:fill="001641"/>
          </w:tcPr>
          <w:p>
            <w:pPr>
              <w:spacing w:after="0"/>
              <w:rPr>
                <w:sz w:val="19"/>
                <w:szCs w:val="19"/>
                <w:color w:val="auto"/>
              </w:rPr>
            </w:pPr>
          </w:p>
        </w:tc>
        <w:tc>
          <w:tcPr>
            <w:tcW w:w="600" w:type="dxa"/>
            <w:vAlign w:val="bottom"/>
            <w:shd w:val="clear" w:color="auto" w:fill="001641"/>
          </w:tcPr>
          <w:p>
            <w:pPr>
              <w:jc w:val="right"/>
              <w:ind w:right="28"/>
              <w:spacing w:after="0"/>
              <w:rPr>
                <w:sz w:val="20"/>
                <w:szCs w:val="20"/>
                <w:color w:val="auto"/>
              </w:rPr>
            </w:pPr>
            <w:r>
              <w:rPr>
                <w:rFonts w:ascii="Arial" w:cs="Arial" w:eastAsia="Arial" w:hAnsi="Arial"/>
                <w:sz w:val="14"/>
                <w:szCs w:val="14"/>
                <w:b w:val="1"/>
                <w:bCs w:val="1"/>
                <w:color w:val="FFFFFF"/>
              </w:rPr>
              <w:t>Total</w:t>
            </w:r>
          </w:p>
        </w:tc>
      </w:tr>
      <w:tr>
        <w:trPr>
          <w:trHeight w:val="193"/>
        </w:trPr>
        <w:tc>
          <w:tcPr>
            <w:tcW w:w="1980" w:type="dxa"/>
            <w:vAlign w:val="bottom"/>
          </w:tcPr>
          <w:p>
            <w:pPr>
              <w:ind w:left="120"/>
              <w:spacing w:after="0"/>
              <w:rPr>
                <w:sz w:val="20"/>
                <w:szCs w:val="20"/>
                <w:color w:val="auto"/>
              </w:rPr>
            </w:pPr>
            <w:r>
              <w:rPr>
                <w:rFonts w:ascii="Arial" w:cs="Arial" w:eastAsia="Arial" w:hAnsi="Arial"/>
                <w:sz w:val="14"/>
                <w:szCs w:val="14"/>
                <w:color w:val="001641"/>
              </w:rPr>
              <w:t>By the Company for Just</w:t>
            </w: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0"/>
        </w:trPr>
        <w:tc>
          <w:tcPr>
            <w:tcW w:w="1980" w:type="dxa"/>
            <w:vAlign w:val="bottom"/>
          </w:tcPr>
          <w:p>
            <w:pPr>
              <w:ind w:left="120"/>
              <w:spacing w:after="0"/>
              <w:rPr>
                <w:sz w:val="20"/>
                <w:szCs w:val="20"/>
                <w:color w:val="auto"/>
              </w:rPr>
            </w:pPr>
            <w:r>
              <w:rPr>
                <w:rFonts w:ascii="Arial" w:cs="Arial" w:eastAsia="Arial" w:hAnsi="Arial"/>
                <w:sz w:val="14"/>
                <w:szCs w:val="14"/>
                <w:color w:val="001641"/>
              </w:rPr>
              <w:t>Cause/by the Executive</w:t>
            </w:r>
          </w:p>
        </w:tc>
        <w:tc>
          <w:tcPr>
            <w:tcW w:w="900" w:type="dxa"/>
            <w:vAlign w:val="bottom"/>
          </w:tcPr>
          <w:p>
            <w:pPr>
              <w:jc w:val="right"/>
              <w:ind w:right="208"/>
              <w:spacing w:after="0"/>
              <w:rPr>
                <w:sz w:val="20"/>
                <w:szCs w:val="20"/>
                <w:color w:val="auto"/>
              </w:rPr>
            </w:pPr>
            <w:r>
              <w:rPr>
                <w:rFonts w:ascii="Arial" w:cs="Arial" w:eastAsia="Arial" w:hAnsi="Arial"/>
                <w:sz w:val="14"/>
                <w:szCs w:val="14"/>
                <w:color w:val="001641"/>
              </w:rPr>
              <w:t>$</w:t>
            </w:r>
          </w:p>
        </w:tc>
        <w:tc>
          <w:tcPr>
            <w:tcW w:w="680" w:type="dxa"/>
            <w:vAlign w:val="bottom"/>
          </w:tcPr>
          <w:p>
            <w:pPr>
              <w:jc w:val="right"/>
              <w:ind w:right="228"/>
              <w:spacing w:after="0"/>
              <w:rPr>
                <w:sz w:val="20"/>
                <w:szCs w:val="20"/>
                <w:color w:val="auto"/>
              </w:rPr>
            </w:pPr>
            <w:r>
              <w:rPr>
                <w:rFonts w:ascii="Arial" w:cs="Arial" w:eastAsia="Arial" w:hAnsi="Arial"/>
                <w:sz w:val="14"/>
                <w:szCs w:val="14"/>
                <w:color w:val="001641"/>
              </w:rPr>
              <w:t>0</w:t>
            </w:r>
          </w:p>
        </w:tc>
        <w:tc>
          <w:tcPr>
            <w:tcW w:w="1520" w:type="dxa"/>
            <w:vAlign w:val="bottom"/>
          </w:tcPr>
          <w:p>
            <w:pPr>
              <w:jc w:val="center"/>
              <w:ind w:left="528"/>
              <w:spacing w:after="0"/>
              <w:rPr>
                <w:sz w:val="20"/>
                <w:szCs w:val="20"/>
                <w:color w:val="auto"/>
              </w:rPr>
            </w:pPr>
            <w:r>
              <w:rPr>
                <w:rFonts w:ascii="Arial" w:cs="Arial" w:eastAsia="Arial" w:hAnsi="Arial"/>
                <w:sz w:val="14"/>
                <w:szCs w:val="14"/>
                <w:color w:val="001641"/>
              </w:rPr>
              <w:t>$0</w:t>
            </w:r>
          </w:p>
        </w:tc>
        <w:tc>
          <w:tcPr>
            <w:tcW w:w="740" w:type="dxa"/>
            <w:vAlign w:val="bottom"/>
          </w:tcPr>
          <w:p>
            <w:pPr>
              <w:ind w:left="500"/>
              <w:spacing w:after="0"/>
              <w:rPr>
                <w:sz w:val="20"/>
                <w:szCs w:val="20"/>
                <w:color w:val="auto"/>
              </w:rPr>
            </w:pPr>
            <w:r>
              <w:rPr>
                <w:rFonts w:ascii="Arial" w:cs="Arial" w:eastAsia="Arial" w:hAnsi="Arial"/>
                <w:sz w:val="14"/>
                <w:szCs w:val="14"/>
                <w:color w:val="001641"/>
              </w:rPr>
              <w:t>$</w:t>
            </w:r>
          </w:p>
        </w:tc>
        <w:tc>
          <w:tcPr>
            <w:tcW w:w="820" w:type="dxa"/>
            <w:vAlign w:val="bottom"/>
          </w:tcPr>
          <w:p>
            <w:pPr>
              <w:jc w:val="right"/>
              <w:ind w:right="268"/>
              <w:spacing w:after="0"/>
              <w:rPr>
                <w:sz w:val="20"/>
                <w:szCs w:val="20"/>
                <w:color w:val="auto"/>
              </w:rPr>
            </w:pPr>
            <w:r>
              <w:rPr>
                <w:rFonts w:ascii="Arial" w:cs="Arial" w:eastAsia="Arial" w:hAnsi="Arial"/>
                <w:sz w:val="14"/>
                <w:szCs w:val="14"/>
                <w:color w:val="001641"/>
              </w:rPr>
              <w:t>0</w:t>
            </w:r>
          </w:p>
        </w:tc>
        <w:tc>
          <w:tcPr>
            <w:tcW w:w="1540" w:type="dxa"/>
            <w:vAlign w:val="bottom"/>
          </w:tcPr>
          <w:p>
            <w:pPr>
              <w:jc w:val="right"/>
              <w:ind w:right="308"/>
              <w:spacing w:after="0"/>
              <w:rPr>
                <w:sz w:val="20"/>
                <w:szCs w:val="20"/>
                <w:color w:val="auto"/>
              </w:rPr>
            </w:pPr>
            <w:r>
              <w:rPr>
                <w:rFonts w:ascii="Arial" w:cs="Arial" w:eastAsia="Arial" w:hAnsi="Arial"/>
                <w:sz w:val="14"/>
                <w:szCs w:val="14"/>
                <w:color w:val="001641"/>
              </w:rPr>
              <w:t>$0</w:t>
            </w:r>
          </w:p>
        </w:tc>
        <w:tc>
          <w:tcPr>
            <w:tcW w:w="400" w:type="dxa"/>
            <w:vAlign w:val="bottom"/>
          </w:tcPr>
          <w:p>
            <w:pPr>
              <w:jc w:val="right"/>
              <w:ind w:right="68"/>
              <w:spacing w:after="0"/>
              <w:rPr>
                <w:sz w:val="20"/>
                <w:szCs w:val="20"/>
                <w:color w:val="auto"/>
              </w:rPr>
            </w:pPr>
            <w:r>
              <w:rPr>
                <w:rFonts w:ascii="Arial" w:cs="Arial" w:eastAsia="Arial" w:hAnsi="Arial"/>
                <w:sz w:val="14"/>
                <w:szCs w:val="14"/>
                <w:color w:val="001641"/>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001641"/>
              </w:rPr>
              <w:t>0</w:t>
            </w:r>
          </w:p>
        </w:tc>
      </w:tr>
      <w:tr>
        <w:trPr>
          <w:trHeight w:val="22"/>
        </w:trPr>
        <w:tc>
          <w:tcPr>
            <w:tcW w:w="198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680" w:type="dxa"/>
            <w:vAlign w:val="bottom"/>
            <w:tcBorders>
              <w:bottom w:val="single" w:sz="8" w:color="BFA071"/>
            </w:tcBorders>
          </w:tcPr>
          <w:p>
            <w:pPr>
              <w:spacing w:after="0" w:line="20" w:lineRule="exact"/>
              <w:rPr>
                <w:sz w:val="1"/>
                <w:szCs w:val="1"/>
                <w:color w:val="auto"/>
              </w:rPr>
            </w:pPr>
          </w:p>
        </w:tc>
        <w:tc>
          <w:tcPr>
            <w:tcW w:w="1520" w:type="dxa"/>
            <w:vAlign w:val="bottom"/>
            <w:tcBorders>
              <w:bottom w:val="single" w:sz="8" w:color="BFA071"/>
            </w:tcBorders>
          </w:tcPr>
          <w:p>
            <w:pPr>
              <w:spacing w:after="0" w:line="20" w:lineRule="exact"/>
              <w:rPr>
                <w:sz w:val="1"/>
                <w:szCs w:val="1"/>
                <w:color w:val="auto"/>
              </w:rPr>
            </w:pPr>
          </w:p>
        </w:tc>
        <w:tc>
          <w:tcPr>
            <w:tcW w:w="740" w:type="dxa"/>
            <w:vAlign w:val="bottom"/>
            <w:tcBorders>
              <w:bottom w:val="single" w:sz="8" w:color="BFA071"/>
            </w:tcBorders>
          </w:tcPr>
          <w:p>
            <w:pPr>
              <w:spacing w:after="0" w:line="20" w:lineRule="exact"/>
              <w:rPr>
                <w:sz w:val="1"/>
                <w:szCs w:val="1"/>
                <w:color w:val="auto"/>
              </w:rPr>
            </w:pPr>
          </w:p>
        </w:tc>
        <w:tc>
          <w:tcPr>
            <w:tcW w:w="820" w:type="dxa"/>
            <w:vAlign w:val="bottom"/>
            <w:tcBorders>
              <w:bottom w:val="single" w:sz="8" w:color="BFA071"/>
            </w:tcBorders>
          </w:tcPr>
          <w:p>
            <w:pPr>
              <w:spacing w:after="0" w:line="20" w:lineRule="exact"/>
              <w:rPr>
                <w:sz w:val="1"/>
                <w:szCs w:val="1"/>
                <w:color w:val="auto"/>
              </w:rPr>
            </w:pPr>
          </w:p>
        </w:tc>
        <w:tc>
          <w:tcPr>
            <w:tcW w:w="1540" w:type="dxa"/>
            <w:vAlign w:val="bottom"/>
            <w:tcBorders>
              <w:bottom w:val="single" w:sz="8" w:color="BFA071"/>
            </w:tcBorders>
          </w:tcPr>
          <w:p>
            <w:pPr>
              <w:spacing w:after="0" w:line="20" w:lineRule="exact"/>
              <w:rPr>
                <w:sz w:val="1"/>
                <w:szCs w:val="1"/>
                <w:color w:val="auto"/>
              </w:rPr>
            </w:pPr>
          </w:p>
        </w:tc>
        <w:tc>
          <w:tcPr>
            <w:tcW w:w="400" w:type="dxa"/>
            <w:vAlign w:val="bottom"/>
            <w:tcBorders>
              <w:bottom w:val="single" w:sz="8" w:color="BFA071"/>
            </w:tcBorders>
          </w:tcPr>
          <w:p>
            <w:pPr>
              <w:spacing w:after="0" w:line="20" w:lineRule="exact"/>
              <w:rPr>
                <w:sz w:val="1"/>
                <w:szCs w:val="1"/>
                <w:color w:val="auto"/>
              </w:rPr>
            </w:pPr>
          </w:p>
        </w:tc>
        <w:tc>
          <w:tcPr>
            <w:tcW w:w="600" w:type="dxa"/>
            <w:vAlign w:val="bottom"/>
            <w:tcBorders>
              <w:bottom w:val="single" w:sz="8" w:color="BFA071"/>
            </w:tcBorders>
          </w:tcPr>
          <w:p>
            <w:pPr>
              <w:spacing w:after="0" w:line="20" w:lineRule="exact"/>
              <w:rPr>
                <w:sz w:val="1"/>
                <w:szCs w:val="1"/>
                <w:color w:val="auto"/>
              </w:rPr>
            </w:pPr>
          </w:p>
        </w:tc>
      </w:tr>
      <w:tr>
        <w:trPr>
          <w:trHeight w:val="170"/>
        </w:trPr>
        <w:tc>
          <w:tcPr>
            <w:tcW w:w="1980" w:type="dxa"/>
            <w:vAlign w:val="bottom"/>
          </w:tcPr>
          <w:p>
            <w:pPr>
              <w:ind w:left="120"/>
              <w:spacing w:after="0"/>
              <w:rPr>
                <w:sz w:val="20"/>
                <w:szCs w:val="20"/>
                <w:color w:val="auto"/>
              </w:rPr>
            </w:pPr>
            <w:r>
              <w:rPr>
                <w:rFonts w:ascii="Arial" w:cs="Arial" w:eastAsia="Arial" w:hAnsi="Arial"/>
                <w:sz w:val="14"/>
                <w:szCs w:val="14"/>
                <w:color w:val="001641"/>
              </w:rPr>
              <w:t>By the Company Without</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42"/>
        </w:trPr>
        <w:tc>
          <w:tcPr>
            <w:tcW w:w="1980" w:type="dxa"/>
            <w:vAlign w:val="bottom"/>
            <w:tcBorders>
              <w:bottom w:val="single" w:sz="8" w:color="BFA071"/>
            </w:tcBorders>
          </w:tcPr>
          <w:p>
            <w:pPr>
              <w:ind w:left="120"/>
              <w:spacing w:after="0" w:line="242" w:lineRule="exact"/>
              <w:rPr>
                <w:sz w:val="20"/>
                <w:szCs w:val="20"/>
                <w:color w:val="auto"/>
              </w:rPr>
            </w:pPr>
            <w:r>
              <w:rPr>
                <w:rFonts w:ascii="Arial" w:cs="Arial" w:eastAsia="Arial" w:hAnsi="Arial"/>
                <w:sz w:val="14"/>
                <w:szCs w:val="14"/>
                <w:color w:val="001641"/>
              </w:rPr>
              <w:t>Just Cause</w:t>
            </w:r>
            <w:r>
              <w:rPr>
                <w:rFonts w:ascii="Arial" w:cs="Arial" w:eastAsia="Arial" w:hAnsi="Arial"/>
                <w:sz w:val="23"/>
                <w:szCs w:val="23"/>
                <w:color w:val="001641"/>
                <w:vertAlign w:val="superscript"/>
              </w:rPr>
              <w:t>1</w:t>
            </w:r>
          </w:p>
        </w:tc>
        <w:tc>
          <w:tcPr>
            <w:tcW w:w="1580" w:type="dxa"/>
            <w:vAlign w:val="bottom"/>
            <w:tcBorders>
              <w:bottom w:val="single" w:sz="8" w:color="BFA071"/>
            </w:tcBorders>
            <w:gridSpan w:val="2"/>
          </w:tcPr>
          <w:p>
            <w:pPr>
              <w:jc w:val="right"/>
              <w:ind w:right="248"/>
              <w:spacing w:after="0"/>
              <w:rPr>
                <w:sz w:val="20"/>
                <w:szCs w:val="20"/>
                <w:color w:val="auto"/>
              </w:rPr>
            </w:pPr>
            <w:r>
              <w:rPr>
                <w:rFonts w:ascii="Arial" w:cs="Arial" w:eastAsia="Arial" w:hAnsi="Arial"/>
                <w:sz w:val="14"/>
                <w:szCs w:val="14"/>
                <w:color w:val="001641"/>
              </w:rPr>
              <w:t>$1,000,000</w:t>
            </w:r>
          </w:p>
        </w:tc>
        <w:tc>
          <w:tcPr>
            <w:tcW w:w="1520" w:type="dxa"/>
            <w:vAlign w:val="bottom"/>
            <w:tcBorders>
              <w:bottom w:val="single" w:sz="8" w:color="BFA071"/>
            </w:tcBorders>
          </w:tcPr>
          <w:p>
            <w:pPr>
              <w:jc w:val="center"/>
              <w:ind w:left="528"/>
              <w:spacing w:after="0"/>
              <w:rPr>
                <w:sz w:val="20"/>
                <w:szCs w:val="20"/>
                <w:color w:val="auto"/>
              </w:rPr>
            </w:pPr>
            <w:r>
              <w:rPr>
                <w:rFonts w:ascii="Arial" w:cs="Arial" w:eastAsia="Arial" w:hAnsi="Arial"/>
                <w:sz w:val="14"/>
                <w:szCs w:val="14"/>
                <w:color w:val="001641"/>
              </w:rPr>
              <w:t>$0</w:t>
            </w:r>
          </w:p>
        </w:tc>
        <w:tc>
          <w:tcPr>
            <w:tcW w:w="740" w:type="dxa"/>
            <w:vAlign w:val="bottom"/>
            <w:tcBorders>
              <w:bottom w:val="single" w:sz="8" w:color="BFA071"/>
            </w:tcBorders>
          </w:tcPr>
          <w:p>
            <w:pPr>
              <w:ind w:left="500"/>
              <w:spacing w:after="0"/>
              <w:rPr>
                <w:sz w:val="20"/>
                <w:szCs w:val="20"/>
                <w:color w:val="auto"/>
              </w:rPr>
            </w:pPr>
            <w:r>
              <w:rPr>
                <w:rFonts w:ascii="Arial" w:cs="Arial" w:eastAsia="Arial" w:hAnsi="Arial"/>
                <w:sz w:val="14"/>
                <w:szCs w:val="14"/>
                <w:color w:val="001641"/>
              </w:rPr>
              <w:t>$</w:t>
            </w:r>
          </w:p>
        </w:tc>
        <w:tc>
          <w:tcPr>
            <w:tcW w:w="820" w:type="dxa"/>
            <w:vAlign w:val="bottom"/>
            <w:tcBorders>
              <w:bottom w:val="single" w:sz="8" w:color="BFA071"/>
            </w:tcBorders>
          </w:tcPr>
          <w:p>
            <w:pPr>
              <w:jc w:val="right"/>
              <w:ind w:right="268"/>
              <w:spacing w:after="0"/>
              <w:rPr>
                <w:sz w:val="20"/>
                <w:szCs w:val="20"/>
                <w:color w:val="auto"/>
              </w:rPr>
            </w:pPr>
            <w:r>
              <w:rPr>
                <w:rFonts w:ascii="Arial" w:cs="Arial" w:eastAsia="Arial" w:hAnsi="Arial"/>
                <w:sz w:val="14"/>
                <w:szCs w:val="14"/>
                <w:color w:val="001641"/>
              </w:rPr>
              <w:t>0</w:t>
            </w:r>
          </w:p>
        </w:tc>
        <w:tc>
          <w:tcPr>
            <w:tcW w:w="1540" w:type="dxa"/>
            <w:vAlign w:val="bottom"/>
            <w:tcBorders>
              <w:bottom w:val="single" w:sz="8" w:color="BFA071"/>
            </w:tcBorders>
          </w:tcPr>
          <w:p>
            <w:pPr>
              <w:jc w:val="right"/>
              <w:ind w:right="308"/>
              <w:spacing w:after="0"/>
              <w:rPr>
                <w:sz w:val="20"/>
                <w:szCs w:val="20"/>
                <w:color w:val="auto"/>
              </w:rPr>
            </w:pPr>
            <w:r>
              <w:rPr>
                <w:rFonts w:ascii="Arial" w:cs="Arial" w:eastAsia="Arial" w:hAnsi="Arial"/>
                <w:sz w:val="14"/>
                <w:szCs w:val="14"/>
                <w:color w:val="001641"/>
              </w:rPr>
              <w:t>$0</w:t>
            </w:r>
          </w:p>
        </w:tc>
        <w:tc>
          <w:tcPr>
            <w:tcW w:w="1000" w:type="dxa"/>
            <w:vAlign w:val="bottom"/>
            <w:tcBorders>
              <w:bottom w:val="single" w:sz="8" w:color="BFA071"/>
            </w:tcBorders>
            <w:gridSpan w:val="2"/>
          </w:tcPr>
          <w:p>
            <w:pPr>
              <w:jc w:val="right"/>
              <w:ind w:right="28"/>
              <w:spacing w:after="0"/>
              <w:rPr>
                <w:sz w:val="20"/>
                <w:szCs w:val="20"/>
                <w:color w:val="auto"/>
              </w:rPr>
            </w:pPr>
            <w:r>
              <w:rPr>
                <w:rFonts w:ascii="Arial" w:cs="Arial" w:eastAsia="Arial" w:hAnsi="Arial"/>
                <w:sz w:val="14"/>
                <w:szCs w:val="14"/>
                <w:color w:val="001641"/>
              </w:rPr>
              <w:t>$1,000,000</w:t>
            </w:r>
          </w:p>
        </w:tc>
      </w:tr>
      <w:tr>
        <w:trPr>
          <w:trHeight w:val="250"/>
        </w:trPr>
        <w:tc>
          <w:tcPr>
            <w:tcW w:w="1980" w:type="dxa"/>
            <w:vAlign w:val="bottom"/>
            <w:tcBorders>
              <w:bottom w:val="single" w:sz="8" w:color="BFA071"/>
            </w:tcBorders>
          </w:tcPr>
          <w:p>
            <w:pPr>
              <w:ind w:left="120"/>
              <w:spacing w:after="0"/>
              <w:rPr>
                <w:sz w:val="20"/>
                <w:szCs w:val="20"/>
                <w:color w:val="auto"/>
              </w:rPr>
            </w:pPr>
            <w:r>
              <w:rPr>
                <w:rFonts w:ascii="Arial" w:cs="Arial" w:eastAsia="Arial" w:hAnsi="Arial"/>
                <w:sz w:val="14"/>
                <w:szCs w:val="14"/>
                <w:color w:val="001641"/>
              </w:rPr>
              <w:t>Death or Disability</w:t>
            </w:r>
          </w:p>
        </w:tc>
        <w:tc>
          <w:tcPr>
            <w:tcW w:w="900" w:type="dxa"/>
            <w:vAlign w:val="bottom"/>
            <w:tcBorders>
              <w:bottom w:val="single" w:sz="8" w:color="BFA071"/>
            </w:tcBorders>
          </w:tcPr>
          <w:p>
            <w:pPr>
              <w:jc w:val="right"/>
              <w:ind w:right="208"/>
              <w:spacing w:after="0"/>
              <w:rPr>
                <w:sz w:val="20"/>
                <w:szCs w:val="20"/>
                <w:color w:val="auto"/>
              </w:rPr>
            </w:pPr>
            <w:r>
              <w:rPr>
                <w:rFonts w:ascii="Arial" w:cs="Arial" w:eastAsia="Arial" w:hAnsi="Arial"/>
                <w:sz w:val="14"/>
                <w:szCs w:val="14"/>
                <w:color w:val="001641"/>
              </w:rPr>
              <w:t>$</w:t>
            </w:r>
          </w:p>
        </w:tc>
        <w:tc>
          <w:tcPr>
            <w:tcW w:w="680" w:type="dxa"/>
            <w:vAlign w:val="bottom"/>
            <w:tcBorders>
              <w:bottom w:val="single" w:sz="8" w:color="BFA071"/>
            </w:tcBorders>
          </w:tcPr>
          <w:p>
            <w:pPr>
              <w:jc w:val="right"/>
              <w:ind w:right="228"/>
              <w:spacing w:after="0"/>
              <w:rPr>
                <w:sz w:val="20"/>
                <w:szCs w:val="20"/>
                <w:color w:val="auto"/>
              </w:rPr>
            </w:pPr>
            <w:r>
              <w:rPr>
                <w:rFonts w:ascii="Arial" w:cs="Arial" w:eastAsia="Arial" w:hAnsi="Arial"/>
                <w:sz w:val="14"/>
                <w:szCs w:val="14"/>
                <w:color w:val="001641"/>
              </w:rPr>
              <w:t>0</w:t>
            </w:r>
          </w:p>
        </w:tc>
        <w:tc>
          <w:tcPr>
            <w:tcW w:w="1520" w:type="dxa"/>
            <w:vAlign w:val="bottom"/>
            <w:tcBorders>
              <w:bottom w:val="single" w:sz="8" w:color="BFA071"/>
            </w:tcBorders>
          </w:tcPr>
          <w:p>
            <w:pPr>
              <w:jc w:val="center"/>
              <w:ind w:left="528"/>
              <w:spacing w:after="0"/>
              <w:rPr>
                <w:sz w:val="20"/>
                <w:szCs w:val="20"/>
                <w:color w:val="auto"/>
              </w:rPr>
            </w:pPr>
            <w:r>
              <w:rPr>
                <w:rFonts w:ascii="Arial" w:cs="Arial" w:eastAsia="Arial" w:hAnsi="Arial"/>
                <w:sz w:val="14"/>
                <w:szCs w:val="14"/>
                <w:color w:val="001641"/>
              </w:rPr>
              <w:t>$0</w:t>
            </w:r>
          </w:p>
        </w:tc>
        <w:tc>
          <w:tcPr>
            <w:tcW w:w="1560" w:type="dxa"/>
            <w:vAlign w:val="bottom"/>
            <w:tcBorders>
              <w:bottom w:val="single" w:sz="8" w:color="BFA071"/>
            </w:tcBorders>
            <w:gridSpan w:val="2"/>
          </w:tcPr>
          <w:p>
            <w:pPr>
              <w:ind w:left="500"/>
              <w:spacing w:after="0" w:line="250" w:lineRule="exact"/>
              <w:rPr>
                <w:sz w:val="20"/>
                <w:szCs w:val="20"/>
                <w:color w:val="auto"/>
              </w:rPr>
            </w:pPr>
            <w:r>
              <w:rPr>
                <w:rFonts w:ascii="Arial" w:cs="Arial" w:eastAsia="Arial" w:hAnsi="Arial"/>
                <w:sz w:val="14"/>
                <w:szCs w:val="14"/>
                <w:color w:val="001641"/>
              </w:rPr>
              <w:t>$3,677,813</w:t>
            </w:r>
            <w:r>
              <w:rPr>
                <w:rFonts w:ascii="Arial" w:cs="Arial" w:eastAsia="Arial" w:hAnsi="Arial"/>
                <w:sz w:val="23"/>
                <w:szCs w:val="23"/>
                <w:color w:val="001641"/>
                <w:vertAlign w:val="superscript"/>
              </w:rPr>
              <w:t>3</w:t>
            </w:r>
          </w:p>
        </w:tc>
        <w:tc>
          <w:tcPr>
            <w:tcW w:w="1540" w:type="dxa"/>
            <w:vAlign w:val="bottom"/>
            <w:tcBorders>
              <w:bottom w:val="single" w:sz="8" w:color="BFA071"/>
            </w:tcBorders>
          </w:tcPr>
          <w:p>
            <w:pPr>
              <w:jc w:val="right"/>
              <w:ind w:right="308"/>
              <w:spacing w:after="0"/>
              <w:rPr>
                <w:sz w:val="20"/>
                <w:szCs w:val="20"/>
                <w:color w:val="auto"/>
              </w:rPr>
            </w:pPr>
            <w:r>
              <w:rPr>
                <w:rFonts w:ascii="Arial" w:cs="Arial" w:eastAsia="Arial" w:hAnsi="Arial"/>
                <w:sz w:val="14"/>
                <w:szCs w:val="14"/>
                <w:color w:val="001641"/>
              </w:rPr>
              <w:t>$0</w:t>
            </w:r>
          </w:p>
        </w:tc>
        <w:tc>
          <w:tcPr>
            <w:tcW w:w="1000" w:type="dxa"/>
            <w:vAlign w:val="bottom"/>
            <w:tcBorders>
              <w:bottom w:val="single" w:sz="8" w:color="BFA071"/>
            </w:tcBorders>
            <w:gridSpan w:val="2"/>
          </w:tcPr>
          <w:p>
            <w:pPr>
              <w:jc w:val="right"/>
              <w:ind w:right="28"/>
              <w:spacing w:after="0"/>
              <w:rPr>
                <w:sz w:val="20"/>
                <w:szCs w:val="20"/>
                <w:color w:val="auto"/>
              </w:rPr>
            </w:pPr>
            <w:r>
              <w:rPr>
                <w:rFonts w:ascii="Arial" w:cs="Arial" w:eastAsia="Arial" w:hAnsi="Arial"/>
                <w:sz w:val="14"/>
                <w:szCs w:val="14"/>
                <w:color w:val="001641"/>
              </w:rPr>
              <w:t>$3,677,813</w:t>
            </w:r>
          </w:p>
        </w:tc>
      </w:tr>
      <w:tr>
        <w:trPr>
          <w:trHeight w:val="173"/>
        </w:trPr>
        <w:tc>
          <w:tcPr>
            <w:tcW w:w="1980" w:type="dxa"/>
            <w:vAlign w:val="bottom"/>
          </w:tcPr>
          <w:p>
            <w:pPr>
              <w:ind w:left="120"/>
              <w:spacing w:after="0"/>
              <w:rPr>
                <w:sz w:val="20"/>
                <w:szCs w:val="20"/>
                <w:color w:val="auto"/>
              </w:rPr>
            </w:pPr>
            <w:r>
              <w:rPr>
                <w:rFonts w:ascii="Arial" w:cs="Arial" w:eastAsia="Arial" w:hAnsi="Arial"/>
                <w:sz w:val="14"/>
                <w:szCs w:val="14"/>
                <w:color w:val="001641"/>
              </w:rPr>
              <w:t>Change in Control with</w:t>
            </w: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4"/>
        </w:trPr>
        <w:tc>
          <w:tcPr>
            <w:tcW w:w="1980" w:type="dxa"/>
            <w:vAlign w:val="bottom"/>
            <w:tcBorders>
              <w:bottom w:val="single" w:sz="8" w:color="001641"/>
            </w:tcBorders>
          </w:tcPr>
          <w:p>
            <w:pPr>
              <w:ind w:left="120"/>
              <w:spacing w:after="0"/>
              <w:rPr>
                <w:sz w:val="20"/>
                <w:szCs w:val="20"/>
                <w:color w:val="auto"/>
              </w:rPr>
            </w:pPr>
            <w:r>
              <w:rPr>
                <w:rFonts w:ascii="Arial" w:cs="Arial" w:eastAsia="Arial" w:hAnsi="Arial"/>
                <w:sz w:val="14"/>
                <w:szCs w:val="14"/>
                <w:color w:val="001641"/>
              </w:rPr>
              <w:t>Termination  </w:t>
            </w:r>
          </w:p>
        </w:tc>
        <w:tc>
          <w:tcPr>
            <w:tcW w:w="1580" w:type="dxa"/>
            <w:vAlign w:val="bottom"/>
            <w:tcBorders>
              <w:bottom w:val="single" w:sz="8" w:color="001641"/>
            </w:tcBorders>
            <w:gridSpan w:val="2"/>
          </w:tcPr>
          <w:p>
            <w:pPr>
              <w:jc w:val="right"/>
              <w:ind w:right="248"/>
              <w:spacing w:after="0"/>
              <w:rPr>
                <w:sz w:val="20"/>
                <w:szCs w:val="20"/>
                <w:color w:val="auto"/>
              </w:rPr>
            </w:pPr>
            <w:r>
              <w:rPr>
                <w:rFonts w:ascii="Arial" w:cs="Arial" w:eastAsia="Arial" w:hAnsi="Arial"/>
                <w:sz w:val="14"/>
                <w:szCs w:val="14"/>
                <w:color w:val="001641"/>
              </w:rPr>
              <w:t>$1,000,000</w:t>
            </w:r>
          </w:p>
        </w:tc>
        <w:tc>
          <w:tcPr>
            <w:tcW w:w="1520" w:type="dxa"/>
            <w:vAlign w:val="bottom"/>
            <w:tcBorders>
              <w:bottom w:val="single" w:sz="8" w:color="001641"/>
            </w:tcBorders>
          </w:tcPr>
          <w:p>
            <w:pPr>
              <w:jc w:val="center"/>
              <w:ind w:left="528"/>
              <w:spacing w:after="0"/>
              <w:rPr>
                <w:sz w:val="20"/>
                <w:szCs w:val="20"/>
                <w:color w:val="auto"/>
              </w:rPr>
            </w:pPr>
            <w:r>
              <w:rPr>
                <w:rFonts w:ascii="Arial" w:cs="Arial" w:eastAsia="Arial" w:hAnsi="Arial"/>
                <w:sz w:val="14"/>
                <w:szCs w:val="14"/>
                <w:color w:val="001641"/>
              </w:rPr>
              <w:t>$0</w:t>
            </w:r>
          </w:p>
        </w:tc>
        <w:tc>
          <w:tcPr>
            <w:tcW w:w="1560" w:type="dxa"/>
            <w:vAlign w:val="bottom"/>
            <w:tcBorders>
              <w:bottom w:val="single" w:sz="8" w:color="001641"/>
            </w:tcBorders>
            <w:gridSpan w:val="2"/>
          </w:tcPr>
          <w:p>
            <w:pPr>
              <w:ind w:left="500"/>
              <w:spacing w:after="0"/>
              <w:rPr>
                <w:sz w:val="20"/>
                <w:szCs w:val="20"/>
                <w:color w:val="auto"/>
              </w:rPr>
            </w:pPr>
            <w:r>
              <w:rPr>
                <w:rFonts w:ascii="Arial" w:cs="Arial" w:eastAsia="Arial" w:hAnsi="Arial"/>
                <w:sz w:val="14"/>
                <w:szCs w:val="14"/>
                <w:color w:val="001641"/>
              </w:rPr>
              <w:t>$4,508,836</w:t>
            </w:r>
          </w:p>
        </w:tc>
        <w:tc>
          <w:tcPr>
            <w:tcW w:w="1540" w:type="dxa"/>
            <w:vAlign w:val="bottom"/>
            <w:tcBorders>
              <w:bottom w:val="single" w:sz="8" w:color="001641"/>
            </w:tcBorders>
          </w:tcPr>
          <w:p>
            <w:pPr>
              <w:jc w:val="right"/>
              <w:ind w:right="308"/>
              <w:spacing w:after="0"/>
              <w:rPr>
                <w:sz w:val="20"/>
                <w:szCs w:val="20"/>
                <w:color w:val="auto"/>
              </w:rPr>
            </w:pPr>
            <w:r>
              <w:rPr>
                <w:rFonts w:ascii="Arial" w:cs="Arial" w:eastAsia="Arial" w:hAnsi="Arial"/>
                <w:sz w:val="14"/>
                <w:szCs w:val="14"/>
                <w:color w:val="001641"/>
              </w:rPr>
              <w:t>$0</w:t>
            </w:r>
          </w:p>
        </w:tc>
        <w:tc>
          <w:tcPr>
            <w:tcW w:w="1000" w:type="dxa"/>
            <w:vAlign w:val="bottom"/>
            <w:tcBorders>
              <w:bottom w:val="single" w:sz="8" w:color="001641"/>
            </w:tcBorders>
            <w:gridSpan w:val="2"/>
          </w:tcPr>
          <w:p>
            <w:pPr>
              <w:jc w:val="right"/>
              <w:ind w:right="28"/>
              <w:spacing w:after="0"/>
              <w:rPr>
                <w:sz w:val="20"/>
                <w:szCs w:val="20"/>
                <w:color w:val="auto"/>
              </w:rPr>
            </w:pPr>
            <w:r>
              <w:rPr>
                <w:rFonts w:ascii="Arial" w:cs="Arial" w:eastAsia="Arial" w:hAnsi="Arial"/>
                <w:sz w:val="14"/>
                <w:szCs w:val="14"/>
                <w:color w:val="001641"/>
              </w:rPr>
              <w:t>$5,508,836</w:t>
            </w:r>
          </w:p>
        </w:tc>
      </w:tr>
    </w:tbl>
    <w:p>
      <w:pPr>
        <w:spacing w:after="0" w:line="153" w:lineRule="exact"/>
        <w:rPr>
          <w:sz w:val="20"/>
          <w:szCs w:val="20"/>
          <w:color w:val="auto"/>
        </w:rPr>
      </w:pPr>
    </w:p>
    <w:p>
      <w:pPr>
        <w:ind w:left="246" w:hanging="246"/>
        <w:spacing w:after="0"/>
        <w:tabs>
          <w:tab w:leader="none" w:pos="246" w:val="left"/>
        </w:tabs>
        <w:numPr>
          <w:ilvl w:val="0"/>
          <w:numId w:val="92"/>
        </w:numPr>
        <w:rPr>
          <w:rFonts w:ascii="Arial" w:cs="Arial" w:eastAsia="Arial" w:hAnsi="Arial"/>
          <w:sz w:val="14"/>
          <w:szCs w:val="14"/>
          <w:color w:val="4C4C4C"/>
        </w:rPr>
      </w:pPr>
      <w:r>
        <w:rPr>
          <w:rFonts w:ascii="Arial" w:cs="Arial" w:eastAsia="Arial" w:hAnsi="Arial"/>
          <w:sz w:val="14"/>
          <w:szCs w:val="14"/>
          <w:color w:val="4C4C4C"/>
        </w:rPr>
        <w:t>In the event of a termination by the Company without just cause, we would continue to pay Mr. D. Lauren his base salary for one year.</w:t>
      </w:r>
    </w:p>
    <w:p>
      <w:pPr>
        <w:spacing w:after="0" w:line="55" w:lineRule="exact"/>
        <w:rPr>
          <w:rFonts w:ascii="Arial" w:cs="Arial" w:eastAsia="Arial" w:hAnsi="Arial"/>
          <w:sz w:val="14"/>
          <w:szCs w:val="14"/>
          <w:color w:val="4C4C4C"/>
        </w:rPr>
      </w:pPr>
    </w:p>
    <w:p>
      <w:pPr>
        <w:ind w:left="246" w:right="220" w:hanging="246"/>
        <w:spacing w:after="0" w:line="281" w:lineRule="auto"/>
        <w:tabs>
          <w:tab w:leader="none" w:pos="246" w:val="left"/>
        </w:tabs>
        <w:numPr>
          <w:ilvl w:val="0"/>
          <w:numId w:val="92"/>
        </w:numPr>
        <w:rPr>
          <w:rFonts w:ascii="Arial" w:cs="Arial" w:eastAsia="Arial" w:hAnsi="Arial"/>
          <w:sz w:val="14"/>
          <w:szCs w:val="14"/>
          <w:color w:val="4C4C4C"/>
        </w:rPr>
      </w:pPr>
      <w:r>
        <w:rPr>
          <w:rFonts w:ascii="Arial" w:cs="Arial" w:eastAsia="Arial" w:hAnsi="Arial"/>
          <w:sz w:val="14"/>
          <w:szCs w:val="14"/>
          <w:color w:val="4C4C4C"/>
        </w:rPr>
        <w:t>Represents the value associated with the acceleration or continuation (as the case may be) of the vesting of equity awards. In the case of RSUs and PSUs, the value was based on the NYSE closing price of Class A Common Stock on March 27, 2026, which was $327.82.</w:t>
      </w:r>
    </w:p>
    <w:p>
      <w:pPr>
        <w:spacing w:after="0" w:line="1" w:lineRule="exact"/>
        <w:rPr>
          <w:rFonts w:ascii="Arial" w:cs="Arial" w:eastAsia="Arial" w:hAnsi="Arial"/>
          <w:sz w:val="14"/>
          <w:szCs w:val="14"/>
          <w:color w:val="4C4C4C"/>
        </w:rPr>
      </w:pPr>
    </w:p>
    <w:p>
      <w:pPr>
        <w:ind w:left="246" w:hanging="246"/>
        <w:spacing w:after="0"/>
        <w:tabs>
          <w:tab w:leader="none" w:pos="246" w:val="left"/>
        </w:tabs>
        <w:numPr>
          <w:ilvl w:val="0"/>
          <w:numId w:val="92"/>
        </w:numPr>
        <w:rPr>
          <w:rFonts w:ascii="Arial" w:cs="Arial" w:eastAsia="Arial" w:hAnsi="Arial"/>
          <w:sz w:val="14"/>
          <w:szCs w:val="14"/>
          <w:color w:val="4C4C4C"/>
        </w:rPr>
      </w:pPr>
      <w:r>
        <w:rPr>
          <w:rFonts w:ascii="Arial" w:cs="Arial" w:eastAsia="Arial" w:hAnsi="Arial"/>
          <w:sz w:val="14"/>
          <w:szCs w:val="14"/>
          <w:color w:val="4C4C4C"/>
        </w:rPr>
        <w:t>If maximum performance for applicable PSUs is reached, the value would increase by $2,333,095.</w:t>
      </w:r>
    </w:p>
    <w:p>
      <w:pPr>
        <w:spacing w:after="0" w:line="30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PAY RATIO DISCLOSURE</w:t>
      </w:r>
    </w:p>
    <w:p>
      <w:pPr>
        <w:spacing w:after="0" w:line="139" w:lineRule="exact"/>
        <w:rPr>
          <w:sz w:val="20"/>
          <w:szCs w:val="20"/>
          <w:color w:val="auto"/>
        </w:rPr>
      </w:pPr>
    </w:p>
    <w:p>
      <w:pPr>
        <w:ind w:left="6" w:right="60"/>
        <w:spacing w:after="0" w:line="259" w:lineRule="auto"/>
        <w:rPr>
          <w:sz w:val="20"/>
          <w:szCs w:val="20"/>
          <w:color w:val="auto"/>
        </w:rPr>
      </w:pPr>
      <w:r>
        <w:rPr>
          <w:rFonts w:ascii="Arial" w:cs="Arial" w:eastAsia="Arial" w:hAnsi="Arial"/>
          <w:sz w:val="16"/>
          <w:szCs w:val="16"/>
          <w:color w:val="auto"/>
        </w:rPr>
        <w:t>As required by the Dodd-Frank Wall Street Reform and Consumer Protection Act, the following disclosure provides the relationship of the annual total compensation of our median employee to the annual total compensation of our CEO, Mr. Louvet. The following ratio, as of our last completed fiscal year, is a reasonable estimate calculated in a manner consistent with SEC rules which permit the use of estimates, assumptions, and adjustments, and is based on the following methodology.</w:t>
      </w:r>
    </w:p>
    <w:p>
      <w:pPr>
        <w:spacing w:after="0" w:line="97" w:lineRule="exact"/>
        <w:rPr>
          <w:sz w:val="20"/>
          <w:szCs w:val="20"/>
          <w:color w:val="auto"/>
        </w:rPr>
      </w:pPr>
    </w:p>
    <w:p>
      <w:pPr>
        <w:ind w:left="166" w:hanging="166"/>
        <w:spacing w:after="0"/>
        <w:tabs>
          <w:tab w:leader="none" w:pos="166"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annual total compensation of the median employee, other than Mr. Louvet, was $34,214.</w:t>
      </w:r>
    </w:p>
    <w:p>
      <w:pPr>
        <w:spacing w:after="0" w:line="126" w:lineRule="exact"/>
        <w:rPr>
          <w:rFonts w:ascii="Arial" w:cs="Arial" w:eastAsia="Arial" w:hAnsi="Arial"/>
          <w:sz w:val="16"/>
          <w:szCs w:val="16"/>
          <w:color w:val="auto"/>
        </w:rPr>
      </w:pPr>
    </w:p>
    <w:p>
      <w:pPr>
        <w:ind w:left="166" w:hanging="166"/>
        <w:spacing w:after="0"/>
        <w:tabs>
          <w:tab w:leader="none" w:pos="166" w:val="left"/>
        </w:tabs>
        <w:numPr>
          <w:ilvl w:val="0"/>
          <w:numId w:val="93"/>
        </w:numPr>
        <w:rPr>
          <w:rFonts w:ascii="Arial" w:cs="Arial" w:eastAsia="Arial" w:hAnsi="Arial"/>
          <w:sz w:val="16"/>
          <w:szCs w:val="16"/>
          <w:color w:val="auto"/>
        </w:rPr>
      </w:pPr>
      <w:r>
        <w:rPr>
          <w:rFonts w:ascii="Arial" w:cs="Arial" w:eastAsia="Arial" w:hAnsi="Arial"/>
          <w:sz w:val="16"/>
          <w:szCs w:val="16"/>
          <w:color w:val="auto"/>
        </w:rPr>
        <w:t>Mr. Louvet’s annual total compensation was $23,264,269.</w:t>
      </w:r>
    </w:p>
    <w:p>
      <w:pPr>
        <w:spacing w:after="0" w:line="126" w:lineRule="exact"/>
        <w:rPr>
          <w:rFonts w:ascii="Arial" w:cs="Arial" w:eastAsia="Arial" w:hAnsi="Arial"/>
          <w:sz w:val="16"/>
          <w:szCs w:val="16"/>
          <w:color w:val="auto"/>
        </w:rPr>
      </w:pPr>
    </w:p>
    <w:p>
      <w:pPr>
        <w:ind w:left="166" w:right="160" w:hanging="166"/>
        <w:spacing w:after="0" w:line="286" w:lineRule="auto"/>
        <w:tabs>
          <w:tab w:leader="none" w:pos="166"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ratio of the annual total compensation of Mr. Louvet to the median of the annual total compensation of our employees is estimated to be 680 to 1.</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Determination of the Median Employee</w:t>
      </w:r>
    </w:p>
    <w:p>
      <w:pPr>
        <w:spacing w:after="0" w:line="162" w:lineRule="exact"/>
        <w:rPr>
          <w:sz w:val="20"/>
          <w:szCs w:val="20"/>
          <w:color w:val="auto"/>
        </w:rPr>
      </w:pPr>
    </w:p>
    <w:p>
      <w:pPr>
        <w:ind w:left="6" w:right="40"/>
        <w:spacing w:after="0" w:line="253" w:lineRule="auto"/>
        <w:rPr>
          <w:sz w:val="20"/>
          <w:szCs w:val="20"/>
          <w:color w:val="auto"/>
        </w:rPr>
      </w:pPr>
      <w:r>
        <w:rPr>
          <w:rFonts w:ascii="Arial" w:cs="Arial" w:eastAsia="Arial" w:hAnsi="Arial"/>
          <w:sz w:val="16"/>
          <w:szCs w:val="16"/>
          <w:color w:val="auto"/>
        </w:rPr>
        <w:t>Under the SEC’s rules, our Company is required to identify its median employee only once every three years so long as there have been minimal changes to its employee population or employee compensation arrangements that the Company reasonably believes would not have a meaningful impact on its pay ratio. We believe that we have not had any such changes in Fiscal 2026 that would have impacted our pay ratio, therefore, we have selected the same median employee from Fiscal 2025. In 2025, we selected February 28, 2025 as the date on which to determine our median employee. At that time, including all full-time, part-time, temporary, and seasonal employees, our workforce was comprised of 23,510 employees in 30 countries globally. None of the permitted exemptions under the SEC rules were used.</w:t>
      </w:r>
    </w:p>
    <w:p>
      <w:pPr>
        <w:spacing w:after="0" w:line="127" w:lineRule="exact"/>
        <w:rPr>
          <w:sz w:val="20"/>
          <w:szCs w:val="20"/>
          <w:color w:val="auto"/>
        </w:rPr>
      </w:pPr>
    </w:p>
    <w:p>
      <w:pPr>
        <w:ind w:left="6" w:right="260"/>
        <w:spacing w:after="0" w:line="266" w:lineRule="auto"/>
        <w:rPr>
          <w:sz w:val="20"/>
          <w:szCs w:val="20"/>
          <w:color w:val="auto"/>
        </w:rPr>
      </w:pPr>
      <w:r>
        <w:rPr>
          <w:rFonts w:ascii="Arial" w:cs="Arial" w:eastAsia="Arial" w:hAnsi="Arial"/>
          <w:sz w:val="16"/>
          <w:szCs w:val="16"/>
          <w:color w:val="auto"/>
        </w:rPr>
        <w:t>Our employees work in various locations, with a large portion of employees in stores on a part-time or seasonal basis. These roles are critical to our business as they allow us the flexibility to best address our customer demands. At the Company, it is important to provide flexible work opportunities for our employees, so they can balance work with other life commitments.</w:t>
      </w:r>
    </w:p>
    <w:p>
      <w:pPr>
        <w:spacing w:after="0" w:line="117" w:lineRule="exact"/>
        <w:rPr>
          <w:sz w:val="20"/>
          <w:szCs w:val="20"/>
          <w:color w:val="auto"/>
        </w:rPr>
      </w:pPr>
    </w:p>
    <w:p>
      <w:pPr>
        <w:ind w:left="6" w:right="280"/>
        <w:spacing w:after="0" w:line="266" w:lineRule="auto"/>
        <w:rPr>
          <w:sz w:val="20"/>
          <w:szCs w:val="20"/>
          <w:color w:val="auto"/>
        </w:rPr>
      </w:pPr>
      <w:r>
        <w:rPr>
          <w:rFonts w:ascii="Arial" w:cs="Arial" w:eastAsia="Arial" w:hAnsi="Arial"/>
          <w:sz w:val="16"/>
          <w:szCs w:val="16"/>
          <w:color w:val="auto"/>
        </w:rPr>
        <w:t>We utilized annualized total cash received as compiled from our payroll records to identify the median employee. Annualized total cash received includes wages, bonuses, commissions, and overtime paid. Compensation in foreign currencies was converted to USD based on exchange rates used in our financial reporting.</w:t>
      </w:r>
    </w:p>
    <w:p>
      <w:pPr>
        <w:spacing w:after="0" w:line="117" w:lineRule="exact"/>
        <w:rPr>
          <w:sz w:val="20"/>
          <w:szCs w:val="20"/>
          <w:color w:val="auto"/>
        </w:rPr>
      </w:pPr>
    </w:p>
    <w:p>
      <w:pPr>
        <w:ind w:left="6" w:right="220"/>
        <w:spacing w:after="0" w:line="286" w:lineRule="auto"/>
        <w:rPr>
          <w:sz w:val="20"/>
          <w:szCs w:val="20"/>
          <w:color w:val="auto"/>
        </w:rPr>
      </w:pPr>
      <w:r>
        <w:rPr>
          <w:rFonts w:ascii="Arial" w:cs="Arial" w:eastAsia="Arial" w:hAnsi="Arial"/>
          <w:sz w:val="16"/>
          <w:szCs w:val="16"/>
          <w:color w:val="auto"/>
        </w:rPr>
        <w:t>We determined the estimated median based upon total cash received and selected a small group of employees around this estimated median. We then chose a median employee whom we felt was reasonably representative of our median employee.</w:t>
      </w:r>
    </w:p>
    <w:p>
      <w:pPr>
        <w:spacing w:after="0" w:line="21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1641"/>
        </w:rPr>
        <w:t>Calculation of Annual Total Compensation</w:t>
      </w:r>
    </w:p>
    <w:p>
      <w:pPr>
        <w:spacing w:after="0" w:line="162" w:lineRule="exact"/>
        <w:rPr>
          <w:sz w:val="20"/>
          <w:szCs w:val="20"/>
          <w:color w:val="auto"/>
        </w:rPr>
      </w:pPr>
    </w:p>
    <w:p>
      <w:pPr>
        <w:ind w:left="6" w:right="80"/>
        <w:spacing w:after="0" w:line="286" w:lineRule="auto"/>
        <w:rPr>
          <w:sz w:val="20"/>
          <w:szCs w:val="20"/>
          <w:color w:val="auto"/>
        </w:rPr>
      </w:pPr>
      <w:r>
        <w:rPr>
          <w:rFonts w:ascii="Arial" w:cs="Arial" w:eastAsia="Arial" w:hAnsi="Arial"/>
          <w:sz w:val="16"/>
          <w:szCs w:val="16"/>
          <w:color w:val="auto"/>
        </w:rPr>
        <w:t>For purposes of the pay ratio, both the CEO and median employee’s annual total compensation were calculated consistent with the disclosure requirements under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66"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001641"/>
        </w:rPr>
        <w:t xml:space="preserve">104 </w:t>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15" w:name="page116"/>
    <w:bookmarkEnd w:id="11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582930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PAY VERSUS PERFORMANCE</w:t>
      </w:r>
    </w:p>
    <w:p>
      <w:pPr>
        <w:spacing w:after="0" w:line="153" w:lineRule="exact"/>
        <w:rPr>
          <w:sz w:val="20"/>
          <w:szCs w:val="20"/>
          <w:color w:val="auto"/>
        </w:rPr>
      </w:pPr>
    </w:p>
    <w:p>
      <w:pPr>
        <w:ind w:left="6" w:right="20"/>
        <w:spacing w:after="0" w:line="254" w:lineRule="auto"/>
        <w:rPr>
          <w:sz w:val="20"/>
          <w:szCs w:val="20"/>
          <w:color w:val="auto"/>
        </w:rPr>
      </w:pPr>
      <w:r>
        <w:rPr>
          <w:rFonts w:ascii="Arial" w:cs="Arial" w:eastAsia="Arial" w:hAnsi="Arial"/>
          <w:sz w:val="16"/>
          <w:szCs w:val="16"/>
          <w:color w:val="auto"/>
        </w:rPr>
        <w:t xml:space="preserve">Below is information about the relationship between executive compensation actually paid to our named executive officers and our financial performance, as prepared in accordance with SEC rules. For purposes of the Peer Group Total Shareholder Return column of the Pay Versus Performance Table, we have used the S&amp;P Composite 1500 Apparel, Accessories &amp; Luxury Goods Index, which we also used for purposes of the Stock Performance Graph in our 2026 Annual Report on Form 10-K. For further information about how we align executive compensation with the Company’s performance, see “Compensation Discussion and Analysis” starting on page </w:t>
      </w:r>
      <w:r>
        <w:rPr>
          <w:rFonts w:ascii="Arial" w:cs="Arial" w:eastAsia="Arial" w:hAnsi="Arial"/>
          <w:sz w:val="16"/>
          <w:szCs w:val="16"/>
          <w:u w:val="single" w:color="auto"/>
          <w:color w:val="0000EE"/>
        </w:rPr>
        <w:t>60</w:t>
      </w:r>
      <w:r>
        <w:rPr>
          <w:rFonts w:ascii="Arial" w:cs="Arial" w:eastAsia="Arial" w:hAnsi="Arial"/>
          <w:sz w:val="16"/>
          <w:szCs w:val="16"/>
          <w:color w:val="auto"/>
        </w:rPr>
        <w:t>.</w:t>
      </w:r>
    </w:p>
    <w:p>
      <w:pPr>
        <w:spacing w:after="0" w:line="88" w:lineRule="exact"/>
        <w:rPr>
          <w:sz w:val="20"/>
          <w:szCs w:val="20"/>
          <w:color w:val="auto"/>
        </w:rPr>
      </w:pPr>
    </w:p>
    <w:tbl>
      <w:tblPr>
        <w:tblLayout w:type="fixed"/>
        <w:tblInd w:w="6" w:type="dxa"/>
        <w:tblCellMar>
          <w:top w:w="0" w:type="dxa"/>
          <w:left w:w="0" w:type="dxa"/>
          <w:bottom w:w="0" w:type="dxa"/>
          <w:right w:w="0" w:type="dxa"/>
        </w:tblCellMar>
      </w:tblPr>
      <w:tr>
        <w:trPr>
          <w:trHeight w:val="261"/>
        </w:trPr>
        <w:tc>
          <w:tcPr>
            <w:tcW w:w="860" w:type="dxa"/>
            <w:vAlign w:val="bottom"/>
            <w:shd w:val="clear" w:color="auto" w:fill="001641"/>
          </w:tcPr>
          <w:p>
            <w:pPr>
              <w:spacing w:after="0"/>
              <w:rPr>
                <w:sz w:val="22"/>
                <w:szCs w:val="22"/>
                <w:color w:val="auto"/>
              </w:rPr>
            </w:pPr>
          </w:p>
        </w:tc>
        <w:tc>
          <w:tcPr>
            <w:tcW w:w="1140" w:type="dxa"/>
            <w:vAlign w:val="bottom"/>
            <w:shd w:val="clear" w:color="auto" w:fill="001641"/>
          </w:tcPr>
          <w:p>
            <w:pPr>
              <w:spacing w:after="0"/>
              <w:rPr>
                <w:sz w:val="22"/>
                <w:szCs w:val="22"/>
                <w:color w:val="auto"/>
              </w:rPr>
            </w:pPr>
          </w:p>
        </w:tc>
        <w:tc>
          <w:tcPr>
            <w:tcW w:w="1100" w:type="dxa"/>
            <w:vAlign w:val="bottom"/>
            <w:shd w:val="clear" w:color="auto" w:fill="001641"/>
          </w:tcPr>
          <w:p>
            <w:pPr>
              <w:spacing w:after="0"/>
              <w:rPr>
                <w:sz w:val="22"/>
                <w:szCs w:val="22"/>
                <w:color w:val="auto"/>
              </w:rPr>
            </w:pPr>
          </w:p>
        </w:tc>
        <w:tc>
          <w:tcPr>
            <w:tcW w:w="1100" w:type="dxa"/>
            <w:vAlign w:val="bottom"/>
            <w:shd w:val="clear" w:color="auto" w:fill="001641"/>
          </w:tcPr>
          <w:p>
            <w:pPr>
              <w:spacing w:after="0"/>
              <w:rPr>
                <w:sz w:val="22"/>
                <w:szCs w:val="22"/>
                <w:color w:val="auto"/>
              </w:rPr>
            </w:pPr>
          </w:p>
        </w:tc>
        <w:tc>
          <w:tcPr>
            <w:tcW w:w="1220" w:type="dxa"/>
            <w:vAlign w:val="bottom"/>
            <w:shd w:val="clear" w:color="auto" w:fill="001641"/>
          </w:tcPr>
          <w:p>
            <w:pPr>
              <w:spacing w:after="0"/>
              <w:rPr>
                <w:sz w:val="22"/>
                <w:szCs w:val="22"/>
                <w:color w:val="auto"/>
              </w:rPr>
            </w:pPr>
          </w:p>
        </w:tc>
        <w:tc>
          <w:tcPr>
            <w:tcW w:w="1880" w:type="dxa"/>
            <w:vAlign w:val="bottom"/>
            <w:gridSpan w:val="2"/>
            <w:shd w:val="clear" w:color="auto" w:fill="001641"/>
          </w:tcPr>
          <w:p>
            <w:pPr>
              <w:ind w:left="60"/>
              <w:spacing w:after="0"/>
              <w:rPr>
                <w:sz w:val="20"/>
                <w:szCs w:val="20"/>
                <w:color w:val="auto"/>
              </w:rPr>
            </w:pPr>
            <w:r>
              <w:rPr>
                <w:rFonts w:ascii="Arial" w:cs="Arial" w:eastAsia="Arial" w:hAnsi="Arial"/>
                <w:sz w:val="14"/>
                <w:szCs w:val="14"/>
                <w:b w:val="1"/>
                <w:bCs w:val="1"/>
                <w:color w:val="FFFFFF"/>
              </w:rPr>
              <w:t>Value of Initial Fixed $100</w:t>
            </w:r>
          </w:p>
        </w:tc>
        <w:tc>
          <w:tcPr>
            <w:tcW w:w="1000" w:type="dxa"/>
            <w:vAlign w:val="bottom"/>
            <w:shd w:val="clear" w:color="auto" w:fill="001641"/>
          </w:tcPr>
          <w:p>
            <w:pPr>
              <w:spacing w:after="0"/>
              <w:rPr>
                <w:sz w:val="22"/>
                <w:szCs w:val="22"/>
                <w:color w:val="auto"/>
              </w:rPr>
            </w:pPr>
          </w:p>
        </w:tc>
        <w:tc>
          <w:tcPr>
            <w:tcW w:w="880" w:type="dxa"/>
            <w:vAlign w:val="bottom"/>
            <w:shd w:val="clear" w:color="auto" w:fill="001641"/>
          </w:tcPr>
          <w:p>
            <w:pPr>
              <w:spacing w:after="0"/>
              <w:rPr>
                <w:sz w:val="22"/>
                <w:szCs w:val="22"/>
                <w:color w:val="auto"/>
              </w:rPr>
            </w:pPr>
          </w:p>
        </w:tc>
      </w:tr>
      <w:tr>
        <w:trPr>
          <w:trHeight w:val="196"/>
        </w:trPr>
        <w:tc>
          <w:tcPr>
            <w:tcW w:w="860" w:type="dxa"/>
            <w:vAlign w:val="bottom"/>
            <w:shd w:val="clear" w:color="auto" w:fill="001641"/>
          </w:tcPr>
          <w:p>
            <w:pPr>
              <w:spacing w:after="0"/>
              <w:rPr>
                <w:sz w:val="17"/>
                <w:szCs w:val="17"/>
                <w:color w:val="auto"/>
              </w:rPr>
            </w:pPr>
          </w:p>
        </w:tc>
        <w:tc>
          <w:tcPr>
            <w:tcW w:w="1140" w:type="dxa"/>
            <w:vAlign w:val="bottom"/>
            <w:shd w:val="clear" w:color="auto" w:fill="001641"/>
          </w:tcPr>
          <w:p>
            <w:pPr>
              <w:spacing w:after="0"/>
              <w:rPr>
                <w:sz w:val="17"/>
                <w:szCs w:val="17"/>
                <w:color w:val="auto"/>
              </w:rPr>
            </w:pPr>
          </w:p>
        </w:tc>
        <w:tc>
          <w:tcPr>
            <w:tcW w:w="1100" w:type="dxa"/>
            <w:vAlign w:val="bottom"/>
            <w:shd w:val="clear" w:color="auto" w:fill="001641"/>
          </w:tcPr>
          <w:p>
            <w:pPr>
              <w:spacing w:after="0"/>
              <w:rPr>
                <w:sz w:val="17"/>
                <w:szCs w:val="17"/>
                <w:color w:val="auto"/>
              </w:rPr>
            </w:pPr>
          </w:p>
        </w:tc>
        <w:tc>
          <w:tcPr>
            <w:tcW w:w="1100" w:type="dxa"/>
            <w:vAlign w:val="bottom"/>
            <w:shd w:val="clear" w:color="auto" w:fill="001641"/>
          </w:tcPr>
          <w:p>
            <w:pPr>
              <w:spacing w:after="0"/>
              <w:rPr>
                <w:sz w:val="17"/>
                <w:szCs w:val="17"/>
                <w:color w:val="auto"/>
              </w:rPr>
            </w:pPr>
          </w:p>
        </w:tc>
        <w:tc>
          <w:tcPr>
            <w:tcW w:w="1220" w:type="dxa"/>
            <w:vAlign w:val="bottom"/>
            <w:shd w:val="clear" w:color="auto" w:fill="001641"/>
          </w:tcPr>
          <w:p>
            <w:pPr>
              <w:spacing w:after="0"/>
              <w:rPr>
                <w:sz w:val="17"/>
                <w:szCs w:val="17"/>
                <w:color w:val="auto"/>
              </w:rPr>
            </w:pPr>
          </w:p>
        </w:tc>
        <w:tc>
          <w:tcPr>
            <w:tcW w:w="1880" w:type="dxa"/>
            <w:vAlign w:val="bottom"/>
            <w:gridSpan w:val="2"/>
            <w:shd w:val="clear" w:color="auto" w:fill="001641"/>
          </w:tcPr>
          <w:p>
            <w:pPr>
              <w:jc w:val="right"/>
              <w:ind w:right="109"/>
              <w:spacing w:after="0"/>
              <w:rPr>
                <w:sz w:val="20"/>
                <w:szCs w:val="20"/>
                <w:color w:val="auto"/>
              </w:rPr>
            </w:pPr>
            <w:r>
              <w:rPr>
                <w:rFonts w:ascii="Arial" w:cs="Arial" w:eastAsia="Arial" w:hAnsi="Arial"/>
                <w:sz w:val="14"/>
                <w:szCs w:val="14"/>
                <w:b w:val="1"/>
                <w:bCs w:val="1"/>
                <w:color w:val="FFFFFF"/>
              </w:rPr>
              <w:t>Investment Based On:</w:t>
            </w:r>
          </w:p>
        </w:tc>
        <w:tc>
          <w:tcPr>
            <w:tcW w:w="1000" w:type="dxa"/>
            <w:vAlign w:val="bottom"/>
            <w:shd w:val="clear" w:color="auto" w:fill="001641"/>
          </w:tcPr>
          <w:p>
            <w:pPr>
              <w:spacing w:after="0"/>
              <w:rPr>
                <w:sz w:val="17"/>
                <w:szCs w:val="17"/>
                <w:color w:val="auto"/>
              </w:rPr>
            </w:pPr>
          </w:p>
        </w:tc>
        <w:tc>
          <w:tcPr>
            <w:tcW w:w="880" w:type="dxa"/>
            <w:vAlign w:val="bottom"/>
            <w:shd w:val="clear" w:color="auto" w:fill="001641"/>
          </w:tcPr>
          <w:p>
            <w:pPr>
              <w:spacing w:after="0"/>
              <w:rPr>
                <w:sz w:val="17"/>
                <w:szCs w:val="17"/>
                <w:color w:val="auto"/>
              </w:rPr>
            </w:pPr>
          </w:p>
        </w:tc>
      </w:tr>
      <w:tr>
        <w:trPr>
          <w:trHeight w:val="209"/>
        </w:trPr>
        <w:tc>
          <w:tcPr>
            <w:tcW w:w="860" w:type="dxa"/>
            <w:vAlign w:val="bottom"/>
            <w:shd w:val="clear" w:color="auto" w:fill="001641"/>
          </w:tcPr>
          <w:p>
            <w:pPr>
              <w:spacing w:after="0"/>
              <w:rPr>
                <w:sz w:val="18"/>
                <w:szCs w:val="18"/>
                <w:color w:val="auto"/>
              </w:rPr>
            </w:pPr>
          </w:p>
        </w:tc>
        <w:tc>
          <w:tcPr>
            <w:tcW w:w="1140" w:type="dxa"/>
            <w:vAlign w:val="bottom"/>
            <w:shd w:val="clear" w:color="auto" w:fill="001641"/>
          </w:tcPr>
          <w:p>
            <w:pPr>
              <w:spacing w:after="0"/>
              <w:rPr>
                <w:sz w:val="18"/>
                <w:szCs w:val="18"/>
                <w:color w:val="auto"/>
              </w:rPr>
            </w:pPr>
          </w:p>
        </w:tc>
        <w:tc>
          <w:tcPr>
            <w:tcW w:w="1100" w:type="dxa"/>
            <w:vAlign w:val="bottom"/>
            <w:shd w:val="clear" w:color="auto" w:fill="001641"/>
          </w:tcPr>
          <w:p>
            <w:pPr>
              <w:spacing w:after="0"/>
              <w:rPr>
                <w:sz w:val="18"/>
                <w:szCs w:val="18"/>
                <w:color w:val="auto"/>
              </w:rPr>
            </w:pPr>
          </w:p>
        </w:tc>
        <w:tc>
          <w:tcPr>
            <w:tcW w:w="1100" w:type="dxa"/>
            <w:vAlign w:val="bottom"/>
            <w:shd w:val="clear" w:color="auto" w:fill="001641"/>
          </w:tcPr>
          <w:p>
            <w:pPr>
              <w:jc w:val="right"/>
              <w:ind w:right="9"/>
              <w:spacing w:after="0"/>
              <w:rPr>
                <w:sz w:val="20"/>
                <w:szCs w:val="20"/>
                <w:color w:val="auto"/>
              </w:rPr>
            </w:pPr>
            <w:r>
              <w:rPr>
                <w:rFonts w:ascii="Arial" w:cs="Arial" w:eastAsia="Arial" w:hAnsi="Arial"/>
                <w:sz w:val="14"/>
                <w:szCs w:val="14"/>
                <w:b w:val="1"/>
                <w:bCs w:val="1"/>
                <w:color w:val="FFFFFF"/>
              </w:rPr>
              <w:t>Average</w:t>
            </w:r>
          </w:p>
        </w:tc>
        <w:tc>
          <w:tcPr>
            <w:tcW w:w="1220" w:type="dxa"/>
            <w:vAlign w:val="bottom"/>
            <w:shd w:val="clear" w:color="auto" w:fill="001641"/>
          </w:tcPr>
          <w:p>
            <w:pPr>
              <w:spacing w:after="0"/>
              <w:rPr>
                <w:sz w:val="18"/>
                <w:szCs w:val="18"/>
                <w:color w:val="auto"/>
              </w:rPr>
            </w:pPr>
          </w:p>
        </w:tc>
        <w:tc>
          <w:tcPr>
            <w:tcW w:w="960" w:type="dxa"/>
            <w:vAlign w:val="bottom"/>
            <w:shd w:val="clear" w:color="auto" w:fill="001641"/>
          </w:tcPr>
          <w:p>
            <w:pPr>
              <w:spacing w:after="0"/>
              <w:rPr>
                <w:sz w:val="18"/>
                <w:szCs w:val="18"/>
                <w:color w:val="auto"/>
              </w:rPr>
            </w:pPr>
          </w:p>
        </w:tc>
        <w:tc>
          <w:tcPr>
            <w:tcW w:w="920" w:type="dxa"/>
            <w:vAlign w:val="bottom"/>
            <w:shd w:val="clear" w:color="auto" w:fill="001641"/>
          </w:tcPr>
          <w:p>
            <w:pPr>
              <w:spacing w:after="0"/>
              <w:rPr>
                <w:sz w:val="18"/>
                <w:szCs w:val="18"/>
                <w:color w:val="auto"/>
              </w:rPr>
            </w:pPr>
          </w:p>
        </w:tc>
        <w:tc>
          <w:tcPr>
            <w:tcW w:w="1000" w:type="dxa"/>
            <w:vAlign w:val="bottom"/>
            <w:shd w:val="clear" w:color="auto" w:fill="001641"/>
          </w:tcPr>
          <w:p>
            <w:pPr>
              <w:spacing w:after="0"/>
              <w:rPr>
                <w:sz w:val="18"/>
                <w:szCs w:val="18"/>
                <w:color w:val="auto"/>
              </w:rPr>
            </w:pPr>
          </w:p>
        </w:tc>
        <w:tc>
          <w:tcPr>
            <w:tcW w:w="880" w:type="dxa"/>
            <w:vAlign w:val="bottom"/>
            <w:shd w:val="clear" w:color="auto" w:fill="001641"/>
          </w:tcPr>
          <w:p>
            <w:pPr>
              <w:spacing w:after="0"/>
              <w:rPr>
                <w:sz w:val="18"/>
                <w:szCs w:val="18"/>
                <w:color w:val="auto"/>
              </w:rPr>
            </w:pPr>
          </w:p>
        </w:tc>
      </w:tr>
      <w:tr>
        <w:trPr>
          <w:trHeight w:val="162"/>
        </w:trPr>
        <w:tc>
          <w:tcPr>
            <w:tcW w:w="860" w:type="dxa"/>
            <w:vAlign w:val="bottom"/>
            <w:shd w:val="clear" w:color="auto" w:fill="001641"/>
          </w:tcPr>
          <w:p>
            <w:pPr>
              <w:spacing w:after="0"/>
              <w:rPr>
                <w:sz w:val="14"/>
                <w:szCs w:val="14"/>
                <w:color w:val="auto"/>
              </w:rPr>
            </w:pPr>
          </w:p>
        </w:tc>
        <w:tc>
          <w:tcPr>
            <w:tcW w:w="1140" w:type="dxa"/>
            <w:vAlign w:val="bottom"/>
            <w:shd w:val="clear" w:color="auto" w:fill="001641"/>
          </w:tcPr>
          <w:p>
            <w:pPr>
              <w:spacing w:after="0"/>
              <w:rPr>
                <w:sz w:val="14"/>
                <w:szCs w:val="14"/>
                <w:color w:val="auto"/>
              </w:rPr>
            </w:pPr>
          </w:p>
        </w:tc>
        <w:tc>
          <w:tcPr>
            <w:tcW w:w="1100" w:type="dxa"/>
            <w:vAlign w:val="bottom"/>
            <w:shd w:val="clear" w:color="auto" w:fill="001641"/>
          </w:tcPr>
          <w:p>
            <w:pPr>
              <w:spacing w:after="0"/>
              <w:rPr>
                <w:sz w:val="14"/>
                <w:szCs w:val="14"/>
                <w:color w:val="auto"/>
              </w:rPr>
            </w:pPr>
          </w:p>
        </w:tc>
        <w:tc>
          <w:tcPr>
            <w:tcW w:w="1100" w:type="dxa"/>
            <w:vAlign w:val="bottom"/>
            <w:shd w:val="clear" w:color="auto" w:fill="001641"/>
          </w:tcPr>
          <w:p>
            <w:pPr>
              <w:jc w:val="right"/>
              <w:ind w:right="9"/>
              <w:spacing w:after="0"/>
              <w:rPr>
                <w:sz w:val="20"/>
                <w:szCs w:val="20"/>
                <w:color w:val="auto"/>
              </w:rPr>
            </w:pPr>
            <w:r>
              <w:rPr>
                <w:rFonts w:ascii="Arial" w:cs="Arial" w:eastAsia="Arial" w:hAnsi="Arial"/>
                <w:sz w:val="14"/>
                <w:szCs w:val="14"/>
                <w:b w:val="1"/>
                <w:bCs w:val="1"/>
                <w:color w:val="FFFFFF"/>
              </w:rPr>
              <w:t>Summary</w:t>
            </w:r>
          </w:p>
        </w:tc>
        <w:tc>
          <w:tcPr>
            <w:tcW w:w="1220" w:type="dxa"/>
            <w:vAlign w:val="bottom"/>
            <w:shd w:val="clear" w:color="auto" w:fill="001641"/>
          </w:tcPr>
          <w:p>
            <w:pPr>
              <w:jc w:val="right"/>
              <w:ind w:right="29"/>
              <w:spacing w:after="0"/>
              <w:rPr>
                <w:sz w:val="20"/>
                <w:szCs w:val="20"/>
                <w:color w:val="auto"/>
              </w:rPr>
            </w:pPr>
            <w:r>
              <w:rPr>
                <w:rFonts w:ascii="Arial" w:cs="Arial" w:eastAsia="Arial" w:hAnsi="Arial"/>
                <w:sz w:val="14"/>
                <w:szCs w:val="14"/>
                <w:b w:val="1"/>
                <w:bCs w:val="1"/>
                <w:color w:val="FFFFFF"/>
              </w:rPr>
              <w:t>Average</w:t>
            </w:r>
          </w:p>
        </w:tc>
        <w:tc>
          <w:tcPr>
            <w:tcW w:w="960" w:type="dxa"/>
            <w:vAlign w:val="bottom"/>
            <w:shd w:val="clear" w:color="auto" w:fill="001641"/>
          </w:tcPr>
          <w:p>
            <w:pPr>
              <w:spacing w:after="0"/>
              <w:rPr>
                <w:sz w:val="14"/>
                <w:szCs w:val="14"/>
                <w:color w:val="auto"/>
              </w:rPr>
            </w:pPr>
          </w:p>
        </w:tc>
        <w:tc>
          <w:tcPr>
            <w:tcW w:w="920" w:type="dxa"/>
            <w:vAlign w:val="bottom"/>
            <w:shd w:val="clear" w:color="auto" w:fill="001641"/>
          </w:tcPr>
          <w:p>
            <w:pPr>
              <w:spacing w:after="0"/>
              <w:rPr>
                <w:sz w:val="14"/>
                <w:szCs w:val="14"/>
                <w:color w:val="auto"/>
              </w:rPr>
            </w:pPr>
          </w:p>
        </w:tc>
        <w:tc>
          <w:tcPr>
            <w:tcW w:w="1000" w:type="dxa"/>
            <w:vAlign w:val="bottom"/>
            <w:shd w:val="clear" w:color="auto" w:fill="001641"/>
          </w:tcPr>
          <w:p>
            <w:pPr>
              <w:spacing w:after="0"/>
              <w:rPr>
                <w:sz w:val="14"/>
                <w:szCs w:val="14"/>
                <w:color w:val="auto"/>
              </w:rPr>
            </w:pPr>
          </w:p>
        </w:tc>
        <w:tc>
          <w:tcPr>
            <w:tcW w:w="880" w:type="dxa"/>
            <w:vAlign w:val="bottom"/>
            <w:shd w:val="clear" w:color="auto" w:fill="001641"/>
          </w:tcPr>
          <w:p>
            <w:pPr>
              <w:spacing w:after="0"/>
              <w:rPr>
                <w:sz w:val="14"/>
                <w:szCs w:val="14"/>
                <w:color w:val="auto"/>
              </w:rPr>
            </w:pPr>
          </w:p>
        </w:tc>
      </w:tr>
      <w:tr>
        <w:trPr>
          <w:trHeight w:val="162"/>
        </w:trPr>
        <w:tc>
          <w:tcPr>
            <w:tcW w:w="860" w:type="dxa"/>
            <w:vAlign w:val="bottom"/>
            <w:shd w:val="clear" w:color="auto" w:fill="001641"/>
          </w:tcPr>
          <w:p>
            <w:pPr>
              <w:spacing w:after="0"/>
              <w:rPr>
                <w:sz w:val="14"/>
                <w:szCs w:val="14"/>
                <w:color w:val="auto"/>
              </w:rPr>
            </w:pPr>
          </w:p>
        </w:tc>
        <w:tc>
          <w:tcPr>
            <w:tcW w:w="1140" w:type="dxa"/>
            <w:vAlign w:val="bottom"/>
            <w:shd w:val="clear" w:color="auto" w:fill="001641"/>
          </w:tcPr>
          <w:p>
            <w:pPr>
              <w:ind w:left="400"/>
              <w:spacing w:after="0"/>
              <w:rPr>
                <w:sz w:val="20"/>
                <w:szCs w:val="20"/>
                <w:color w:val="auto"/>
              </w:rPr>
            </w:pPr>
            <w:r>
              <w:rPr>
                <w:rFonts w:ascii="Arial" w:cs="Arial" w:eastAsia="Arial" w:hAnsi="Arial"/>
                <w:sz w:val="14"/>
                <w:szCs w:val="14"/>
                <w:b w:val="1"/>
                <w:bCs w:val="1"/>
                <w:color w:val="FFFFFF"/>
              </w:rPr>
              <w:t>Summary</w:t>
            </w:r>
          </w:p>
        </w:tc>
        <w:tc>
          <w:tcPr>
            <w:tcW w:w="1100" w:type="dxa"/>
            <w:vAlign w:val="bottom"/>
            <w:shd w:val="clear" w:color="auto" w:fill="001641"/>
          </w:tcPr>
          <w:p>
            <w:pPr>
              <w:spacing w:after="0"/>
              <w:rPr>
                <w:sz w:val="14"/>
                <w:szCs w:val="14"/>
                <w:color w:val="auto"/>
              </w:rPr>
            </w:pPr>
          </w:p>
        </w:tc>
        <w:tc>
          <w:tcPr>
            <w:tcW w:w="110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Compensation</w:t>
            </w:r>
          </w:p>
        </w:tc>
        <w:tc>
          <w:tcPr>
            <w:tcW w:w="1220" w:type="dxa"/>
            <w:vAlign w:val="bottom"/>
            <w:shd w:val="clear" w:color="auto" w:fill="001641"/>
          </w:tcPr>
          <w:p>
            <w:pPr>
              <w:jc w:val="right"/>
              <w:ind w:right="29"/>
              <w:spacing w:after="0"/>
              <w:rPr>
                <w:sz w:val="20"/>
                <w:szCs w:val="20"/>
                <w:color w:val="auto"/>
              </w:rPr>
            </w:pPr>
            <w:r>
              <w:rPr>
                <w:rFonts w:ascii="Arial" w:cs="Arial" w:eastAsia="Arial" w:hAnsi="Arial"/>
                <w:sz w:val="14"/>
                <w:szCs w:val="14"/>
                <w:b w:val="1"/>
                <w:bCs w:val="1"/>
                <w:color w:val="FFFFFF"/>
              </w:rPr>
              <w:t>Compensation</w:t>
            </w:r>
          </w:p>
        </w:tc>
        <w:tc>
          <w:tcPr>
            <w:tcW w:w="960" w:type="dxa"/>
            <w:vAlign w:val="bottom"/>
            <w:shd w:val="clear" w:color="auto" w:fill="001641"/>
          </w:tcPr>
          <w:p>
            <w:pPr>
              <w:spacing w:after="0"/>
              <w:rPr>
                <w:sz w:val="14"/>
                <w:szCs w:val="14"/>
                <w:color w:val="auto"/>
              </w:rPr>
            </w:pPr>
          </w:p>
        </w:tc>
        <w:tc>
          <w:tcPr>
            <w:tcW w:w="92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Peer Group</w:t>
            </w:r>
          </w:p>
        </w:tc>
        <w:tc>
          <w:tcPr>
            <w:tcW w:w="1000" w:type="dxa"/>
            <w:vAlign w:val="bottom"/>
            <w:shd w:val="clear" w:color="auto" w:fill="001641"/>
          </w:tcPr>
          <w:p>
            <w:pPr>
              <w:spacing w:after="0"/>
              <w:rPr>
                <w:sz w:val="14"/>
                <w:szCs w:val="14"/>
                <w:color w:val="auto"/>
              </w:rPr>
            </w:pPr>
          </w:p>
        </w:tc>
        <w:tc>
          <w:tcPr>
            <w:tcW w:w="88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Adjusted</w:t>
            </w:r>
          </w:p>
        </w:tc>
      </w:tr>
      <w:tr>
        <w:trPr>
          <w:trHeight w:val="171"/>
        </w:trPr>
        <w:tc>
          <w:tcPr>
            <w:tcW w:w="860" w:type="dxa"/>
            <w:vAlign w:val="bottom"/>
            <w:shd w:val="clear" w:color="auto" w:fill="001641"/>
          </w:tcPr>
          <w:p>
            <w:pPr>
              <w:spacing w:after="0"/>
              <w:rPr>
                <w:sz w:val="14"/>
                <w:szCs w:val="14"/>
                <w:color w:val="auto"/>
              </w:rPr>
            </w:pPr>
          </w:p>
        </w:tc>
        <w:tc>
          <w:tcPr>
            <w:tcW w:w="114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Compensation</w:t>
            </w:r>
          </w:p>
        </w:tc>
        <w:tc>
          <w:tcPr>
            <w:tcW w:w="110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Compensation</w:t>
            </w:r>
          </w:p>
        </w:tc>
        <w:tc>
          <w:tcPr>
            <w:tcW w:w="1100" w:type="dxa"/>
            <w:vAlign w:val="bottom"/>
            <w:shd w:val="clear" w:color="auto" w:fill="001641"/>
          </w:tcPr>
          <w:p>
            <w:pPr>
              <w:jc w:val="right"/>
              <w:ind w:right="9"/>
              <w:spacing w:after="0"/>
              <w:rPr>
                <w:sz w:val="20"/>
                <w:szCs w:val="20"/>
                <w:color w:val="auto"/>
              </w:rPr>
            </w:pPr>
            <w:r>
              <w:rPr>
                <w:rFonts w:ascii="Arial" w:cs="Arial" w:eastAsia="Arial" w:hAnsi="Arial"/>
                <w:sz w:val="14"/>
                <w:szCs w:val="14"/>
                <w:b w:val="1"/>
                <w:bCs w:val="1"/>
                <w:color w:val="FFFFFF"/>
              </w:rPr>
              <w:t>Table Total</w:t>
            </w:r>
          </w:p>
        </w:tc>
        <w:tc>
          <w:tcPr>
            <w:tcW w:w="1220" w:type="dxa"/>
            <w:vAlign w:val="bottom"/>
            <w:shd w:val="clear" w:color="auto" w:fill="001641"/>
          </w:tcPr>
          <w:p>
            <w:pPr>
              <w:jc w:val="right"/>
              <w:ind w:right="29"/>
              <w:spacing w:after="0"/>
              <w:rPr>
                <w:sz w:val="20"/>
                <w:szCs w:val="20"/>
                <w:color w:val="auto"/>
              </w:rPr>
            </w:pPr>
            <w:r>
              <w:rPr>
                <w:rFonts w:ascii="Arial" w:cs="Arial" w:eastAsia="Arial" w:hAnsi="Arial"/>
                <w:sz w:val="14"/>
                <w:szCs w:val="14"/>
                <w:b w:val="1"/>
                <w:bCs w:val="1"/>
                <w:color w:val="FFFFFF"/>
              </w:rPr>
              <w:t>Actually Paid to</w:t>
            </w:r>
          </w:p>
        </w:tc>
        <w:tc>
          <w:tcPr>
            <w:tcW w:w="960" w:type="dxa"/>
            <w:vAlign w:val="bottom"/>
            <w:shd w:val="clear" w:color="auto" w:fill="001641"/>
          </w:tcPr>
          <w:p>
            <w:pPr>
              <w:ind w:left="520"/>
              <w:spacing w:after="0"/>
              <w:rPr>
                <w:sz w:val="20"/>
                <w:szCs w:val="20"/>
                <w:color w:val="auto"/>
              </w:rPr>
            </w:pPr>
            <w:r>
              <w:rPr>
                <w:rFonts w:ascii="Arial" w:cs="Arial" w:eastAsia="Arial" w:hAnsi="Arial"/>
                <w:sz w:val="14"/>
                <w:szCs w:val="14"/>
                <w:b w:val="1"/>
                <w:bCs w:val="1"/>
                <w:color w:val="FFFFFF"/>
              </w:rPr>
              <w:t>Total</w:t>
            </w:r>
          </w:p>
        </w:tc>
        <w:tc>
          <w:tcPr>
            <w:tcW w:w="92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Total</w:t>
            </w:r>
          </w:p>
        </w:tc>
        <w:tc>
          <w:tcPr>
            <w:tcW w:w="1000" w:type="dxa"/>
            <w:vAlign w:val="bottom"/>
            <w:shd w:val="clear" w:color="auto" w:fill="001641"/>
          </w:tcPr>
          <w:p>
            <w:pPr>
              <w:spacing w:after="0"/>
              <w:rPr>
                <w:sz w:val="14"/>
                <w:szCs w:val="14"/>
                <w:color w:val="auto"/>
              </w:rPr>
            </w:pPr>
          </w:p>
        </w:tc>
        <w:tc>
          <w:tcPr>
            <w:tcW w:w="880" w:type="dxa"/>
            <w:vAlign w:val="bottom"/>
            <w:shd w:val="clear" w:color="auto" w:fill="001641"/>
          </w:tcPr>
          <w:p>
            <w:pPr>
              <w:jc w:val="right"/>
              <w:ind w:right="29"/>
              <w:spacing w:after="0"/>
              <w:rPr>
                <w:sz w:val="20"/>
                <w:szCs w:val="20"/>
                <w:color w:val="auto"/>
              </w:rPr>
            </w:pPr>
            <w:r>
              <w:rPr>
                <w:rFonts w:ascii="Arial" w:cs="Arial" w:eastAsia="Arial" w:hAnsi="Arial"/>
                <w:sz w:val="14"/>
                <w:szCs w:val="14"/>
                <w:b w:val="1"/>
                <w:bCs w:val="1"/>
                <w:color w:val="FFFFFF"/>
              </w:rPr>
              <w:t>Operating</w:t>
            </w:r>
          </w:p>
        </w:tc>
      </w:tr>
      <w:tr>
        <w:trPr>
          <w:trHeight w:val="162"/>
        </w:trPr>
        <w:tc>
          <w:tcPr>
            <w:tcW w:w="860" w:type="dxa"/>
            <w:vAlign w:val="bottom"/>
            <w:shd w:val="clear" w:color="auto" w:fill="001641"/>
          </w:tcPr>
          <w:p>
            <w:pPr>
              <w:spacing w:after="0"/>
              <w:rPr>
                <w:sz w:val="14"/>
                <w:szCs w:val="14"/>
                <w:color w:val="auto"/>
              </w:rPr>
            </w:pPr>
          </w:p>
        </w:tc>
        <w:tc>
          <w:tcPr>
            <w:tcW w:w="1140" w:type="dxa"/>
            <w:vAlign w:val="bottom"/>
            <w:shd w:val="clear" w:color="auto" w:fill="001641"/>
          </w:tcPr>
          <w:p>
            <w:pPr>
              <w:ind w:left="320"/>
              <w:spacing w:after="0"/>
              <w:rPr>
                <w:sz w:val="20"/>
                <w:szCs w:val="20"/>
                <w:color w:val="auto"/>
              </w:rPr>
            </w:pPr>
            <w:r>
              <w:rPr>
                <w:rFonts w:ascii="Arial" w:cs="Arial" w:eastAsia="Arial" w:hAnsi="Arial"/>
                <w:sz w:val="14"/>
                <w:szCs w:val="14"/>
                <w:b w:val="1"/>
                <w:bCs w:val="1"/>
                <w:color w:val="FFFFFF"/>
              </w:rPr>
              <w:t>Table Total</w:t>
            </w:r>
          </w:p>
        </w:tc>
        <w:tc>
          <w:tcPr>
            <w:tcW w:w="1100" w:type="dxa"/>
            <w:vAlign w:val="bottom"/>
            <w:shd w:val="clear" w:color="auto" w:fill="001641"/>
          </w:tcPr>
          <w:p>
            <w:pPr>
              <w:jc w:val="right"/>
              <w:ind w:right="29"/>
              <w:spacing w:after="0"/>
              <w:rPr>
                <w:sz w:val="20"/>
                <w:szCs w:val="20"/>
                <w:color w:val="auto"/>
              </w:rPr>
            </w:pPr>
            <w:r>
              <w:rPr>
                <w:rFonts w:ascii="Arial" w:cs="Arial" w:eastAsia="Arial" w:hAnsi="Arial"/>
                <w:sz w:val="14"/>
                <w:szCs w:val="14"/>
                <w:b w:val="1"/>
                <w:bCs w:val="1"/>
                <w:color w:val="FFFFFF"/>
              </w:rPr>
              <w:t>Actually Paid</w:t>
            </w:r>
          </w:p>
        </w:tc>
        <w:tc>
          <w:tcPr>
            <w:tcW w:w="1100" w:type="dxa"/>
            <w:vAlign w:val="bottom"/>
            <w:shd w:val="clear" w:color="auto" w:fill="001641"/>
          </w:tcPr>
          <w:p>
            <w:pPr>
              <w:jc w:val="right"/>
              <w:ind w:right="9"/>
              <w:spacing w:after="0"/>
              <w:rPr>
                <w:sz w:val="20"/>
                <w:szCs w:val="20"/>
                <w:color w:val="auto"/>
              </w:rPr>
            </w:pPr>
            <w:r>
              <w:rPr>
                <w:rFonts w:ascii="Arial" w:cs="Arial" w:eastAsia="Arial" w:hAnsi="Arial"/>
                <w:sz w:val="14"/>
                <w:szCs w:val="14"/>
                <w:b w:val="1"/>
                <w:bCs w:val="1"/>
                <w:color w:val="FFFFFF"/>
              </w:rPr>
              <w:t>for Non-CEO</w:t>
            </w:r>
          </w:p>
        </w:tc>
        <w:tc>
          <w:tcPr>
            <w:tcW w:w="1220" w:type="dxa"/>
            <w:vAlign w:val="bottom"/>
            <w:shd w:val="clear" w:color="auto" w:fill="001641"/>
          </w:tcPr>
          <w:p>
            <w:pPr>
              <w:jc w:val="right"/>
              <w:ind w:right="29"/>
              <w:spacing w:after="0"/>
              <w:rPr>
                <w:sz w:val="20"/>
                <w:szCs w:val="20"/>
                <w:color w:val="auto"/>
              </w:rPr>
            </w:pPr>
            <w:r>
              <w:rPr>
                <w:rFonts w:ascii="Arial" w:cs="Arial" w:eastAsia="Arial" w:hAnsi="Arial"/>
                <w:sz w:val="14"/>
                <w:szCs w:val="14"/>
                <w:b w:val="1"/>
                <w:bCs w:val="1"/>
                <w:color w:val="FFFFFF"/>
              </w:rPr>
              <w:t>Non-CEO</w:t>
            </w:r>
          </w:p>
        </w:tc>
        <w:tc>
          <w:tcPr>
            <w:tcW w:w="960" w:type="dxa"/>
            <w:vAlign w:val="bottom"/>
            <w:shd w:val="clear" w:color="auto" w:fill="001641"/>
          </w:tcPr>
          <w:p>
            <w:pPr>
              <w:ind w:left="60"/>
              <w:spacing w:after="0"/>
              <w:rPr>
                <w:sz w:val="20"/>
                <w:szCs w:val="20"/>
                <w:color w:val="auto"/>
              </w:rPr>
            </w:pPr>
            <w:r>
              <w:rPr>
                <w:rFonts w:ascii="Arial" w:cs="Arial" w:eastAsia="Arial" w:hAnsi="Arial"/>
                <w:sz w:val="14"/>
                <w:szCs w:val="14"/>
                <w:b w:val="1"/>
                <w:bCs w:val="1"/>
                <w:color w:val="FFFFFF"/>
              </w:rPr>
              <w:t>Shareholder</w:t>
            </w:r>
          </w:p>
        </w:tc>
        <w:tc>
          <w:tcPr>
            <w:tcW w:w="92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Shareholder</w:t>
            </w:r>
          </w:p>
        </w:tc>
        <w:tc>
          <w:tcPr>
            <w:tcW w:w="1000" w:type="dxa"/>
            <w:vAlign w:val="bottom"/>
            <w:shd w:val="clear" w:color="auto" w:fill="001641"/>
          </w:tcPr>
          <w:p>
            <w:pPr>
              <w:jc w:val="right"/>
              <w:ind w:right="68"/>
              <w:spacing w:after="0"/>
              <w:rPr>
                <w:sz w:val="20"/>
                <w:szCs w:val="20"/>
                <w:color w:val="auto"/>
              </w:rPr>
            </w:pPr>
            <w:r>
              <w:rPr>
                <w:rFonts w:ascii="Arial" w:cs="Arial" w:eastAsia="Arial" w:hAnsi="Arial"/>
                <w:sz w:val="14"/>
                <w:szCs w:val="14"/>
                <w:b w:val="1"/>
                <w:bCs w:val="1"/>
                <w:color w:val="FFFFFF"/>
              </w:rPr>
              <w:t>Net Income</w:t>
            </w:r>
          </w:p>
        </w:tc>
        <w:tc>
          <w:tcPr>
            <w:tcW w:w="880" w:type="dxa"/>
            <w:vAlign w:val="bottom"/>
            <w:shd w:val="clear" w:color="auto" w:fill="001641"/>
          </w:tcPr>
          <w:p>
            <w:pPr>
              <w:ind w:left="400"/>
              <w:spacing w:after="0"/>
              <w:rPr>
                <w:sz w:val="20"/>
                <w:szCs w:val="20"/>
                <w:color w:val="auto"/>
              </w:rPr>
            </w:pPr>
            <w:r>
              <w:rPr>
                <w:rFonts w:ascii="Arial" w:cs="Arial" w:eastAsia="Arial" w:hAnsi="Arial"/>
                <w:sz w:val="14"/>
                <w:szCs w:val="14"/>
                <w:b w:val="1"/>
                <w:bCs w:val="1"/>
                <w:color w:val="FFFFFF"/>
              </w:rPr>
              <w:t>Profit</w:t>
            </w:r>
          </w:p>
        </w:tc>
      </w:tr>
      <w:tr>
        <w:trPr>
          <w:trHeight w:val="180"/>
        </w:trPr>
        <w:tc>
          <w:tcPr>
            <w:tcW w:w="860" w:type="dxa"/>
            <w:vAlign w:val="bottom"/>
            <w:shd w:val="clear" w:color="auto" w:fill="001641"/>
          </w:tcPr>
          <w:p>
            <w:pPr>
              <w:ind w:left="40"/>
              <w:spacing w:after="0"/>
              <w:rPr>
                <w:sz w:val="20"/>
                <w:szCs w:val="20"/>
                <w:color w:val="auto"/>
              </w:rPr>
            </w:pPr>
            <w:r>
              <w:rPr>
                <w:rFonts w:ascii="Arial" w:cs="Arial" w:eastAsia="Arial" w:hAnsi="Arial"/>
                <w:sz w:val="14"/>
                <w:szCs w:val="14"/>
                <w:b w:val="1"/>
                <w:bCs w:val="1"/>
                <w:color w:val="FFFFFF"/>
              </w:rPr>
              <w:t>Fiscal Year</w:t>
            </w:r>
          </w:p>
        </w:tc>
        <w:tc>
          <w:tcPr>
            <w:tcW w:w="1140" w:type="dxa"/>
            <w:vAlign w:val="bottom"/>
            <w:shd w:val="clear" w:color="auto" w:fill="001641"/>
          </w:tcPr>
          <w:p>
            <w:pPr>
              <w:ind w:left="400"/>
              <w:spacing w:after="0" w:line="180" w:lineRule="exact"/>
              <w:rPr>
                <w:sz w:val="20"/>
                <w:szCs w:val="20"/>
                <w:color w:val="auto"/>
              </w:rPr>
            </w:pPr>
            <w:r>
              <w:rPr>
                <w:rFonts w:ascii="Arial" w:cs="Arial" w:eastAsia="Arial" w:hAnsi="Arial"/>
                <w:sz w:val="13"/>
                <w:szCs w:val="13"/>
                <w:b w:val="1"/>
                <w:bCs w:val="1"/>
                <w:color w:val="FFFFFF"/>
              </w:rPr>
              <w:t xml:space="preserve">for CEO </w:t>
            </w:r>
            <w:r>
              <w:rPr>
                <w:rFonts w:ascii="Arial" w:cs="Arial" w:eastAsia="Arial" w:hAnsi="Arial"/>
                <w:sz w:val="20"/>
                <w:szCs w:val="20"/>
                <w:b w:val="1"/>
                <w:bCs w:val="1"/>
                <w:color w:val="FFFFFF"/>
                <w:vertAlign w:val="superscript"/>
              </w:rPr>
              <w:t>1</w:t>
            </w:r>
          </w:p>
        </w:tc>
        <w:tc>
          <w:tcPr>
            <w:tcW w:w="1100" w:type="dxa"/>
            <w:vAlign w:val="bottom"/>
            <w:shd w:val="clear" w:color="auto" w:fill="001641"/>
          </w:tcPr>
          <w:p>
            <w:pPr>
              <w:jc w:val="right"/>
              <w:ind w:right="29"/>
              <w:spacing w:after="0" w:line="180" w:lineRule="exact"/>
              <w:rPr>
                <w:sz w:val="20"/>
                <w:szCs w:val="20"/>
                <w:color w:val="auto"/>
              </w:rPr>
            </w:pPr>
            <w:r>
              <w:rPr>
                <w:rFonts w:ascii="Arial" w:cs="Arial" w:eastAsia="Arial" w:hAnsi="Arial"/>
                <w:sz w:val="13"/>
                <w:szCs w:val="13"/>
                <w:b w:val="1"/>
                <w:bCs w:val="1"/>
                <w:color w:val="FFFFFF"/>
              </w:rPr>
              <w:t>to CEO</w:t>
            </w:r>
            <w:r>
              <w:rPr>
                <w:rFonts w:ascii="Arial" w:cs="Arial" w:eastAsia="Arial" w:hAnsi="Arial"/>
                <w:sz w:val="20"/>
                <w:szCs w:val="20"/>
                <w:b w:val="1"/>
                <w:bCs w:val="1"/>
                <w:color w:val="FFFFFF"/>
                <w:vertAlign w:val="superscript"/>
              </w:rPr>
              <w:t>2-6</w:t>
            </w:r>
          </w:p>
        </w:tc>
        <w:tc>
          <w:tcPr>
            <w:tcW w:w="1100" w:type="dxa"/>
            <w:vAlign w:val="bottom"/>
            <w:shd w:val="clear" w:color="auto" w:fill="001641"/>
          </w:tcPr>
          <w:p>
            <w:pPr>
              <w:jc w:val="right"/>
              <w:ind w:right="9"/>
              <w:spacing w:after="0" w:line="180" w:lineRule="exact"/>
              <w:rPr>
                <w:sz w:val="20"/>
                <w:szCs w:val="20"/>
                <w:color w:val="auto"/>
              </w:rPr>
            </w:pPr>
            <w:r>
              <w:rPr>
                <w:rFonts w:ascii="Arial" w:cs="Arial" w:eastAsia="Arial" w:hAnsi="Arial"/>
                <w:sz w:val="13"/>
                <w:szCs w:val="13"/>
                <w:b w:val="1"/>
                <w:bCs w:val="1"/>
                <w:color w:val="FFFFFF"/>
              </w:rPr>
              <w:t>NEOs</w:t>
            </w:r>
            <w:r>
              <w:rPr>
                <w:rFonts w:ascii="Arial" w:cs="Arial" w:eastAsia="Arial" w:hAnsi="Arial"/>
                <w:sz w:val="20"/>
                <w:szCs w:val="20"/>
                <w:b w:val="1"/>
                <w:bCs w:val="1"/>
                <w:color w:val="FFFFFF"/>
                <w:vertAlign w:val="superscript"/>
              </w:rPr>
              <w:t>1</w:t>
            </w:r>
          </w:p>
        </w:tc>
        <w:tc>
          <w:tcPr>
            <w:tcW w:w="1220" w:type="dxa"/>
            <w:vAlign w:val="bottom"/>
            <w:shd w:val="clear" w:color="auto" w:fill="001641"/>
          </w:tcPr>
          <w:p>
            <w:pPr>
              <w:jc w:val="right"/>
              <w:ind w:right="29"/>
              <w:spacing w:after="0" w:line="180" w:lineRule="exact"/>
              <w:rPr>
                <w:sz w:val="20"/>
                <w:szCs w:val="20"/>
                <w:color w:val="auto"/>
              </w:rPr>
            </w:pPr>
            <w:r>
              <w:rPr>
                <w:rFonts w:ascii="Arial" w:cs="Arial" w:eastAsia="Arial" w:hAnsi="Arial"/>
                <w:sz w:val="13"/>
                <w:szCs w:val="13"/>
                <w:b w:val="1"/>
                <w:bCs w:val="1"/>
                <w:color w:val="FFFFFF"/>
              </w:rPr>
              <w:t>NEOs</w:t>
            </w:r>
            <w:r>
              <w:rPr>
                <w:rFonts w:ascii="Arial" w:cs="Arial" w:eastAsia="Arial" w:hAnsi="Arial"/>
                <w:sz w:val="20"/>
                <w:szCs w:val="20"/>
                <w:b w:val="1"/>
                <w:bCs w:val="1"/>
                <w:color w:val="FFFFFF"/>
                <w:vertAlign w:val="superscript"/>
              </w:rPr>
              <w:t>2-7</w:t>
            </w:r>
          </w:p>
        </w:tc>
        <w:tc>
          <w:tcPr>
            <w:tcW w:w="960" w:type="dxa"/>
            <w:vAlign w:val="bottom"/>
            <w:shd w:val="clear" w:color="auto" w:fill="001641"/>
          </w:tcPr>
          <w:p>
            <w:pPr>
              <w:ind w:left="380"/>
              <w:spacing w:after="0"/>
              <w:rPr>
                <w:sz w:val="20"/>
                <w:szCs w:val="20"/>
                <w:color w:val="auto"/>
              </w:rPr>
            </w:pPr>
            <w:r>
              <w:rPr>
                <w:rFonts w:ascii="Arial" w:cs="Arial" w:eastAsia="Arial" w:hAnsi="Arial"/>
                <w:sz w:val="14"/>
                <w:szCs w:val="14"/>
                <w:b w:val="1"/>
                <w:bCs w:val="1"/>
                <w:color w:val="FFFFFF"/>
              </w:rPr>
              <w:t>Return</w:t>
            </w:r>
          </w:p>
        </w:tc>
        <w:tc>
          <w:tcPr>
            <w:tcW w:w="920" w:type="dxa"/>
            <w:vAlign w:val="bottom"/>
            <w:shd w:val="clear" w:color="auto" w:fill="001641"/>
          </w:tcPr>
          <w:p>
            <w:pPr>
              <w:jc w:val="right"/>
              <w:spacing w:after="0" w:line="180" w:lineRule="exact"/>
              <w:rPr>
                <w:sz w:val="20"/>
                <w:szCs w:val="20"/>
                <w:color w:val="auto"/>
              </w:rPr>
            </w:pPr>
            <w:r>
              <w:rPr>
                <w:rFonts w:ascii="Arial" w:cs="Arial" w:eastAsia="Arial" w:hAnsi="Arial"/>
                <w:sz w:val="13"/>
                <w:szCs w:val="13"/>
                <w:b w:val="1"/>
                <w:bCs w:val="1"/>
                <w:color w:val="FFFFFF"/>
              </w:rPr>
              <w:t>Return</w:t>
            </w:r>
            <w:r>
              <w:rPr>
                <w:rFonts w:ascii="Arial" w:cs="Arial" w:eastAsia="Arial" w:hAnsi="Arial"/>
                <w:sz w:val="20"/>
                <w:szCs w:val="20"/>
                <w:b w:val="1"/>
                <w:bCs w:val="1"/>
                <w:color w:val="FFFFFF"/>
                <w:vertAlign w:val="superscript"/>
              </w:rPr>
              <w:t>8</w:t>
            </w:r>
          </w:p>
        </w:tc>
        <w:tc>
          <w:tcPr>
            <w:tcW w:w="1000" w:type="dxa"/>
            <w:vAlign w:val="bottom"/>
            <w:shd w:val="clear" w:color="auto" w:fill="001641"/>
          </w:tcPr>
          <w:p>
            <w:pPr>
              <w:jc w:val="right"/>
              <w:ind w:right="68"/>
              <w:spacing w:after="0"/>
              <w:rPr>
                <w:sz w:val="20"/>
                <w:szCs w:val="20"/>
                <w:color w:val="auto"/>
              </w:rPr>
            </w:pPr>
            <w:r>
              <w:rPr>
                <w:rFonts w:ascii="Arial" w:cs="Arial" w:eastAsia="Arial" w:hAnsi="Arial"/>
                <w:sz w:val="14"/>
                <w:szCs w:val="14"/>
                <w:b w:val="1"/>
                <w:bCs w:val="1"/>
                <w:color w:val="FFFFFF"/>
              </w:rPr>
              <w:t>($ millions)</w:t>
            </w:r>
          </w:p>
        </w:tc>
        <w:tc>
          <w:tcPr>
            <w:tcW w:w="880" w:type="dxa"/>
            <w:vAlign w:val="bottom"/>
            <w:shd w:val="clear" w:color="auto" w:fill="001641"/>
          </w:tcPr>
          <w:p>
            <w:pPr>
              <w:jc w:val="right"/>
              <w:ind w:right="29"/>
              <w:spacing w:after="0" w:line="180" w:lineRule="exact"/>
              <w:rPr>
                <w:sz w:val="20"/>
                <w:szCs w:val="20"/>
                <w:color w:val="auto"/>
              </w:rPr>
            </w:pPr>
            <w:r>
              <w:rPr>
                <w:rFonts w:ascii="Arial" w:cs="Arial" w:eastAsia="Arial" w:hAnsi="Arial"/>
                <w:sz w:val="13"/>
                <w:szCs w:val="13"/>
                <w:b w:val="1"/>
                <w:bCs w:val="1"/>
                <w:color w:val="FFFFFF"/>
              </w:rPr>
              <w:t>Margin</w:t>
            </w:r>
            <w:r>
              <w:rPr>
                <w:rFonts w:ascii="Arial" w:cs="Arial" w:eastAsia="Arial" w:hAnsi="Arial"/>
                <w:sz w:val="20"/>
                <w:szCs w:val="20"/>
                <w:b w:val="1"/>
                <w:bCs w:val="1"/>
                <w:color w:val="FFFFFF"/>
                <w:vertAlign w:val="superscript"/>
              </w:rPr>
              <w:t>9</w:t>
            </w:r>
          </w:p>
        </w:tc>
      </w:tr>
      <w:tr>
        <w:trPr>
          <w:trHeight w:val="212"/>
        </w:trPr>
        <w:tc>
          <w:tcPr>
            <w:tcW w:w="860" w:type="dxa"/>
            <w:vAlign w:val="bottom"/>
            <w:shd w:val="clear" w:color="auto" w:fill="001641"/>
          </w:tcPr>
          <w:p>
            <w:pPr>
              <w:ind w:left="40"/>
              <w:spacing w:after="0"/>
              <w:rPr>
                <w:sz w:val="20"/>
                <w:szCs w:val="20"/>
                <w:color w:val="auto"/>
              </w:rPr>
            </w:pPr>
            <w:r>
              <w:rPr>
                <w:rFonts w:ascii="Arial" w:cs="Arial" w:eastAsia="Arial" w:hAnsi="Arial"/>
                <w:sz w:val="14"/>
                <w:szCs w:val="14"/>
                <w:b w:val="1"/>
                <w:bCs w:val="1"/>
                <w:color w:val="FFFFFF"/>
              </w:rPr>
              <w:t>(a)</w:t>
            </w:r>
          </w:p>
        </w:tc>
        <w:tc>
          <w:tcPr>
            <w:tcW w:w="114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(b)</w:t>
            </w:r>
          </w:p>
        </w:tc>
        <w:tc>
          <w:tcPr>
            <w:tcW w:w="110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(c)</w:t>
            </w:r>
          </w:p>
        </w:tc>
        <w:tc>
          <w:tcPr>
            <w:tcW w:w="110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(d)</w:t>
            </w:r>
          </w:p>
        </w:tc>
        <w:tc>
          <w:tcPr>
            <w:tcW w:w="122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(e)</w:t>
            </w:r>
          </w:p>
        </w:tc>
        <w:tc>
          <w:tcPr>
            <w:tcW w:w="960" w:type="dxa"/>
            <w:vAlign w:val="bottom"/>
            <w:shd w:val="clear" w:color="auto" w:fill="001641"/>
          </w:tcPr>
          <w:p>
            <w:pPr>
              <w:ind w:left="740"/>
              <w:spacing w:after="0"/>
              <w:rPr>
                <w:sz w:val="20"/>
                <w:szCs w:val="20"/>
                <w:color w:val="auto"/>
              </w:rPr>
            </w:pPr>
            <w:r>
              <w:rPr>
                <w:rFonts w:ascii="Arial" w:cs="Arial" w:eastAsia="Arial" w:hAnsi="Arial"/>
                <w:sz w:val="14"/>
                <w:szCs w:val="14"/>
                <w:b w:val="1"/>
                <w:bCs w:val="1"/>
                <w:color w:val="FFFFFF"/>
              </w:rPr>
              <w:t>(f)</w:t>
            </w:r>
          </w:p>
        </w:tc>
        <w:tc>
          <w:tcPr>
            <w:tcW w:w="92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(g)</w:t>
            </w:r>
          </w:p>
        </w:tc>
        <w:tc>
          <w:tcPr>
            <w:tcW w:w="1000" w:type="dxa"/>
            <w:vAlign w:val="bottom"/>
            <w:shd w:val="clear" w:color="auto" w:fill="001641"/>
          </w:tcPr>
          <w:p>
            <w:pPr>
              <w:jc w:val="right"/>
              <w:ind w:right="28"/>
              <w:spacing w:after="0"/>
              <w:rPr>
                <w:sz w:val="20"/>
                <w:szCs w:val="20"/>
                <w:color w:val="auto"/>
              </w:rPr>
            </w:pPr>
            <w:r>
              <w:rPr>
                <w:rFonts w:ascii="Arial" w:cs="Arial" w:eastAsia="Arial" w:hAnsi="Arial"/>
                <w:sz w:val="14"/>
                <w:szCs w:val="14"/>
                <w:b w:val="1"/>
                <w:bCs w:val="1"/>
                <w:color w:val="FFFFFF"/>
              </w:rPr>
              <w:t>(h)</w:t>
            </w:r>
          </w:p>
        </w:tc>
        <w:tc>
          <w:tcPr>
            <w:tcW w:w="88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(i)</w:t>
            </w:r>
          </w:p>
        </w:tc>
      </w:tr>
      <w:tr>
        <w:trPr>
          <w:trHeight w:val="221"/>
        </w:trPr>
        <w:tc>
          <w:tcPr>
            <w:tcW w:w="860" w:type="dxa"/>
            <w:vAlign w:val="bottom"/>
          </w:tcPr>
          <w:p>
            <w:pPr>
              <w:ind w:left="40"/>
              <w:spacing w:after="0"/>
              <w:rPr>
                <w:sz w:val="20"/>
                <w:szCs w:val="20"/>
                <w:color w:val="auto"/>
              </w:rPr>
            </w:pPr>
            <w:r>
              <w:rPr>
                <w:rFonts w:ascii="Arial" w:cs="Arial" w:eastAsia="Arial" w:hAnsi="Arial"/>
                <w:sz w:val="14"/>
                <w:szCs w:val="14"/>
                <w:color w:val="001641"/>
              </w:rPr>
              <w:t>2026</w:t>
            </w:r>
          </w:p>
        </w:tc>
        <w:tc>
          <w:tcPr>
            <w:tcW w:w="1140" w:type="dxa"/>
            <w:vAlign w:val="bottom"/>
          </w:tcPr>
          <w:p>
            <w:pPr>
              <w:ind w:left="300"/>
              <w:spacing w:after="0"/>
              <w:rPr>
                <w:sz w:val="20"/>
                <w:szCs w:val="20"/>
                <w:color w:val="auto"/>
              </w:rPr>
            </w:pPr>
            <w:r>
              <w:rPr>
                <w:rFonts w:ascii="Arial" w:cs="Arial" w:eastAsia="Arial" w:hAnsi="Arial"/>
                <w:sz w:val="14"/>
                <w:szCs w:val="14"/>
                <w:color w:val="001641"/>
              </w:rPr>
              <w:t>23,264,269</w:t>
            </w:r>
          </w:p>
        </w:tc>
        <w:tc>
          <w:tcPr>
            <w:tcW w:w="1100" w:type="dxa"/>
            <w:vAlign w:val="bottom"/>
          </w:tcPr>
          <w:p>
            <w:pPr>
              <w:jc w:val="right"/>
              <w:ind w:right="49"/>
              <w:spacing w:after="0"/>
              <w:rPr>
                <w:sz w:val="20"/>
                <w:szCs w:val="20"/>
                <w:color w:val="auto"/>
              </w:rPr>
            </w:pPr>
            <w:r>
              <w:rPr>
                <w:rFonts w:ascii="Arial" w:cs="Arial" w:eastAsia="Arial" w:hAnsi="Arial"/>
                <w:sz w:val="14"/>
                <w:szCs w:val="14"/>
                <w:color w:val="001641"/>
              </w:rPr>
              <w:t>62,764,477</w:t>
            </w:r>
          </w:p>
        </w:tc>
        <w:tc>
          <w:tcPr>
            <w:tcW w:w="1100" w:type="dxa"/>
            <w:vAlign w:val="bottom"/>
          </w:tcPr>
          <w:p>
            <w:pPr>
              <w:jc w:val="right"/>
              <w:spacing w:after="0"/>
              <w:rPr>
                <w:sz w:val="20"/>
                <w:szCs w:val="20"/>
                <w:color w:val="auto"/>
              </w:rPr>
            </w:pPr>
            <w:r>
              <w:rPr>
                <w:rFonts w:ascii="Arial" w:cs="Arial" w:eastAsia="Arial" w:hAnsi="Arial"/>
                <w:sz w:val="14"/>
                <w:szCs w:val="14"/>
                <w:color w:val="001641"/>
              </w:rPr>
              <w:t>8,507,983</w:t>
            </w:r>
          </w:p>
        </w:tc>
        <w:tc>
          <w:tcPr>
            <w:tcW w:w="1220" w:type="dxa"/>
            <w:vAlign w:val="bottom"/>
          </w:tcPr>
          <w:p>
            <w:pPr>
              <w:jc w:val="right"/>
              <w:ind w:right="109"/>
              <w:spacing w:after="0"/>
              <w:rPr>
                <w:sz w:val="20"/>
                <w:szCs w:val="20"/>
                <w:color w:val="auto"/>
              </w:rPr>
            </w:pPr>
            <w:r>
              <w:rPr>
                <w:rFonts w:ascii="Arial" w:cs="Arial" w:eastAsia="Arial" w:hAnsi="Arial"/>
                <w:sz w:val="14"/>
                <w:szCs w:val="14"/>
                <w:color w:val="001641"/>
              </w:rPr>
              <w:t>23,051,154</w:t>
            </w:r>
          </w:p>
        </w:tc>
        <w:tc>
          <w:tcPr>
            <w:tcW w:w="960" w:type="dxa"/>
            <w:vAlign w:val="bottom"/>
          </w:tcPr>
          <w:p>
            <w:pPr>
              <w:ind w:left="380"/>
              <w:spacing w:after="0"/>
              <w:rPr>
                <w:sz w:val="20"/>
                <w:szCs w:val="20"/>
                <w:color w:val="auto"/>
              </w:rPr>
            </w:pPr>
            <w:r>
              <w:rPr>
                <w:rFonts w:ascii="Arial" w:cs="Arial" w:eastAsia="Arial" w:hAnsi="Arial"/>
                <w:sz w:val="14"/>
                <w:szCs w:val="14"/>
                <w:color w:val="001641"/>
              </w:rPr>
              <w:t>297.74</w:t>
            </w:r>
          </w:p>
        </w:tc>
        <w:tc>
          <w:tcPr>
            <w:tcW w:w="920" w:type="dxa"/>
            <w:vAlign w:val="bottom"/>
          </w:tcPr>
          <w:p>
            <w:pPr>
              <w:jc w:val="right"/>
              <w:ind w:right="9"/>
              <w:spacing w:after="0"/>
              <w:rPr>
                <w:sz w:val="20"/>
                <w:szCs w:val="20"/>
                <w:color w:val="auto"/>
              </w:rPr>
            </w:pPr>
            <w:r>
              <w:rPr>
                <w:rFonts w:ascii="Arial" w:cs="Arial" w:eastAsia="Arial" w:hAnsi="Arial"/>
                <w:sz w:val="14"/>
                <w:szCs w:val="14"/>
                <w:color w:val="001641"/>
              </w:rPr>
              <w:t>58.52</w:t>
            </w:r>
          </w:p>
        </w:tc>
        <w:tc>
          <w:tcPr>
            <w:tcW w:w="1000" w:type="dxa"/>
            <w:vAlign w:val="bottom"/>
          </w:tcPr>
          <w:p>
            <w:pPr>
              <w:jc w:val="right"/>
              <w:ind w:right="148"/>
              <w:spacing w:after="0"/>
              <w:rPr>
                <w:sz w:val="20"/>
                <w:szCs w:val="20"/>
                <w:color w:val="auto"/>
              </w:rPr>
            </w:pPr>
            <w:r>
              <w:rPr>
                <w:rFonts w:ascii="Arial" w:cs="Arial" w:eastAsia="Arial" w:hAnsi="Arial"/>
                <w:sz w:val="14"/>
                <w:szCs w:val="14"/>
                <w:color w:val="001641"/>
              </w:rPr>
              <w:t>941.1</w:t>
            </w:r>
          </w:p>
        </w:tc>
        <w:tc>
          <w:tcPr>
            <w:tcW w:w="880" w:type="dxa"/>
            <w:vAlign w:val="bottom"/>
          </w:tcPr>
          <w:p>
            <w:pPr>
              <w:ind w:left="400"/>
              <w:spacing w:after="0"/>
              <w:rPr>
                <w:sz w:val="20"/>
                <w:szCs w:val="20"/>
                <w:color w:val="auto"/>
              </w:rPr>
            </w:pPr>
            <w:r>
              <w:rPr>
                <w:rFonts w:ascii="Arial" w:cs="Arial" w:eastAsia="Arial" w:hAnsi="Arial"/>
                <w:sz w:val="14"/>
                <w:szCs w:val="14"/>
                <w:color w:val="001641"/>
              </w:rPr>
              <w:t>15.5%</w:t>
            </w:r>
          </w:p>
        </w:tc>
      </w:tr>
      <w:tr>
        <w:trPr>
          <w:trHeight w:val="22"/>
        </w:trPr>
        <w:tc>
          <w:tcPr>
            <w:tcW w:w="860" w:type="dxa"/>
            <w:vAlign w:val="bottom"/>
            <w:tcBorders>
              <w:bottom w:val="single" w:sz="8" w:color="BFA071"/>
            </w:tcBorders>
          </w:tcPr>
          <w:p>
            <w:pPr>
              <w:spacing w:after="0" w:line="20" w:lineRule="exact"/>
              <w:rPr>
                <w:sz w:val="1"/>
                <w:szCs w:val="1"/>
                <w:color w:val="auto"/>
              </w:rPr>
            </w:pPr>
          </w:p>
        </w:tc>
        <w:tc>
          <w:tcPr>
            <w:tcW w:w="1140" w:type="dxa"/>
            <w:vAlign w:val="bottom"/>
            <w:tcBorders>
              <w:bottom w:val="single" w:sz="8" w:color="BFA071"/>
            </w:tcBorders>
          </w:tcPr>
          <w:p>
            <w:pPr>
              <w:spacing w:after="0" w:line="20" w:lineRule="exact"/>
              <w:rPr>
                <w:sz w:val="1"/>
                <w:szCs w:val="1"/>
                <w:color w:val="auto"/>
              </w:rPr>
            </w:pPr>
          </w:p>
        </w:tc>
        <w:tc>
          <w:tcPr>
            <w:tcW w:w="1100" w:type="dxa"/>
            <w:vAlign w:val="bottom"/>
            <w:tcBorders>
              <w:bottom w:val="single" w:sz="8" w:color="BFA071"/>
            </w:tcBorders>
          </w:tcPr>
          <w:p>
            <w:pPr>
              <w:spacing w:after="0" w:line="20" w:lineRule="exact"/>
              <w:rPr>
                <w:sz w:val="1"/>
                <w:szCs w:val="1"/>
                <w:color w:val="auto"/>
              </w:rPr>
            </w:pPr>
          </w:p>
        </w:tc>
        <w:tc>
          <w:tcPr>
            <w:tcW w:w="1100" w:type="dxa"/>
            <w:vAlign w:val="bottom"/>
            <w:tcBorders>
              <w:bottom w:val="single" w:sz="8" w:color="BFA071"/>
            </w:tcBorders>
          </w:tcPr>
          <w:p>
            <w:pPr>
              <w:spacing w:after="0" w:line="20" w:lineRule="exact"/>
              <w:rPr>
                <w:sz w:val="1"/>
                <w:szCs w:val="1"/>
                <w:color w:val="auto"/>
              </w:rPr>
            </w:pPr>
          </w:p>
        </w:tc>
        <w:tc>
          <w:tcPr>
            <w:tcW w:w="122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100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r>
      <w:tr>
        <w:trPr>
          <w:trHeight w:val="202"/>
        </w:trPr>
        <w:tc>
          <w:tcPr>
            <w:tcW w:w="860" w:type="dxa"/>
            <w:vAlign w:val="bottom"/>
          </w:tcPr>
          <w:p>
            <w:pPr>
              <w:ind w:left="40"/>
              <w:spacing w:after="0"/>
              <w:rPr>
                <w:sz w:val="20"/>
                <w:szCs w:val="20"/>
                <w:color w:val="auto"/>
              </w:rPr>
            </w:pPr>
            <w:r>
              <w:rPr>
                <w:rFonts w:ascii="Arial" w:cs="Arial" w:eastAsia="Arial" w:hAnsi="Arial"/>
                <w:sz w:val="14"/>
                <w:szCs w:val="14"/>
                <w:color w:val="001641"/>
              </w:rPr>
              <w:t>2025</w:t>
            </w:r>
          </w:p>
        </w:tc>
        <w:tc>
          <w:tcPr>
            <w:tcW w:w="1140" w:type="dxa"/>
            <w:vAlign w:val="bottom"/>
          </w:tcPr>
          <w:p>
            <w:pPr>
              <w:ind w:left="300"/>
              <w:spacing w:after="0"/>
              <w:rPr>
                <w:sz w:val="20"/>
                <w:szCs w:val="20"/>
                <w:color w:val="auto"/>
              </w:rPr>
            </w:pPr>
            <w:r>
              <w:rPr>
                <w:rFonts w:ascii="Arial" w:cs="Arial" w:eastAsia="Arial" w:hAnsi="Arial"/>
                <w:sz w:val="14"/>
                <w:szCs w:val="14"/>
                <w:color w:val="001641"/>
              </w:rPr>
              <w:t>23,079,435</w:t>
            </w:r>
          </w:p>
        </w:tc>
        <w:tc>
          <w:tcPr>
            <w:tcW w:w="1100" w:type="dxa"/>
            <w:vAlign w:val="bottom"/>
          </w:tcPr>
          <w:p>
            <w:pPr>
              <w:jc w:val="right"/>
              <w:ind w:right="49"/>
              <w:spacing w:after="0"/>
              <w:rPr>
                <w:sz w:val="20"/>
                <w:szCs w:val="20"/>
                <w:color w:val="auto"/>
              </w:rPr>
            </w:pPr>
            <w:r>
              <w:rPr>
                <w:rFonts w:ascii="Arial" w:cs="Arial" w:eastAsia="Arial" w:hAnsi="Arial"/>
                <w:sz w:val="14"/>
                <w:szCs w:val="14"/>
                <w:color w:val="001641"/>
              </w:rPr>
              <w:t>40,207,798</w:t>
            </w:r>
          </w:p>
        </w:tc>
        <w:tc>
          <w:tcPr>
            <w:tcW w:w="1100" w:type="dxa"/>
            <w:vAlign w:val="bottom"/>
          </w:tcPr>
          <w:p>
            <w:pPr>
              <w:jc w:val="right"/>
              <w:spacing w:after="0"/>
              <w:rPr>
                <w:sz w:val="20"/>
                <w:szCs w:val="20"/>
                <w:color w:val="auto"/>
              </w:rPr>
            </w:pPr>
            <w:r>
              <w:rPr>
                <w:rFonts w:ascii="Arial" w:cs="Arial" w:eastAsia="Arial" w:hAnsi="Arial"/>
                <w:sz w:val="14"/>
                <w:szCs w:val="14"/>
                <w:color w:val="001641"/>
              </w:rPr>
              <w:t>9,648,709</w:t>
            </w:r>
          </w:p>
        </w:tc>
        <w:tc>
          <w:tcPr>
            <w:tcW w:w="1220" w:type="dxa"/>
            <w:vAlign w:val="bottom"/>
          </w:tcPr>
          <w:p>
            <w:pPr>
              <w:jc w:val="right"/>
              <w:ind w:right="109"/>
              <w:spacing w:after="0"/>
              <w:rPr>
                <w:sz w:val="20"/>
                <w:szCs w:val="20"/>
                <w:color w:val="auto"/>
              </w:rPr>
            </w:pPr>
            <w:r>
              <w:rPr>
                <w:rFonts w:ascii="Arial" w:cs="Arial" w:eastAsia="Arial" w:hAnsi="Arial"/>
                <w:sz w:val="14"/>
                <w:szCs w:val="14"/>
                <w:color w:val="001641"/>
              </w:rPr>
              <w:t>17,701,957</w:t>
            </w:r>
          </w:p>
        </w:tc>
        <w:tc>
          <w:tcPr>
            <w:tcW w:w="960" w:type="dxa"/>
            <w:vAlign w:val="bottom"/>
          </w:tcPr>
          <w:p>
            <w:pPr>
              <w:ind w:left="380"/>
              <w:spacing w:after="0"/>
              <w:rPr>
                <w:sz w:val="20"/>
                <w:szCs w:val="20"/>
                <w:color w:val="auto"/>
              </w:rPr>
            </w:pPr>
            <w:r>
              <w:rPr>
                <w:rFonts w:ascii="Arial" w:cs="Arial" w:eastAsia="Arial" w:hAnsi="Arial"/>
                <w:sz w:val="14"/>
                <w:szCs w:val="14"/>
                <w:color w:val="001641"/>
              </w:rPr>
              <w:t>347.92</w:t>
            </w:r>
          </w:p>
        </w:tc>
        <w:tc>
          <w:tcPr>
            <w:tcW w:w="920" w:type="dxa"/>
            <w:vAlign w:val="bottom"/>
          </w:tcPr>
          <w:p>
            <w:pPr>
              <w:jc w:val="right"/>
              <w:ind w:right="9"/>
              <w:spacing w:after="0"/>
              <w:rPr>
                <w:sz w:val="20"/>
                <w:szCs w:val="20"/>
                <w:color w:val="auto"/>
              </w:rPr>
            </w:pPr>
            <w:r>
              <w:rPr>
                <w:rFonts w:ascii="Arial" w:cs="Arial" w:eastAsia="Arial" w:hAnsi="Arial"/>
                <w:sz w:val="14"/>
                <w:szCs w:val="14"/>
                <w:color w:val="001641"/>
              </w:rPr>
              <w:t>113.98</w:t>
            </w:r>
          </w:p>
        </w:tc>
        <w:tc>
          <w:tcPr>
            <w:tcW w:w="1000" w:type="dxa"/>
            <w:vAlign w:val="bottom"/>
          </w:tcPr>
          <w:p>
            <w:pPr>
              <w:jc w:val="right"/>
              <w:ind w:right="148"/>
              <w:spacing w:after="0"/>
              <w:rPr>
                <w:sz w:val="20"/>
                <w:szCs w:val="20"/>
                <w:color w:val="auto"/>
              </w:rPr>
            </w:pPr>
            <w:r>
              <w:rPr>
                <w:rFonts w:ascii="Arial" w:cs="Arial" w:eastAsia="Arial" w:hAnsi="Arial"/>
                <w:sz w:val="14"/>
                <w:szCs w:val="14"/>
                <w:color w:val="001641"/>
              </w:rPr>
              <w:t>742.9</w:t>
            </w:r>
          </w:p>
        </w:tc>
        <w:tc>
          <w:tcPr>
            <w:tcW w:w="880" w:type="dxa"/>
            <w:vAlign w:val="bottom"/>
          </w:tcPr>
          <w:p>
            <w:pPr>
              <w:ind w:left="400"/>
              <w:spacing w:after="0"/>
              <w:rPr>
                <w:sz w:val="20"/>
                <w:szCs w:val="20"/>
                <w:color w:val="auto"/>
              </w:rPr>
            </w:pPr>
            <w:r>
              <w:rPr>
                <w:rFonts w:ascii="Arial" w:cs="Arial" w:eastAsia="Arial" w:hAnsi="Arial"/>
                <w:sz w:val="14"/>
                <w:szCs w:val="14"/>
                <w:color w:val="001641"/>
              </w:rPr>
              <w:t>14.3%</w:t>
            </w:r>
          </w:p>
        </w:tc>
      </w:tr>
      <w:tr>
        <w:trPr>
          <w:trHeight w:val="22"/>
        </w:trPr>
        <w:tc>
          <w:tcPr>
            <w:tcW w:w="860" w:type="dxa"/>
            <w:vAlign w:val="bottom"/>
            <w:tcBorders>
              <w:bottom w:val="single" w:sz="8" w:color="BFA071"/>
            </w:tcBorders>
          </w:tcPr>
          <w:p>
            <w:pPr>
              <w:spacing w:after="0" w:line="20" w:lineRule="exact"/>
              <w:rPr>
                <w:sz w:val="1"/>
                <w:szCs w:val="1"/>
                <w:color w:val="auto"/>
              </w:rPr>
            </w:pPr>
          </w:p>
        </w:tc>
        <w:tc>
          <w:tcPr>
            <w:tcW w:w="1140" w:type="dxa"/>
            <w:vAlign w:val="bottom"/>
            <w:tcBorders>
              <w:bottom w:val="single" w:sz="8" w:color="BFA071"/>
            </w:tcBorders>
          </w:tcPr>
          <w:p>
            <w:pPr>
              <w:spacing w:after="0" w:line="20" w:lineRule="exact"/>
              <w:rPr>
                <w:sz w:val="1"/>
                <w:szCs w:val="1"/>
                <w:color w:val="auto"/>
              </w:rPr>
            </w:pPr>
          </w:p>
        </w:tc>
        <w:tc>
          <w:tcPr>
            <w:tcW w:w="1100" w:type="dxa"/>
            <w:vAlign w:val="bottom"/>
            <w:tcBorders>
              <w:bottom w:val="single" w:sz="8" w:color="BFA071"/>
            </w:tcBorders>
          </w:tcPr>
          <w:p>
            <w:pPr>
              <w:spacing w:after="0" w:line="20" w:lineRule="exact"/>
              <w:rPr>
                <w:sz w:val="1"/>
                <w:szCs w:val="1"/>
                <w:color w:val="auto"/>
              </w:rPr>
            </w:pPr>
          </w:p>
        </w:tc>
        <w:tc>
          <w:tcPr>
            <w:tcW w:w="1100" w:type="dxa"/>
            <w:vAlign w:val="bottom"/>
            <w:tcBorders>
              <w:bottom w:val="single" w:sz="8" w:color="BFA071"/>
            </w:tcBorders>
          </w:tcPr>
          <w:p>
            <w:pPr>
              <w:spacing w:after="0" w:line="20" w:lineRule="exact"/>
              <w:rPr>
                <w:sz w:val="1"/>
                <w:szCs w:val="1"/>
                <w:color w:val="auto"/>
              </w:rPr>
            </w:pPr>
          </w:p>
        </w:tc>
        <w:tc>
          <w:tcPr>
            <w:tcW w:w="122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100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r>
      <w:tr>
        <w:trPr>
          <w:trHeight w:val="201"/>
        </w:trPr>
        <w:tc>
          <w:tcPr>
            <w:tcW w:w="860" w:type="dxa"/>
            <w:vAlign w:val="bottom"/>
          </w:tcPr>
          <w:p>
            <w:pPr>
              <w:ind w:left="40"/>
              <w:spacing w:after="0"/>
              <w:rPr>
                <w:sz w:val="20"/>
                <w:szCs w:val="20"/>
                <w:color w:val="auto"/>
              </w:rPr>
            </w:pPr>
            <w:r>
              <w:rPr>
                <w:rFonts w:ascii="Arial" w:cs="Arial" w:eastAsia="Arial" w:hAnsi="Arial"/>
                <w:sz w:val="14"/>
                <w:szCs w:val="14"/>
                <w:color w:val="001641"/>
              </w:rPr>
              <w:t>2024</w:t>
            </w:r>
          </w:p>
        </w:tc>
        <w:tc>
          <w:tcPr>
            <w:tcW w:w="1140" w:type="dxa"/>
            <w:vAlign w:val="bottom"/>
          </w:tcPr>
          <w:p>
            <w:pPr>
              <w:ind w:left="300"/>
              <w:spacing w:after="0"/>
              <w:rPr>
                <w:sz w:val="20"/>
                <w:szCs w:val="20"/>
                <w:color w:val="auto"/>
              </w:rPr>
            </w:pPr>
            <w:r>
              <w:rPr>
                <w:rFonts w:ascii="Arial" w:cs="Arial" w:eastAsia="Arial" w:hAnsi="Arial"/>
                <w:sz w:val="14"/>
                <w:szCs w:val="14"/>
                <w:color w:val="001641"/>
              </w:rPr>
              <w:t>16,628,568</w:t>
            </w:r>
          </w:p>
        </w:tc>
        <w:tc>
          <w:tcPr>
            <w:tcW w:w="1100" w:type="dxa"/>
            <w:vAlign w:val="bottom"/>
          </w:tcPr>
          <w:p>
            <w:pPr>
              <w:jc w:val="right"/>
              <w:ind w:right="49"/>
              <w:spacing w:after="0"/>
              <w:rPr>
                <w:sz w:val="20"/>
                <w:szCs w:val="20"/>
                <w:color w:val="auto"/>
              </w:rPr>
            </w:pPr>
            <w:r>
              <w:rPr>
                <w:rFonts w:ascii="Arial" w:cs="Arial" w:eastAsia="Arial" w:hAnsi="Arial"/>
                <w:sz w:val="14"/>
                <w:szCs w:val="14"/>
                <w:color w:val="001641"/>
              </w:rPr>
              <w:t>41,971,686</w:t>
            </w:r>
          </w:p>
        </w:tc>
        <w:tc>
          <w:tcPr>
            <w:tcW w:w="1100" w:type="dxa"/>
            <w:vAlign w:val="bottom"/>
          </w:tcPr>
          <w:p>
            <w:pPr>
              <w:jc w:val="right"/>
              <w:spacing w:after="0"/>
              <w:rPr>
                <w:sz w:val="20"/>
                <w:szCs w:val="20"/>
                <w:color w:val="auto"/>
              </w:rPr>
            </w:pPr>
            <w:r>
              <w:rPr>
                <w:rFonts w:ascii="Arial" w:cs="Arial" w:eastAsia="Arial" w:hAnsi="Arial"/>
                <w:sz w:val="14"/>
                <w:szCs w:val="14"/>
                <w:color w:val="001641"/>
              </w:rPr>
              <w:t>8,208,876</w:t>
            </w:r>
          </w:p>
        </w:tc>
        <w:tc>
          <w:tcPr>
            <w:tcW w:w="1220" w:type="dxa"/>
            <w:vAlign w:val="bottom"/>
          </w:tcPr>
          <w:p>
            <w:pPr>
              <w:jc w:val="right"/>
              <w:ind w:right="109"/>
              <w:spacing w:after="0"/>
              <w:rPr>
                <w:sz w:val="20"/>
                <w:szCs w:val="20"/>
                <w:color w:val="auto"/>
              </w:rPr>
            </w:pPr>
            <w:r>
              <w:rPr>
                <w:rFonts w:ascii="Arial" w:cs="Arial" w:eastAsia="Arial" w:hAnsi="Arial"/>
                <w:sz w:val="14"/>
                <w:szCs w:val="14"/>
                <w:color w:val="001641"/>
              </w:rPr>
              <w:t>22,539,380</w:t>
            </w:r>
          </w:p>
        </w:tc>
        <w:tc>
          <w:tcPr>
            <w:tcW w:w="960" w:type="dxa"/>
            <w:vAlign w:val="bottom"/>
          </w:tcPr>
          <w:p>
            <w:pPr>
              <w:ind w:left="380"/>
              <w:spacing w:after="0"/>
              <w:rPr>
                <w:sz w:val="20"/>
                <w:szCs w:val="20"/>
                <w:color w:val="auto"/>
              </w:rPr>
            </w:pPr>
            <w:r>
              <w:rPr>
                <w:rFonts w:ascii="Arial" w:cs="Arial" w:eastAsia="Arial" w:hAnsi="Arial"/>
                <w:sz w:val="14"/>
                <w:szCs w:val="14"/>
                <w:color w:val="001641"/>
              </w:rPr>
              <w:t>297.99</w:t>
            </w:r>
          </w:p>
        </w:tc>
        <w:tc>
          <w:tcPr>
            <w:tcW w:w="920" w:type="dxa"/>
            <w:vAlign w:val="bottom"/>
          </w:tcPr>
          <w:p>
            <w:pPr>
              <w:jc w:val="right"/>
              <w:ind w:right="9"/>
              <w:spacing w:after="0"/>
              <w:rPr>
                <w:sz w:val="20"/>
                <w:szCs w:val="20"/>
                <w:color w:val="auto"/>
              </w:rPr>
            </w:pPr>
            <w:r>
              <w:rPr>
                <w:rFonts w:ascii="Arial" w:cs="Arial" w:eastAsia="Arial" w:hAnsi="Arial"/>
                <w:sz w:val="14"/>
                <w:szCs w:val="14"/>
                <w:color w:val="001641"/>
              </w:rPr>
              <w:t>134.47</w:t>
            </w:r>
          </w:p>
        </w:tc>
        <w:tc>
          <w:tcPr>
            <w:tcW w:w="1000" w:type="dxa"/>
            <w:vAlign w:val="bottom"/>
          </w:tcPr>
          <w:p>
            <w:pPr>
              <w:jc w:val="right"/>
              <w:ind w:right="148"/>
              <w:spacing w:after="0"/>
              <w:rPr>
                <w:sz w:val="20"/>
                <w:szCs w:val="20"/>
                <w:color w:val="auto"/>
              </w:rPr>
            </w:pPr>
            <w:r>
              <w:rPr>
                <w:rFonts w:ascii="Arial" w:cs="Arial" w:eastAsia="Arial" w:hAnsi="Arial"/>
                <w:sz w:val="14"/>
                <w:szCs w:val="14"/>
                <w:color w:val="001641"/>
              </w:rPr>
              <w:t>646.3</w:t>
            </w:r>
          </w:p>
        </w:tc>
        <w:tc>
          <w:tcPr>
            <w:tcW w:w="880" w:type="dxa"/>
            <w:vAlign w:val="bottom"/>
          </w:tcPr>
          <w:p>
            <w:pPr>
              <w:ind w:left="400"/>
              <w:spacing w:after="0"/>
              <w:rPr>
                <w:sz w:val="20"/>
                <w:szCs w:val="20"/>
                <w:color w:val="auto"/>
              </w:rPr>
            </w:pPr>
            <w:r>
              <w:rPr>
                <w:rFonts w:ascii="Arial" w:cs="Arial" w:eastAsia="Arial" w:hAnsi="Arial"/>
                <w:sz w:val="14"/>
                <w:szCs w:val="14"/>
                <w:color w:val="001641"/>
              </w:rPr>
              <w:t>12.4%</w:t>
            </w:r>
          </w:p>
        </w:tc>
      </w:tr>
      <w:tr>
        <w:trPr>
          <w:trHeight w:val="22"/>
        </w:trPr>
        <w:tc>
          <w:tcPr>
            <w:tcW w:w="860" w:type="dxa"/>
            <w:vAlign w:val="bottom"/>
            <w:tcBorders>
              <w:bottom w:val="single" w:sz="8" w:color="BFA071"/>
            </w:tcBorders>
          </w:tcPr>
          <w:p>
            <w:pPr>
              <w:spacing w:after="0" w:line="20" w:lineRule="exact"/>
              <w:rPr>
                <w:sz w:val="1"/>
                <w:szCs w:val="1"/>
                <w:color w:val="auto"/>
              </w:rPr>
            </w:pPr>
          </w:p>
        </w:tc>
        <w:tc>
          <w:tcPr>
            <w:tcW w:w="1140" w:type="dxa"/>
            <w:vAlign w:val="bottom"/>
            <w:tcBorders>
              <w:bottom w:val="single" w:sz="8" w:color="BFA071"/>
            </w:tcBorders>
          </w:tcPr>
          <w:p>
            <w:pPr>
              <w:spacing w:after="0" w:line="20" w:lineRule="exact"/>
              <w:rPr>
                <w:sz w:val="1"/>
                <w:szCs w:val="1"/>
                <w:color w:val="auto"/>
              </w:rPr>
            </w:pPr>
          </w:p>
        </w:tc>
        <w:tc>
          <w:tcPr>
            <w:tcW w:w="1100" w:type="dxa"/>
            <w:vAlign w:val="bottom"/>
            <w:tcBorders>
              <w:bottom w:val="single" w:sz="8" w:color="BFA071"/>
            </w:tcBorders>
          </w:tcPr>
          <w:p>
            <w:pPr>
              <w:spacing w:after="0" w:line="20" w:lineRule="exact"/>
              <w:rPr>
                <w:sz w:val="1"/>
                <w:szCs w:val="1"/>
                <w:color w:val="auto"/>
              </w:rPr>
            </w:pPr>
          </w:p>
        </w:tc>
        <w:tc>
          <w:tcPr>
            <w:tcW w:w="1100" w:type="dxa"/>
            <w:vAlign w:val="bottom"/>
            <w:tcBorders>
              <w:bottom w:val="single" w:sz="8" w:color="BFA071"/>
            </w:tcBorders>
          </w:tcPr>
          <w:p>
            <w:pPr>
              <w:spacing w:after="0" w:line="20" w:lineRule="exact"/>
              <w:rPr>
                <w:sz w:val="1"/>
                <w:szCs w:val="1"/>
                <w:color w:val="auto"/>
              </w:rPr>
            </w:pPr>
          </w:p>
        </w:tc>
        <w:tc>
          <w:tcPr>
            <w:tcW w:w="122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100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r>
      <w:tr>
        <w:trPr>
          <w:trHeight w:val="202"/>
        </w:trPr>
        <w:tc>
          <w:tcPr>
            <w:tcW w:w="860" w:type="dxa"/>
            <w:vAlign w:val="bottom"/>
          </w:tcPr>
          <w:p>
            <w:pPr>
              <w:ind w:left="40"/>
              <w:spacing w:after="0"/>
              <w:rPr>
                <w:sz w:val="20"/>
                <w:szCs w:val="20"/>
                <w:color w:val="auto"/>
              </w:rPr>
            </w:pPr>
            <w:r>
              <w:rPr>
                <w:rFonts w:ascii="Arial" w:cs="Arial" w:eastAsia="Arial" w:hAnsi="Arial"/>
                <w:sz w:val="14"/>
                <w:szCs w:val="14"/>
                <w:color w:val="001641"/>
              </w:rPr>
              <w:t>2023</w:t>
            </w:r>
          </w:p>
        </w:tc>
        <w:tc>
          <w:tcPr>
            <w:tcW w:w="1140" w:type="dxa"/>
            <w:vAlign w:val="bottom"/>
          </w:tcPr>
          <w:p>
            <w:pPr>
              <w:ind w:left="300"/>
              <w:spacing w:after="0"/>
              <w:rPr>
                <w:sz w:val="20"/>
                <w:szCs w:val="20"/>
                <w:color w:val="auto"/>
              </w:rPr>
            </w:pPr>
            <w:r>
              <w:rPr>
                <w:rFonts w:ascii="Arial" w:cs="Arial" w:eastAsia="Arial" w:hAnsi="Arial"/>
                <w:sz w:val="14"/>
                <w:szCs w:val="14"/>
                <w:color w:val="001641"/>
              </w:rPr>
              <w:t>14,471,356</w:t>
            </w:r>
          </w:p>
        </w:tc>
        <w:tc>
          <w:tcPr>
            <w:tcW w:w="1100" w:type="dxa"/>
            <w:vAlign w:val="bottom"/>
          </w:tcPr>
          <w:p>
            <w:pPr>
              <w:jc w:val="right"/>
              <w:ind w:right="49"/>
              <w:spacing w:after="0"/>
              <w:rPr>
                <w:sz w:val="20"/>
                <w:szCs w:val="20"/>
                <w:color w:val="auto"/>
              </w:rPr>
            </w:pPr>
            <w:r>
              <w:rPr>
                <w:rFonts w:ascii="Arial" w:cs="Arial" w:eastAsia="Arial" w:hAnsi="Arial"/>
                <w:sz w:val="14"/>
                <w:szCs w:val="14"/>
                <w:color w:val="001641"/>
              </w:rPr>
              <w:t>14,004,639</w:t>
            </w:r>
          </w:p>
        </w:tc>
        <w:tc>
          <w:tcPr>
            <w:tcW w:w="1100" w:type="dxa"/>
            <w:vAlign w:val="bottom"/>
          </w:tcPr>
          <w:p>
            <w:pPr>
              <w:jc w:val="right"/>
              <w:spacing w:after="0"/>
              <w:rPr>
                <w:sz w:val="20"/>
                <w:szCs w:val="20"/>
                <w:color w:val="auto"/>
              </w:rPr>
            </w:pPr>
            <w:r>
              <w:rPr>
                <w:rFonts w:ascii="Arial" w:cs="Arial" w:eastAsia="Arial" w:hAnsi="Arial"/>
                <w:sz w:val="14"/>
                <w:szCs w:val="14"/>
                <w:color w:val="001641"/>
              </w:rPr>
              <w:t>7,603,556</w:t>
            </w:r>
          </w:p>
        </w:tc>
        <w:tc>
          <w:tcPr>
            <w:tcW w:w="1220" w:type="dxa"/>
            <w:vAlign w:val="bottom"/>
          </w:tcPr>
          <w:p>
            <w:pPr>
              <w:jc w:val="right"/>
              <w:ind w:right="109"/>
              <w:spacing w:after="0"/>
              <w:rPr>
                <w:sz w:val="20"/>
                <w:szCs w:val="20"/>
                <w:color w:val="auto"/>
              </w:rPr>
            </w:pPr>
            <w:r>
              <w:rPr>
                <w:rFonts w:ascii="Arial" w:cs="Arial" w:eastAsia="Arial" w:hAnsi="Arial"/>
                <w:sz w:val="14"/>
                <w:szCs w:val="14"/>
                <w:color w:val="001641"/>
              </w:rPr>
              <w:t>7,025,927</w:t>
            </w:r>
          </w:p>
        </w:tc>
        <w:tc>
          <w:tcPr>
            <w:tcW w:w="960" w:type="dxa"/>
            <w:vAlign w:val="bottom"/>
          </w:tcPr>
          <w:p>
            <w:pPr>
              <w:ind w:left="380"/>
              <w:spacing w:after="0"/>
              <w:rPr>
                <w:sz w:val="20"/>
                <w:szCs w:val="20"/>
                <w:color w:val="auto"/>
              </w:rPr>
            </w:pPr>
            <w:r>
              <w:rPr>
                <w:rFonts w:ascii="Arial" w:cs="Arial" w:eastAsia="Arial" w:hAnsi="Arial"/>
                <w:sz w:val="14"/>
                <w:szCs w:val="14"/>
                <w:color w:val="001641"/>
              </w:rPr>
              <w:t>181.19</w:t>
            </w:r>
          </w:p>
        </w:tc>
        <w:tc>
          <w:tcPr>
            <w:tcW w:w="920" w:type="dxa"/>
            <w:vAlign w:val="bottom"/>
          </w:tcPr>
          <w:p>
            <w:pPr>
              <w:jc w:val="right"/>
              <w:ind w:right="9"/>
              <w:spacing w:after="0"/>
              <w:rPr>
                <w:sz w:val="20"/>
                <w:szCs w:val="20"/>
                <w:color w:val="auto"/>
              </w:rPr>
            </w:pPr>
            <w:r>
              <w:rPr>
                <w:rFonts w:ascii="Arial" w:cs="Arial" w:eastAsia="Arial" w:hAnsi="Arial"/>
                <w:sz w:val="14"/>
                <w:szCs w:val="14"/>
                <w:color w:val="001641"/>
              </w:rPr>
              <w:t>137.62</w:t>
            </w:r>
          </w:p>
        </w:tc>
        <w:tc>
          <w:tcPr>
            <w:tcW w:w="1000" w:type="dxa"/>
            <w:vAlign w:val="bottom"/>
          </w:tcPr>
          <w:p>
            <w:pPr>
              <w:jc w:val="right"/>
              <w:ind w:right="148"/>
              <w:spacing w:after="0"/>
              <w:rPr>
                <w:sz w:val="20"/>
                <w:szCs w:val="20"/>
                <w:color w:val="auto"/>
              </w:rPr>
            </w:pPr>
            <w:r>
              <w:rPr>
                <w:rFonts w:ascii="Arial" w:cs="Arial" w:eastAsia="Arial" w:hAnsi="Arial"/>
                <w:sz w:val="14"/>
                <w:szCs w:val="14"/>
                <w:color w:val="001641"/>
              </w:rPr>
              <w:t>522.7</w:t>
            </w:r>
          </w:p>
        </w:tc>
        <w:tc>
          <w:tcPr>
            <w:tcW w:w="880" w:type="dxa"/>
            <w:vAlign w:val="bottom"/>
          </w:tcPr>
          <w:p>
            <w:pPr>
              <w:ind w:left="400"/>
              <w:spacing w:after="0"/>
              <w:rPr>
                <w:sz w:val="20"/>
                <w:szCs w:val="20"/>
                <w:color w:val="auto"/>
              </w:rPr>
            </w:pPr>
            <w:r>
              <w:rPr>
                <w:rFonts w:ascii="Arial" w:cs="Arial" w:eastAsia="Arial" w:hAnsi="Arial"/>
                <w:sz w:val="14"/>
                <w:szCs w:val="14"/>
                <w:color w:val="001641"/>
              </w:rPr>
              <w:t>13.7%</w:t>
            </w:r>
          </w:p>
        </w:tc>
      </w:tr>
      <w:tr>
        <w:trPr>
          <w:trHeight w:val="22"/>
        </w:trPr>
        <w:tc>
          <w:tcPr>
            <w:tcW w:w="860" w:type="dxa"/>
            <w:vAlign w:val="bottom"/>
            <w:tcBorders>
              <w:bottom w:val="single" w:sz="8" w:color="BFA071"/>
            </w:tcBorders>
          </w:tcPr>
          <w:p>
            <w:pPr>
              <w:spacing w:after="0" w:line="20" w:lineRule="exact"/>
              <w:rPr>
                <w:sz w:val="1"/>
                <w:szCs w:val="1"/>
                <w:color w:val="auto"/>
              </w:rPr>
            </w:pPr>
          </w:p>
        </w:tc>
        <w:tc>
          <w:tcPr>
            <w:tcW w:w="1140" w:type="dxa"/>
            <w:vAlign w:val="bottom"/>
            <w:tcBorders>
              <w:bottom w:val="single" w:sz="8" w:color="BFA071"/>
            </w:tcBorders>
          </w:tcPr>
          <w:p>
            <w:pPr>
              <w:spacing w:after="0" w:line="20" w:lineRule="exact"/>
              <w:rPr>
                <w:sz w:val="1"/>
                <w:szCs w:val="1"/>
                <w:color w:val="auto"/>
              </w:rPr>
            </w:pPr>
          </w:p>
        </w:tc>
        <w:tc>
          <w:tcPr>
            <w:tcW w:w="1100" w:type="dxa"/>
            <w:vAlign w:val="bottom"/>
            <w:tcBorders>
              <w:bottom w:val="single" w:sz="8" w:color="BFA071"/>
            </w:tcBorders>
          </w:tcPr>
          <w:p>
            <w:pPr>
              <w:spacing w:after="0" w:line="20" w:lineRule="exact"/>
              <w:rPr>
                <w:sz w:val="1"/>
                <w:szCs w:val="1"/>
                <w:color w:val="auto"/>
              </w:rPr>
            </w:pPr>
          </w:p>
        </w:tc>
        <w:tc>
          <w:tcPr>
            <w:tcW w:w="1100" w:type="dxa"/>
            <w:vAlign w:val="bottom"/>
            <w:tcBorders>
              <w:bottom w:val="single" w:sz="8" w:color="BFA071"/>
            </w:tcBorders>
          </w:tcPr>
          <w:p>
            <w:pPr>
              <w:spacing w:after="0" w:line="20" w:lineRule="exact"/>
              <w:rPr>
                <w:sz w:val="1"/>
                <w:szCs w:val="1"/>
                <w:color w:val="auto"/>
              </w:rPr>
            </w:pPr>
          </w:p>
        </w:tc>
        <w:tc>
          <w:tcPr>
            <w:tcW w:w="122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100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r>
      <w:tr>
        <w:trPr>
          <w:trHeight w:val="206"/>
        </w:trPr>
        <w:tc>
          <w:tcPr>
            <w:tcW w:w="860" w:type="dxa"/>
            <w:vAlign w:val="bottom"/>
            <w:tcBorders>
              <w:bottom w:val="single" w:sz="8" w:color="001641"/>
            </w:tcBorders>
          </w:tcPr>
          <w:p>
            <w:pPr>
              <w:ind w:left="40"/>
              <w:spacing w:after="0"/>
              <w:rPr>
                <w:sz w:val="20"/>
                <w:szCs w:val="20"/>
                <w:color w:val="auto"/>
              </w:rPr>
            </w:pPr>
            <w:r>
              <w:rPr>
                <w:rFonts w:ascii="Arial" w:cs="Arial" w:eastAsia="Arial" w:hAnsi="Arial"/>
                <w:sz w:val="14"/>
                <w:szCs w:val="14"/>
                <w:color w:val="001641"/>
              </w:rPr>
              <w:t>2022</w:t>
            </w:r>
          </w:p>
        </w:tc>
        <w:tc>
          <w:tcPr>
            <w:tcW w:w="1140" w:type="dxa"/>
            <w:vAlign w:val="bottom"/>
            <w:tcBorders>
              <w:bottom w:val="single" w:sz="8" w:color="001641"/>
            </w:tcBorders>
          </w:tcPr>
          <w:p>
            <w:pPr>
              <w:ind w:left="300"/>
              <w:spacing w:after="0"/>
              <w:rPr>
                <w:sz w:val="20"/>
                <w:szCs w:val="20"/>
                <w:color w:val="auto"/>
              </w:rPr>
            </w:pPr>
            <w:r>
              <w:rPr>
                <w:rFonts w:ascii="Arial" w:cs="Arial" w:eastAsia="Arial" w:hAnsi="Arial"/>
                <w:sz w:val="14"/>
                <w:szCs w:val="14"/>
                <w:color w:val="001641"/>
              </w:rPr>
              <w:t>18,553,058</w:t>
            </w:r>
          </w:p>
        </w:tc>
        <w:tc>
          <w:tcPr>
            <w:tcW w:w="1100" w:type="dxa"/>
            <w:vAlign w:val="bottom"/>
            <w:tcBorders>
              <w:bottom w:val="single" w:sz="8" w:color="001641"/>
            </w:tcBorders>
          </w:tcPr>
          <w:p>
            <w:pPr>
              <w:jc w:val="right"/>
              <w:ind w:right="49"/>
              <w:spacing w:after="0"/>
              <w:rPr>
                <w:sz w:val="20"/>
                <w:szCs w:val="20"/>
                <w:color w:val="auto"/>
              </w:rPr>
            </w:pPr>
            <w:r>
              <w:rPr>
                <w:rFonts w:ascii="Arial" w:cs="Arial" w:eastAsia="Arial" w:hAnsi="Arial"/>
                <w:sz w:val="14"/>
                <w:szCs w:val="14"/>
                <w:color w:val="001641"/>
              </w:rPr>
              <w:t>18,143,171</w:t>
            </w:r>
          </w:p>
        </w:tc>
        <w:tc>
          <w:tcPr>
            <w:tcW w:w="1100" w:type="dxa"/>
            <w:vAlign w:val="bottom"/>
            <w:tcBorders>
              <w:bottom w:val="single" w:sz="8" w:color="001641"/>
            </w:tcBorders>
          </w:tcPr>
          <w:p>
            <w:pPr>
              <w:jc w:val="right"/>
              <w:spacing w:after="0"/>
              <w:rPr>
                <w:sz w:val="20"/>
                <w:szCs w:val="20"/>
                <w:color w:val="auto"/>
              </w:rPr>
            </w:pPr>
            <w:r>
              <w:rPr>
                <w:rFonts w:ascii="Arial" w:cs="Arial" w:eastAsia="Arial" w:hAnsi="Arial"/>
                <w:sz w:val="14"/>
                <w:szCs w:val="14"/>
                <w:color w:val="001641"/>
              </w:rPr>
              <w:t>12,597,031</w:t>
            </w:r>
          </w:p>
        </w:tc>
        <w:tc>
          <w:tcPr>
            <w:tcW w:w="1220" w:type="dxa"/>
            <w:vAlign w:val="bottom"/>
            <w:tcBorders>
              <w:bottom w:val="single" w:sz="8" w:color="001641"/>
            </w:tcBorders>
          </w:tcPr>
          <w:p>
            <w:pPr>
              <w:jc w:val="right"/>
              <w:ind w:right="109"/>
              <w:spacing w:after="0"/>
              <w:rPr>
                <w:sz w:val="20"/>
                <w:szCs w:val="20"/>
                <w:color w:val="auto"/>
              </w:rPr>
            </w:pPr>
            <w:r>
              <w:rPr>
                <w:rFonts w:ascii="Arial" w:cs="Arial" w:eastAsia="Arial" w:hAnsi="Arial"/>
                <w:sz w:val="14"/>
                <w:szCs w:val="14"/>
                <w:color w:val="001641"/>
              </w:rPr>
              <w:t>12,208,407</w:t>
            </w:r>
          </w:p>
        </w:tc>
        <w:tc>
          <w:tcPr>
            <w:tcW w:w="960" w:type="dxa"/>
            <w:vAlign w:val="bottom"/>
            <w:tcBorders>
              <w:bottom w:val="single" w:sz="8" w:color="001641"/>
            </w:tcBorders>
          </w:tcPr>
          <w:p>
            <w:pPr>
              <w:ind w:left="380"/>
              <w:spacing w:after="0"/>
              <w:rPr>
                <w:sz w:val="20"/>
                <w:szCs w:val="20"/>
                <w:color w:val="auto"/>
              </w:rPr>
            </w:pPr>
            <w:r>
              <w:rPr>
                <w:rFonts w:ascii="Arial" w:cs="Arial" w:eastAsia="Arial" w:hAnsi="Arial"/>
                <w:sz w:val="14"/>
                <w:szCs w:val="14"/>
                <w:color w:val="001641"/>
              </w:rPr>
              <w:t>168.70</w:t>
            </w:r>
          </w:p>
        </w:tc>
        <w:tc>
          <w:tcPr>
            <w:tcW w:w="920" w:type="dxa"/>
            <w:vAlign w:val="bottom"/>
            <w:tcBorders>
              <w:bottom w:val="single" w:sz="8" w:color="001641"/>
            </w:tcBorders>
          </w:tcPr>
          <w:p>
            <w:pPr>
              <w:jc w:val="right"/>
              <w:ind w:right="9"/>
              <w:spacing w:after="0"/>
              <w:rPr>
                <w:sz w:val="20"/>
                <w:szCs w:val="20"/>
                <w:color w:val="auto"/>
              </w:rPr>
            </w:pPr>
            <w:r>
              <w:rPr>
                <w:rFonts w:ascii="Arial" w:cs="Arial" w:eastAsia="Arial" w:hAnsi="Arial"/>
                <w:sz w:val="14"/>
                <w:szCs w:val="14"/>
                <w:color w:val="001641"/>
              </w:rPr>
              <w:t>176.27</w:t>
            </w:r>
          </w:p>
        </w:tc>
        <w:tc>
          <w:tcPr>
            <w:tcW w:w="1000" w:type="dxa"/>
            <w:vAlign w:val="bottom"/>
            <w:tcBorders>
              <w:bottom w:val="single" w:sz="8" w:color="001641"/>
            </w:tcBorders>
          </w:tcPr>
          <w:p>
            <w:pPr>
              <w:jc w:val="right"/>
              <w:ind w:right="148"/>
              <w:spacing w:after="0"/>
              <w:rPr>
                <w:sz w:val="20"/>
                <w:szCs w:val="20"/>
                <w:color w:val="auto"/>
              </w:rPr>
            </w:pPr>
            <w:r>
              <w:rPr>
                <w:rFonts w:ascii="Arial" w:cs="Arial" w:eastAsia="Arial" w:hAnsi="Arial"/>
                <w:sz w:val="14"/>
                <w:szCs w:val="14"/>
                <w:color w:val="001641"/>
              </w:rPr>
              <w:t>600.1</w:t>
            </w:r>
          </w:p>
        </w:tc>
        <w:tc>
          <w:tcPr>
            <w:tcW w:w="880" w:type="dxa"/>
            <w:vAlign w:val="bottom"/>
            <w:tcBorders>
              <w:bottom w:val="single" w:sz="8" w:color="001641"/>
            </w:tcBorders>
          </w:tcPr>
          <w:p>
            <w:pPr>
              <w:ind w:left="400"/>
              <w:spacing w:after="0"/>
              <w:rPr>
                <w:sz w:val="20"/>
                <w:szCs w:val="20"/>
                <w:color w:val="auto"/>
              </w:rPr>
            </w:pPr>
            <w:r>
              <w:rPr>
                <w:rFonts w:ascii="Arial" w:cs="Arial" w:eastAsia="Arial" w:hAnsi="Arial"/>
                <w:sz w:val="14"/>
                <w:szCs w:val="14"/>
                <w:color w:val="001641"/>
              </w:rPr>
              <w:t>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-1559560</wp:posOffset>
            </wp:positionV>
            <wp:extent cx="114871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133" w:lineRule="exact"/>
        <w:rPr>
          <w:sz w:val="20"/>
          <w:szCs w:val="20"/>
          <w:color w:val="auto"/>
        </w:rPr>
      </w:pPr>
    </w:p>
    <w:p>
      <w:pPr>
        <w:ind w:left="246" w:right="60" w:hanging="246"/>
        <w:spacing w:after="0" w:line="263" w:lineRule="auto"/>
        <w:tabs>
          <w:tab w:leader="none" w:pos="246" w:val="left"/>
        </w:tabs>
        <w:numPr>
          <w:ilvl w:val="0"/>
          <w:numId w:val="94"/>
        </w:numPr>
        <w:rPr>
          <w:rFonts w:ascii="Arial" w:cs="Arial" w:eastAsia="Arial" w:hAnsi="Arial"/>
          <w:sz w:val="14"/>
          <w:szCs w:val="14"/>
          <w:color w:val="4C4C4C"/>
        </w:rPr>
      </w:pPr>
      <w:r>
        <w:rPr>
          <w:rFonts w:ascii="Arial" w:cs="Arial" w:eastAsia="Arial" w:hAnsi="Arial"/>
          <w:sz w:val="14"/>
          <w:szCs w:val="14"/>
          <w:color w:val="4C4C4C"/>
        </w:rPr>
        <w:t>Mr. Louvet is the CEO for each of the years shown. The Non-CEO NEOs include Mr. R. Lauren and Mr. D. Lauren for each of the years shown, Mr. Picicci for Fiscal 2026 and 2025, Ms. Alagoz for Fiscal 2026, 2025, 2024 and Fiscal 2023, Mr. Ranftl for Fiscal 2026 and Howard Smith, our Former Chief Commercial Officer, for Fiscal 2022.</w:t>
      </w:r>
    </w:p>
    <w:p>
      <w:pPr>
        <w:spacing w:after="0" w:line="10" w:lineRule="exact"/>
        <w:rPr>
          <w:rFonts w:ascii="Arial" w:cs="Arial" w:eastAsia="Arial" w:hAnsi="Arial"/>
          <w:sz w:val="14"/>
          <w:szCs w:val="14"/>
          <w:color w:val="4C4C4C"/>
        </w:rPr>
      </w:pPr>
    </w:p>
    <w:p>
      <w:pPr>
        <w:ind w:left="246" w:right="140" w:hanging="246"/>
        <w:spacing w:after="0" w:line="252" w:lineRule="auto"/>
        <w:tabs>
          <w:tab w:leader="none" w:pos="246" w:val="left"/>
        </w:tabs>
        <w:numPr>
          <w:ilvl w:val="0"/>
          <w:numId w:val="94"/>
        </w:numPr>
        <w:rPr>
          <w:rFonts w:ascii="Arial" w:cs="Arial" w:eastAsia="Arial" w:hAnsi="Arial"/>
          <w:sz w:val="14"/>
          <w:szCs w:val="14"/>
          <w:color w:val="4C4C4C"/>
        </w:rPr>
      </w:pPr>
      <w:r>
        <w:rPr>
          <w:rFonts w:ascii="Arial" w:cs="Arial" w:eastAsia="Arial" w:hAnsi="Arial"/>
          <w:sz w:val="14"/>
          <w:szCs w:val="14"/>
          <w:color w:val="4C4C4C"/>
        </w:rPr>
        <w:t>Fair value amounts or change in fair value, as applicable, of equity awards in the Compensation Actually Paid (“CAP”) columns were determined based on applicable SEC rules with respect to previously granted service-based RSUs and PSUs. For PSUs, changes in fair value were calculated as of the end of the covered year based on the probable outcome of performance conditions, with the PSUs-TSR for each of the years shown calculated pursuant to a Monte Carlo simulation, as of the last day of the applicable year. No stock options were granted or continued to vest during any of the years shown.</w:t>
      </w:r>
    </w:p>
    <w:p>
      <w:pPr>
        <w:spacing w:after="0" w:line="18" w:lineRule="exact"/>
        <w:rPr>
          <w:rFonts w:ascii="Arial" w:cs="Arial" w:eastAsia="Arial" w:hAnsi="Arial"/>
          <w:sz w:val="14"/>
          <w:szCs w:val="14"/>
          <w:color w:val="4C4C4C"/>
        </w:rPr>
      </w:pPr>
    </w:p>
    <w:p>
      <w:pPr>
        <w:ind w:left="246" w:right="120" w:hanging="246"/>
        <w:spacing w:after="0" w:line="285" w:lineRule="auto"/>
        <w:tabs>
          <w:tab w:leader="none" w:pos="246" w:val="left"/>
        </w:tabs>
        <w:numPr>
          <w:ilvl w:val="0"/>
          <w:numId w:val="94"/>
        </w:numPr>
        <w:rPr>
          <w:rFonts w:ascii="Arial" w:cs="Arial" w:eastAsia="Arial" w:hAnsi="Arial"/>
          <w:sz w:val="14"/>
          <w:szCs w:val="14"/>
          <w:color w:val="4C4C4C"/>
        </w:rPr>
      </w:pPr>
      <w:r>
        <w:rPr>
          <w:rFonts w:ascii="Arial" w:cs="Arial" w:eastAsia="Arial" w:hAnsi="Arial"/>
          <w:sz w:val="14"/>
          <w:szCs w:val="14"/>
          <w:color w:val="4C4C4C"/>
        </w:rPr>
        <w:t>For Fiscal 2026, the values included in the “CAP to CEO” and “Average CAP to Non-CEO NEOs” columns reflect the following adjustments from the values shown in columns (b) and (d), respectively:</w:t>
      </w:r>
    </w:p>
    <w:p>
      <w:pPr>
        <w:spacing w:after="0" w:line="113" w:lineRule="exact"/>
        <w:rPr>
          <w:sz w:val="20"/>
          <w:szCs w:val="20"/>
          <w:color w:val="auto"/>
        </w:rPr>
      </w:pPr>
    </w:p>
    <w:tbl>
      <w:tblPr>
        <w:tblLayout w:type="fixed"/>
        <w:tblInd w:w="6" w:type="dxa"/>
        <w:tblCellMar>
          <w:top w:w="0" w:type="dxa"/>
          <w:left w:w="0" w:type="dxa"/>
          <w:bottom w:w="0" w:type="dxa"/>
          <w:right w:w="0" w:type="dxa"/>
        </w:tblCellMar>
      </w:tblPr>
      <w:tr>
        <w:trPr>
          <w:trHeight w:val="261"/>
        </w:trPr>
        <w:tc>
          <w:tcPr>
            <w:tcW w:w="240" w:type="dxa"/>
            <w:vAlign w:val="bottom"/>
          </w:tcPr>
          <w:p>
            <w:pPr>
              <w:spacing w:after="0"/>
              <w:rPr>
                <w:sz w:val="22"/>
                <w:szCs w:val="22"/>
                <w:color w:val="auto"/>
              </w:rPr>
            </w:pPr>
          </w:p>
        </w:tc>
        <w:tc>
          <w:tcPr>
            <w:tcW w:w="6500" w:type="dxa"/>
            <w:vAlign w:val="bottom"/>
            <w:shd w:val="clear" w:color="auto" w:fill="001641"/>
          </w:tcPr>
          <w:p>
            <w:pPr>
              <w:spacing w:after="0"/>
              <w:rPr>
                <w:sz w:val="22"/>
                <w:szCs w:val="22"/>
                <w:color w:val="auto"/>
              </w:rPr>
            </w:pPr>
          </w:p>
        </w:tc>
        <w:tc>
          <w:tcPr>
            <w:tcW w:w="1180" w:type="dxa"/>
            <w:vAlign w:val="bottom"/>
            <w:shd w:val="clear" w:color="auto" w:fill="001641"/>
          </w:tcPr>
          <w:p>
            <w:pPr>
              <w:spacing w:after="0"/>
              <w:rPr>
                <w:sz w:val="22"/>
                <w:szCs w:val="22"/>
                <w:color w:val="auto"/>
              </w:rPr>
            </w:pPr>
          </w:p>
        </w:tc>
        <w:tc>
          <w:tcPr>
            <w:tcW w:w="1260" w:type="dxa"/>
            <w:vAlign w:val="bottom"/>
            <w:shd w:val="clear" w:color="auto" w:fill="001641"/>
          </w:tcPr>
          <w:p>
            <w:pPr>
              <w:jc w:val="right"/>
              <w:ind w:right="88"/>
              <w:spacing w:after="0"/>
              <w:rPr>
                <w:sz w:val="20"/>
                <w:szCs w:val="20"/>
                <w:color w:val="auto"/>
              </w:rPr>
            </w:pPr>
            <w:r>
              <w:rPr>
                <w:rFonts w:ascii="Arial" w:cs="Arial" w:eastAsia="Arial" w:hAnsi="Arial"/>
                <w:sz w:val="14"/>
                <w:szCs w:val="14"/>
                <w:b w:val="1"/>
                <w:bCs w:val="1"/>
                <w:color w:val="FFFFFF"/>
              </w:rPr>
              <w:t>Average</w:t>
            </w:r>
          </w:p>
        </w:tc>
      </w:tr>
      <w:tr>
        <w:trPr>
          <w:trHeight w:val="212"/>
        </w:trPr>
        <w:tc>
          <w:tcPr>
            <w:tcW w:w="240" w:type="dxa"/>
            <w:vAlign w:val="bottom"/>
          </w:tcPr>
          <w:p>
            <w:pPr>
              <w:spacing w:after="0"/>
              <w:rPr>
                <w:sz w:val="18"/>
                <w:szCs w:val="18"/>
                <w:color w:val="auto"/>
              </w:rPr>
            </w:pPr>
          </w:p>
        </w:tc>
        <w:tc>
          <w:tcPr>
            <w:tcW w:w="6500" w:type="dxa"/>
            <w:vAlign w:val="bottom"/>
            <w:shd w:val="clear" w:color="auto" w:fill="001641"/>
          </w:tcPr>
          <w:p>
            <w:pPr>
              <w:spacing w:after="0"/>
              <w:rPr>
                <w:sz w:val="18"/>
                <w:szCs w:val="18"/>
                <w:color w:val="auto"/>
              </w:rPr>
            </w:pPr>
          </w:p>
        </w:tc>
        <w:tc>
          <w:tcPr>
            <w:tcW w:w="118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CEO</w:t>
            </w:r>
          </w:p>
        </w:tc>
        <w:tc>
          <w:tcPr>
            <w:tcW w:w="1260" w:type="dxa"/>
            <w:vAlign w:val="bottom"/>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Non-CEO NEOs</w:t>
            </w:r>
          </w:p>
        </w:tc>
      </w:tr>
      <w:tr>
        <w:trPr>
          <w:trHeight w:val="248"/>
        </w:trPr>
        <w:tc>
          <w:tcPr>
            <w:tcW w:w="240" w:type="dxa"/>
            <w:vAlign w:val="bottom"/>
          </w:tcPr>
          <w:p>
            <w:pPr>
              <w:spacing w:after="0"/>
              <w:rPr>
                <w:sz w:val="21"/>
                <w:szCs w:val="21"/>
                <w:color w:val="auto"/>
              </w:rPr>
            </w:pPr>
          </w:p>
        </w:tc>
        <w:tc>
          <w:tcPr>
            <w:tcW w:w="6500" w:type="dxa"/>
            <w:vAlign w:val="bottom"/>
            <w:tcBorders>
              <w:bottom w:val="single" w:sz="8" w:color="EBE1D2"/>
            </w:tcBorders>
            <w:shd w:val="clear" w:color="auto" w:fill="EBE1D2"/>
          </w:tcPr>
          <w:p>
            <w:pPr>
              <w:ind w:left="60"/>
              <w:spacing w:after="0"/>
              <w:rPr>
                <w:sz w:val="20"/>
                <w:szCs w:val="20"/>
                <w:color w:val="auto"/>
              </w:rPr>
            </w:pPr>
            <w:r>
              <w:rPr>
                <w:rFonts w:ascii="Arial" w:cs="Arial" w:eastAsia="Arial" w:hAnsi="Arial"/>
                <w:sz w:val="14"/>
                <w:szCs w:val="14"/>
                <w:color w:val="001641"/>
              </w:rPr>
              <w:t>Total Reported in Fiscal 2026 Summary Compensation Table (“SCT”)</w:t>
            </w:r>
          </w:p>
        </w:tc>
        <w:tc>
          <w:tcPr>
            <w:tcW w:w="1180" w:type="dxa"/>
            <w:vAlign w:val="bottom"/>
            <w:tcBorders>
              <w:bottom w:val="single" w:sz="8" w:color="EBE1D2"/>
            </w:tcBorders>
            <w:shd w:val="clear" w:color="auto" w:fill="EBE1D2"/>
          </w:tcPr>
          <w:p>
            <w:pPr>
              <w:jc w:val="right"/>
              <w:ind w:right="8"/>
              <w:spacing w:after="0"/>
              <w:rPr>
                <w:sz w:val="20"/>
                <w:szCs w:val="20"/>
                <w:color w:val="auto"/>
              </w:rPr>
            </w:pPr>
            <w:r>
              <w:rPr>
                <w:rFonts w:ascii="Arial" w:cs="Arial" w:eastAsia="Arial" w:hAnsi="Arial"/>
                <w:sz w:val="14"/>
                <w:szCs w:val="14"/>
                <w:color w:val="001641"/>
              </w:rPr>
              <w:t>23,264,269</w:t>
            </w:r>
          </w:p>
        </w:tc>
        <w:tc>
          <w:tcPr>
            <w:tcW w:w="1260" w:type="dxa"/>
            <w:vAlign w:val="bottom"/>
            <w:tcBorders>
              <w:bottom w:val="single" w:sz="8" w:color="EBE1D2"/>
            </w:tcBorders>
            <w:shd w:val="clear" w:color="auto" w:fill="EBE1D2"/>
          </w:tcPr>
          <w:p>
            <w:pPr>
              <w:jc w:val="right"/>
              <w:ind w:right="68"/>
              <w:spacing w:after="0"/>
              <w:rPr>
                <w:sz w:val="20"/>
                <w:szCs w:val="20"/>
                <w:color w:val="auto"/>
              </w:rPr>
            </w:pPr>
            <w:r>
              <w:rPr>
                <w:rFonts w:ascii="Arial" w:cs="Arial" w:eastAsia="Arial" w:hAnsi="Arial"/>
                <w:sz w:val="14"/>
                <w:szCs w:val="14"/>
                <w:color w:val="001641"/>
              </w:rPr>
              <w:t>8,507,983</w:t>
            </w:r>
          </w:p>
        </w:tc>
      </w:tr>
      <w:tr>
        <w:trPr>
          <w:trHeight w:val="201"/>
        </w:trPr>
        <w:tc>
          <w:tcPr>
            <w:tcW w:w="240" w:type="dxa"/>
            <w:vAlign w:val="bottom"/>
          </w:tcPr>
          <w:p>
            <w:pPr>
              <w:spacing w:after="0"/>
              <w:rPr>
                <w:sz w:val="17"/>
                <w:szCs w:val="17"/>
                <w:color w:val="auto"/>
              </w:rPr>
            </w:pPr>
          </w:p>
        </w:tc>
        <w:tc>
          <w:tcPr>
            <w:tcW w:w="6500" w:type="dxa"/>
            <w:vAlign w:val="bottom"/>
            <w:tcBorders>
              <w:top w:val="single" w:sz="8" w:color="BFA071"/>
            </w:tcBorders>
          </w:tcPr>
          <w:p>
            <w:pPr>
              <w:ind w:left="60"/>
              <w:spacing w:after="0"/>
              <w:rPr>
                <w:sz w:val="20"/>
                <w:szCs w:val="20"/>
                <w:color w:val="auto"/>
              </w:rPr>
            </w:pPr>
            <w:r>
              <w:rPr>
                <w:rFonts w:ascii="Arial" w:cs="Arial" w:eastAsia="Arial" w:hAnsi="Arial"/>
                <w:sz w:val="14"/>
                <w:szCs w:val="14"/>
                <w:color w:val="001641"/>
              </w:rPr>
              <w:t>Less: Value of stock awards reported in SCT</w:t>
            </w:r>
          </w:p>
        </w:tc>
        <w:tc>
          <w:tcPr>
            <w:tcW w:w="1180" w:type="dxa"/>
            <w:vAlign w:val="bottom"/>
            <w:tcBorders>
              <w:top w:val="single" w:sz="8" w:color="BFA071"/>
            </w:tcBorders>
          </w:tcPr>
          <w:p>
            <w:pPr>
              <w:jc w:val="right"/>
              <w:ind w:right="8"/>
              <w:spacing w:after="0"/>
              <w:rPr>
                <w:sz w:val="20"/>
                <w:szCs w:val="20"/>
                <w:color w:val="auto"/>
              </w:rPr>
            </w:pPr>
            <w:r>
              <w:rPr>
                <w:rFonts w:ascii="Arial" w:cs="Arial" w:eastAsia="Arial" w:hAnsi="Arial"/>
                <w:sz w:val="14"/>
                <w:szCs w:val="14"/>
                <w:color w:val="001641"/>
              </w:rPr>
              <w:t>13,710,179</w:t>
            </w:r>
          </w:p>
        </w:tc>
        <w:tc>
          <w:tcPr>
            <w:tcW w:w="1260" w:type="dxa"/>
            <w:vAlign w:val="bottom"/>
            <w:tcBorders>
              <w:top w:val="single" w:sz="8" w:color="BFA071"/>
            </w:tcBorders>
          </w:tcPr>
          <w:p>
            <w:pPr>
              <w:jc w:val="right"/>
              <w:ind w:right="68"/>
              <w:spacing w:after="0"/>
              <w:rPr>
                <w:sz w:val="20"/>
                <w:szCs w:val="20"/>
                <w:color w:val="auto"/>
              </w:rPr>
            </w:pPr>
            <w:r>
              <w:rPr>
                <w:rFonts w:ascii="Arial" w:cs="Arial" w:eastAsia="Arial" w:hAnsi="Arial"/>
                <w:sz w:val="14"/>
                <w:szCs w:val="14"/>
                <w:color w:val="001641"/>
              </w:rPr>
              <w:t>3,502,302</w:t>
            </w:r>
          </w:p>
        </w:tc>
      </w:tr>
      <w:tr>
        <w:trPr>
          <w:trHeight w:val="22"/>
        </w:trPr>
        <w:tc>
          <w:tcPr>
            <w:tcW w:w="240" w:type="dxa"/>
            <w:vAlign w:val="bottom"/>
          </w:tcPr>
          <w:p>
            <w:pPr>
              <w:spacing w:after="0" w:line="20" w:lineRule="exact"/>
              <w:rPr>
                <w:sz w:val="1"/>
                <w:szCs w:val="1"/>
                <w:color w:val="auto"/>
              </w:rPr>
            </w:pPr>
          </w:p>
        </w:tc>
        <w:tc>
          <w:tcPr>
            <w:tcW w:w="650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201"/>
        </w:trPr>
        <w:tc>
          <w:tcPr>
            <w:tcW w:w="240" w:type="dxa"/>
            <w:vAlign w:val="bottom"/>
          </w:tcPr>
          <w:p>
            <w:pPr>
              <w:spacing w:after="0"/>
              <w:rPr>
                <w:sz w:val="17"/>
                <w:szCs w:val="17"/>
                <w:color w:val="auto"/>
              </w:rPr>
            </w:pPr>
          </w:p>
        </w:tc>
        <w:tc>
          <w:tcPr>
            <w:tcW w:w="6500" w:type="dxa"/>
            <w:vAlign w:val="bottom"/>
          </w:tcPr>
          <w:p>
            <w:pPr>
              <w:ind w:left="60"/>
              <w:spacing w:after="0"/>
              <w:rPr>
                <w:sz w:val="20"/>
                <w:szCs w:val="20"/>
                <w:color w:val="auto"/>
              </w:rPr>
            </w:pPr>
            <w:r>
              <w:rPr>
                <w:rFonts w:ascii="Arial" w:cs="Arial" w:eastAsia="Arial" w:hAnsi="Arial"/>
                <w:sz w:val="14"/>
                <w:szCs w:val="14"/>
                <w:color w:val="001641"/>
              </w:rPr>
              <w:t>Plus: Year-end value of stock awards granted in fiscal year that are outstanding and unvested</w:t>
            </w:r>
          </w:p>
        </w:tc>
        <w:tc>
          <w:tcPr>
            <w:tcW w:w="1180" w:type="dxa"/>
            <w:vAlign w:val="bottom"/>
          </w:tcPr>
          <w:p>
            <w:pPr>
              <w:jc w:val="right"/>
              <w:ind w:right="8"/>
              <w:spacing w:after="0"/>
              <w:rPr>
                <w:sz w:val="20"/>
                <w:szCs w:val="20"/>
                <w:color w:val="auto"/>
              </w:rPr>
            </w:pPr>
            <w:r>
              <w:rPr>
                <w:rFonts w:ascii="Arial" w:cs="Arial" w:eastAsia="Arial" w:hAnsi="Arial"/>
                <w:sz w:val="14"/>
                <w:szCs w:val="14"/>
                <w:color w:val="001641"/>
              </w:rPr>
              <w:t>18,426,604</w:t>
            </w:r>
          </w:p>
        </w:tc>
        <w:tc>
          <w:tcPr>
            <w:tcW w:w="1260" w:type="dxa"/>
            <w:vAlign w:val="bottom"/>
          </w:tcPr>
          <w:p>
            <w:pPr>
              <w:jc w:val="right"/>
              <w:ind w:right="68"/>
              <w:spacing w:after="0"/>
              <w:rPr>
                <w:sz w:val="20"/>
                <w:szCs w:val="20"/>
                <w:color w:val="auto"/>
              </w:rPr>
            </w:pPr>
            <w:r>
              <w:rPr>
                <w:rFonts w:ascii="Arial" w:cs="Arial" w:eastAsia="Arial" w:hAnsi="Arial"/>
                <w:sz w:val="14"/>
                <w:szCs w:val="14"/>
                <w:color w:val="001641"/>
              </w:rPr>
              <w:t>5,124,263</w:t>
            </w:r>
          </w:p>
        </w:tc>
      </w:tr>
      <w:tr>
        <w:trPr>
          <w:trHeight w:val="22"/>
        </w:trPr>
        <w:tc>
          <w:tcPr>
            <w:tcW w:w="240" w:type="dxa"/>
            <w:vAlign w:val="bottom"/>
          </w:tcPr>
          <w:p>
            <w:pPr>
              <w:spacing w:after="0" w:line="20" w:lineRule="exact"/>
              <w:rPr>
                <w:sz w:val="1"/>
                <w:szCs w:val="1"/>
                <w:color w:val="auto"/>
              </w:rPr>
            </w:pPr>
          </w:p>
        </w:tc>
        <w:tc>
          <w:tcPr>
            <w:tcW w:w="650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173"/>
        </w:trPr>
        <w:tc>
          <w:tcPr>
            <w:tcW w:w="240" w:type="dxa"/>
            <w:vAlign w:val="bottom"/>
          </w:tcPr>
          <w:p>
            <w:pPr>
              <w:spacing w:after="0"/>
              <w:rPr>
                <w:sz w:val="15"/>
                <w:szCs w:val="15"/>
                <w:color w:val="auto"/>
              </w:rPr>
            </w:pPr>
          </w:p>
        </w:tc>
        <w:tc>
          <w:tcPr>
            <w:tcW w:w="6500" w:type="dxa"/>
            <w:vAlign w:val="bottom"/>
          </w:tcPr>
          <w:p>
            <w:pPr>
              <w:ind w:left="60"/>
              <w:spacing w:after="0"/>
              <w:rPr>
                <w:sz w:val="20"/>
                <w:szCs w:val="20"/>
                <w:color w:val="auto"/>
              </w:rPr>
            </w:pPr>
            <w:r>
              <w:rPr>
                <w:rFonts w:ascii="Arial" w:cs="Arial" w:eastAsia="Arial" w:hAnsi="Arial"/>
                <w:sz w:val="14"/>
                <w:szCs w:val="14"/>
                <w:color w:val="001641"/>
              </w:rPr>
              <w:t>Plus: Change in fair value (from prior year-end) of stock awards granted in prior years that are</w:t>
            </w:r>
          </w:p>
        </w:tc>
        <w:tc>
          <w:tcPr>
            <w:tcW w:w="1180" w:type="dxa"/>
            <w:vAlign w:val="bottom"/>
          </w:tcPr>
          <w:p>
            <w:pPr>
              <w:jc w:val="right"/>
              <w:ind w:right="8"/>
              <w:spacing w:after="0"/>
              <w:rPr>
                <w:sz w:val="20"/>
                <w:szCs w:val="20"/>
                <w:color w:val="auto"/>
              </w:rPr>
            </w:pPr>
            <w:r>
              <w:rPr>
                <w:rFonts w:ascii="Arial" w:cs="Arial" w:eastAsia="Arial" w:hAnsi="Arial"/>
                <w:sz w:val="14"/>
                <w:szCs w:val="14"/>
                <w:color w:val="001641"/>
              </w:rPr>
              <w:t>27,220,945</w:t>
            </w:r>
          </w:p>
        </w:tc>
        <w:tc>
          <w:tcPr>
            <w:tcW w:w="1260" w:type="dxa"/>
            <w:vAlign w:val="bottom"/>
          </w:tcPr>
          <w:p>
            <w:pPr>
              <w:jc w:val="right"/>
              <w:ind w:right="68"/>
              <w:spacing w:after="0"/>
              <w:rPr>
                <w:sz w:val="20"/>
                <w:szCs w:val="20"/>
                <w:color w:val="auto"/>
              </w:rPr>
            </w:pPr>
            <w:r>
              <w:rPr>
                <w:rFonts w:ascii="Arial" w:cs="Arial" w:eastAsia="Arial" w:hAnsi="Arial"/>
                <w:sz w:val="14"/>
                <w:szCs w:val="14"/>
                <w:color w:val="001641"/>
              </w:rPr>
              <w:t>9,858,428</w:t>
            </w:r>
          </w:p>
        </w:tc>
      </w:tr>
      <w:tr>
        <w:trPr>
          <w:trHeight w:val="190"/>
        </w:trPr>
        <w:tc>
          <w:tcPr>
            <w:tcW w:w="240" w:type="dxa"/>
            <w:vAlign w:val="bottom"/>
          </w:tcPr>
          <w:p>
            <w:pPr>
              <w:spacing w:after="0"/>
              <w:rPr>
                <w:sz w:val="16"/>
                <w:szCs w:val="16"/>
                <w:color w:val="auto"/>
              </w:rPr>
            </w:pPr>
          </w:p>
        </w:tc>
        <w:tc>
          <w:tcPr>
            <w:tcW w:w="6500" w:type="dxa"/>
            <w:vAlign w:val="bottom"/>
          </w:tcPr>
          <w:p>
            <w:pPr>
              <w:ind w:left="60"/>
              <w:spacing w:after="0"/>
              <w:rPr>
                <w:sz w:val="20"/>
                <w:szCs w:val="20"/>
                <w:color w:val="auto"/>
              </w:rPr>
            </w:pPr>
            <w:r>
              <w:rPr>
                <w:rFonts w:ascii="Arial" w:cs="Arial" w:eastAsia="Arial" w:hAnsi="Arial"/>
                <w:sz w:val="14"/>
                <w:szCs w:val="14"/>
                <w:color w:val="001641"/>
              </w:rPr>
              <w:t>outstanding and unvested</w:t>
            </w: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
        </w:trPr>
        <w:tc>
          <w:tcPr>
            <w:tcW w:w="240" w:type="dxa"/>
            <w:vAlign w:val="bottom"/>
          </w:tcPr>
          <w:p>
            <w:pPr>
              <w:spacing w:after="0" w:line="20" w:lineRule="exact"/>
              <w:rPr>
                <w:sz w:val="1"/>
                <w:szCs w:val="1"/>
                <w:color w:val="auto"/>
              </w:rPr>
            </w:pPr>
          </w:p>
        </w:tc>
        <w:tc>
          <w:tcPr>
            <w:tcW w:w="650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201"/>
        </w:trPr>
        <w:tc>
          <w:tcPr>
            <w:tcW w:w="240" w:type="dxa"/>
            <w:vAlign w:val="bottom"/>
          </w:tcPr>
          <w:p>
            <w:pPr>
              <w:spacing w:after="0"/>
              <w:rPr>
                <w:sz w:val="17"/>
                <w:szCs w:val="17"/>
                <w:color w:val="auto"/>
              </w:rPr>
            </w:pPr>
          </w:p>
        </w:tc>
        <w:tc>
          <w:tcPr>
            <w:tcW w:w="6500" w:type="dxa"/>
            <w:vAlign w:val="bottom"/>
          </w:tcPr>
          <w:p>
            <w:pPr>
              <w:ind w:left="60"/>
              <w:spacing w:after="0"/>
              <w:rPr>
                <w:sz w:val="20"/>
                <w:szCs w:val="20"/>
                <w:color w:val="auto"/>
              </w:rPr>
            </w:pPr>
            <w:r>
              <w:rPr>
                <w:rFonts w:ascii="Arial" w:cs="Arial" w:eastAsia="Arial" w:hAnsi="Arial"/>
                <w:sz w:val="14"/>
                <w:szCs w:val="14"/>
                <w:color w:val="001641"/>
              </w:rPr>
              <w:t>Plus: Fair value of awards granted this year and that vested this year</w:t>
            </w:r>
          </w:p>
        </w:tc>
        <w:tc>
          <w:tcPr>
            <w:tcW w:w="1180" w:type="dxa"/>
            <w:vAlign w:val="bottom"/>
          </w:tcPr>
          <w:p>
            <w:pPr>
              <w:jc w:val="right"/>
              <w:spacing w:after="0"/>
              <w:rPr>
                <w:sz w:val="20"/>
                <w:szCs w:val="20"/>
                <w:color w:val="auto"/>
              </w:rPr>
            </w:pPr>
            <w:r>
              <w:rPr>
                <w:rFonts w:ascii="Arial" w:cs="Arial" w:eastAsia="Arial" w:hAnsi="Arial"/>
                <w:sz w:val="14"/>
                <w:szCs w:val="14"/>
                <w:color w:val="001641"/>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001641"/>
              </w:rPr>
              <w:t>0</w:t>
            </w:r>
          </w:p>
        </w:tc>
      </w:tr>
      <w:tr>
        <w:trPr>
          <w:trHeight w:val="22"/>
        </w:trPr>
        <w:tc>
          <w:tcPr>
            <w:tcW w:w="240" w:type="dxa"/>
            <w:vAlign w:val="bottom"/>
          </w:tcPr>
          <w:p>
            <w:pPr>
              <w:spacing w:after="0" w:line="20" w:lineRule="exact"/>
              <w:rPr>
                <w:sz w:val="1"/>
                <w:szCs w:val="1"/>
                <w:color w:val="auto"/>
              </w:rPr>
            </w:pPr>
          </w:p>
        </w:tc>
        <w:tc>
          <w:tcPr>
            <w:tcW w:w="650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201"/>
        </w:trPr>
        <w:tc>
          <w:tcPr>
            <w:tcW w:w="240" w:type="dxa"/>
            <w:vAlign w:val="bottom"/>
          </w:tcPr>
          <w:p>
            <w:pPr>
              <w:spacing w:after="0"/>
              <w:rPr>
                <w:sz w:val="17"/>
                <w:szCs w:val="17"/>
                <w:color w:val="auto"/>
              </w:rPr>
            </w:pPr>
          </w:p>
        </w:tc>
        <w:tc>
          <w:tcPr>
            <w:tcW w:w="6500" w:type="dxa"/>
            <w:vAlign w:val="bottom"/>
          </w:tcPr>
          <w:p>
            <w:pPr>
              <w:ind w:left="60"/>
              <w:spacing w:after="0"/>
              <w:rPr>
                <w:sz w:val="20"/>
                <w:szCs w:val="20"/>
                <w:color w:val="auto"/>
              </w:rPr>
            </w:pPr>
            <w:r>
              <w:rPr>
                <w:rFonts w:ascii="Arial" w:cs="Arial" w:eastAsia="Arial" w:hAnsi="Arial"/>
                <w:sz w:val="14"/>
                <w:szCs w:val="14"/>
                <w:color w:val="001641"/>
              </w:rPr>
              <w:t>Plus: Change in fair value (from prior year-end) of prior year stock awards that vested this year</w:t>
            </w:r>
          </w:p>
        </w:tc>
        <w:tc>
          <w:tcPr>
            <w:tcW w:w="1180" w:type="dxa"/>
            <w:vAlign w:val="bottom"/>
          </w:tcPr>
          <w:p>
            <w:pPr>
              <w:jc w:val="right"/>
              <w:ind w:right="8"/>
              <w:spacing w:after="0"/>
              <w:rPr>
                <w:sz w:val="20"/>
                <w:szCs w:val="20"/>
                <w:color w:val="auto"/>
              </w:rPr>
            </w:pPr>
            <w:r>
              <w:rPr>
                <w:rFonts w:ascii="Arial" w:cs="Arial" w:eastAsia="Arial" w:hAnsi="Arial"/>
                <w:sz w:val="14"/>
                <w:szCs w:val="14"/>
                <w:color w:val="001641"/>
              </w:rPr>
              <w:t>7,562,838</w:t>
            </w:r>
          </w:p>
        </w:tc>
        <w:tc>
          <w:tcPr>
            <w:tcW w:w="1260" w:type="dxa"/>
            <w:vAlign w:val="bottom"/>
          </w:tcPr>
          <w:p>
            <w:pPr>
              <w:jc w:val="right"/>
              <w:ind w:right="68"/>
              <w:spacing w:after="0"/>
              <w:rPr>
                <w:sz w:val="20"/>
                <w:szCs w:val="20"/>
                <w:color w:val="auto"/>
              </w:rPr>
            </w:pPr>
            <w:r>
              <w:rPr>
                <w:rFonts w:ascii="Arial" w:cs="Arial" w:eastAsia="Arial" w:hAnsi="Arial"/>
                <w:sz w:val="14"/>
                <w:szCs w:val="14"/>
                <w:color w:val="001641"/>
              </w:rPr>
              <w:t>3,062,782</w:t>
            </w:r>
          </w:p>
        </w:tc>
      </w:tr>
      <w:tr>
        <w:trPr>
          <w:trHeight w:val="22"/>
        </w:trPr>
        <w:tc>
          <w:tcPr>
            <w:tcW w:w="240" w:type="dxa"/>
            <w:vAlign w:val="bottom"/>
          </w:tcPr>
          <w:p>
            <w:pPr>
              <w:spacing w:after="0" w:line="20" w:lineRule="exact"/>
              <w:rPr>
                <w:sz w:val="1"/>
                <w:szCs w:val="1"/>
                <w:color w:val="auto"/>
              </w:rPr>
            </w:pPr>
          </w:p>
        </w:tc>
        <w:tc>
          <w:tcPr>
            <w:tcW w:w="650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201"/>
        </w:trPr>
        <w:tc>
          <w:tcPr>
            <w:tcW w:w="240" w:type="dxa"/>
            <w:vAlign w:val="bottom"/>
          </w:tcPr>
          <w:p>
            <w:pPr>
              <w:spacing w:after="0"/>
              <w:rPr>
                <w:sz w:val="17"/>
                <w:szCs w:val="17"/>
                <w:color w:val="auto"/>
              </w:rPr>
            </w:pPr>
          </w:p>
        </w:tc>
        <w:tc>
          <w:tcPr>
            <w:tcW w:w="6500" w:type="dxa"/>
            <w:vAlign w:val="bottom"/>
          </w:tcPr>
          <w:p>
            <w:pPr>
              <w:ind w:left="60"/>
              <w:spacing w:after="0"/>
              <w:rPr>
                <w:sz w:val="20"/>
                <w:szCs w:val="20"/>
                <w:color w:val="auto"/>
              </w:rPr>
            </w:pPr>
            <w:r>
              <w:rPr>
                <w:rFonts w:ascii="Arial" w:cs="Arial" w:eastAsia="Arial" w:hAnsi="Arial"/>
                <w:sz w:val="14"/>
                <w:szCs w:val="14"/>
                <w:color w:val="001641"/>
              </w:rPr>
              <w:t>Less: Prior year-end fair value of stock awards granted in prior years that failed to vest this year</w:t>
            </w:r>
          </w:p>
        </w:tc>
        <w:tc>
          <w:tcPr>
            <w:tcW w:w="1180" w:type="dxa"/>
            <w:vAlign w:val="bottom"/>
          </w:tcPr>
          <w:p>
            <w:pPr>
              <w:jc w:val="right"/>
              <w:spacing w:after="0"/>
              <w:rPr>
                <w:sz w:val="20"/>
                <w:szCs w:val="20"/>
                <w:color w:val="auto"/>
              </w:rPr>
            </w:pPr>
            <w:r>
              <w:rPr>
                <w:rFonts w:ascii="Arial" w:cs="Arial" w:eastAsia="Arial" w:hAnsi="Arial"/>
                <w:sz w:val="14"/>
                <w:szCs w:val="14"/>
                <w:color w:val="001641"/>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001641"/>
              </w:rPr>
              <w:t>0</w:t>
            </w:r>
          </w:p>
        </w:tc>
      </w:tr>
      <w:tr>
        <w:trPr>
          <w:trHeight w:val="22"/>
        </w:trPr>
        <w:tc>
          <w:tcPr>
            <w:tcW w:w="240" w:type="dxa"/>
            <w:vAlign w:val="bottom"/>
          </w:tcPr>
          <w:p>
            <w:pPr>
              <w:spacing w:after="0" w:line="20" w:lineRule="exact"/>
              <w:rPr>
                <w:sz w:val="1"/>
                <w:szCs w:val="1"/>
                <w:color w:val="auto"/>
              </w:rPr>
            </w:pPr>
          </w:p>
        </w:tc>
        <w:tc>
          <w:tcPr>
            <w:tcW w:w="650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6500" w:type="dxa"/>
            <w:vAlign w:val="bottom"/>
            <w:tcBorders>
              <w:bottom w:val="single" w:sz="8" w:color="EBE1D2"/>
            </w:tcBorders>
            <w:shd w:val="clear" w:color="auto" w:fill="EBE1D2"/>
          </w:tcPr>
          <w:p>
            <w:pPr>
              <w:ind w:left="60"/>
              <w:spacing w:after="0"/>
              <w:rPr>
                <w:sz w:val="20"/>
                <w:szCs w:val="20"/>
                <w:color w:val="auto"/>
              </w:rPr>
            </w:pPr>
            <w:r>
              <w:rPr>
                <w:rFonts w:ascii="Arial" w:cs="Arial" w:eastAsia="Arial" w:hAnsi="Arial"/>
                <w:sz w:val="14"/>
                <w:szCs w:val="14"/>
                <w:color w:val="001641"/>
              </w:rPr>
              <w:t>Compensation Actually Paid for Fiscal 2026</w:t>
            </w:r>
          </w:p>
        </w:tc>
        <w:tc>
          <w:tcPr>
            <w:tcW w:w="1180" w:type="dxa"/>
            <w:vAlign w:val="bottom"/>
            <w:tcBorders>
              <w:bottom w:val="single" w:sz="8" w:color="EBE1D2"/>
            </w:tcBorders>
            <w:shd w:val="clear" w:color="auto" w:fill="EBE1D2"/>
          </w:tcPr>
          <w:p>
            <w:pPr>
              <w:jc w:val="right"/>
              <w:ind w:right="8"/>
              <w:spacing w:after="0"/>
              <w:rPr>
                <w:sz w:val="20"/>
                <w:szCs w:val="20"/>
                <w:color w:val="auto"/>
              </w:rPr>
            </w:pPr>
            <w:r>
              <w:rPr>
                <w:rFonts w:ascii="Arial" w:cs="Arial" w:eastAsia="Arial" w:hAnsi="Arial"/>
                <w:sz w:val="14"/>
                <w:szCs w:val="14"/>
                <w:color w:val="001641"/>
              </w:rPr>
              <w:t>62,764,477</w:t>
            </w:r>
          </w:p>
        </w:tc>
        <w:tc>
          <w:tcPr>
            <w:tcW w:w="1260" w:type="dxa"/>
            <w:vAlign w:val="bottom"/>
            <w:tcBorders>
              <w:bottom w:val="single" w:sz="8" w:color="EBE1D2"/>
            </w:tcBorders>
            <w:shd w:val="clear" w:color="auto" w:fill="EBE1D2"/>
          </w:tcPr>
          <w:p>
            <w:pPr>
              <w:jc w:val="right"/>
              <w:ind w:right="68"/>
              <w:spacing w:after="0"/>
              <w:rPr>
                <w:sz w:val="20"/>
                <w:szCs w:val="20"/>
                <w:color w:val="auto"/>
              </w:rPr>
            </w:pPr>
            <w:r>
              <w:rPr>
                <w:rFonts w:ascii="Arial" w:cs="Arial" w:eastAsia="Arial" w:hAnsi="Arial"/>
                <w:sz w:val="14"/>
                <w:szCs w:val="14"/>
                <w:color w:val="001641"/>
              </w:rPr>
              <w:t>23,051,154</w:t>
            </w:r>
          </w:p>
        </w:tc>
      </w:tr>
      <w:tr>
        <w:trPr>
          <w:trHeight w:val="210"/>
        </w:trPr>
        <w:tc>
          <w:tcPr>
            <w:tcW w:w="240" w:type="dxa"/>
            <w:vAlign w:val="bottom"/>
            <w:tcBorders>
              <w:bottom w:val="single" w:sz="8" w:color="808080"/>
            </w:tcBorders>
          </w:tcPr>
          <w:p>
            <w:pPr>
              <w:spacing w:after="0"/>
              <w:rPr>
                <w:sz w:val="18"/>
                <w:szCs w:val="18"/>
                <w:color w:val="auto"/>
              </w:rPr>
            </w:pPr>
          </w:p>
        </w:tc>
        <w:tc>
          <w:tcPr>
            <w:tcW w:w="6500" w:type="dxa"/>
            <w:vAlign w:val="bottom"/>
            <w:tcBorders>
              <w:top w:val="single" w:sz="8" w:color="001641"/>
              <w:bottom w:val="single" w:sz="8" w:color="808080"/>
            </w:tcBorders>
          </w:tcPr>
          <w:p>
            <w:pPr>
              <w:spacing w:after="0"/>
              <w:rPr>
                <w:sz w:val="18"/>
                <w:szCs w:val="18"/>
                <w:color w:val="auto"/>
              </w:rPr>
            </w:pPr>
          </w:p>
        </w:tc>
        <w:tc>
          <w:tcPr>
            <w:tcW w:w="1180" w:type="dxa"/>
            <w:vAlign w:val="bottom"/>
            <w:tcBorders>
              <w:top w:val="single" w:sz="8" w:color="001641"/>
              <w:bottom w:val="single" w:sz="8" w:color="808080"/>
            </w:tcBorders>
          </w:tcPr>
          <w:p>
            <w:pPr>
              <w:spacing w:after="0"/>
              <w:rPr>
                <w:sz w:val="18"/>
                <w:szCs w:val="18"/>
                <w:color w:val="auto"/>
              </w:rPr>
            </w:pPr>
          </w:p>
        </w:tc>
        <w:tc>
          <w:tcPr>
            <w:tcW w:w="1260" w:type="dxa"/>
            <w:vAlign w:val="bottom"/>
            <w:tcBorders>
              <w:top w:val="single" w:sz="8" w:color="001641"/>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128905" cy="11112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187" w:lineRule="exact"/>
        <w:rPr>
          <w:sz w:val="20"/>
          <w:szCs w:val="20"/>
          <w:color w:val="auto"/>
        </w:rPr>
      </w:pPr>
    </w:p>
    <w:p>
      <w:pPr>
        <w:ind w:left="6546"/>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16" w:name="page117"/>
    <w:bookmarkEnd w:id="116"/>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53340</wp:posOffset>
            </wp:positionV>
            <wp:extent cx="58293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63" w:lineRule="exact"/>
        <w:rPr>
          <w:sz w:val="20"/>
          <w:szCs w:val="20"/>
          <w:color w:val="auto"/>
        </w:rPr>
      </w:pPr>
    </w:p>
    <w:p>
      <w:pPr>
        <w:ind w:left="1160" w:right="1040" w:hanging="246"/>
        <w:spacing w:after="0" w:line="285" w:lineRule="auto"/>
        <w:tabs>
          <w:tab w:leader="none" w:pos="1160" w:val="left"/>
        </w:tabs>
        <w:numPr>
          <w:ilvl w:val="0"/>
          <w:numId w:val="95"/>
        </w:numPr>
        <w:rPr>
          <w:rFonts w:ascii="Arial" w:cs="Arial" w:eastAsia="Arial" w:hAnsi="Arial"/>
          <w:sz w:val="14"/>
          <w:szCs w:val="14"/>
          <w:color w:val="4C4C4C"/>
        </w:rPr>
      </w:pPr>
      <w:r>
        <w:rPr>
          <w:rFonts w:ascii="Arial" w:cs="Arial" w:eastAsia="Arial" w:hAnsi="Arial"/>
          <w:sz w:val="14"/>
          <w:szCs w:val="14"/>
          <w:color w:val="4C4C4C"/>
        </w:rPr>
        <w:t>For Fiscal 2025, the values included in the “CAP to CEO” and “Average CAP to Non-CEO NEOs” columns reflect the following adjustments from the values shown in columns (b) and (d), respectively:</w:t>
      </w:r>
    </w:p>
    <w:p>
      <w:pPr>
        <w:spacing w:after="0" w:line="32" w:lineRule="exact"/>
        <w:rPr>
          <w:sz w:val="20"/>
          <w:szCs w:val="20"/>
          <w:color w:val="auto"/>
        </w:rPr>
      </w:pPr>
    </w:p>
    <w:tbl>
      <w:tblPr>
        <w:tblLayout w:type="fixed"/>
        <w:tblInd w:w="1160" w:type="dxa"/>
        <w:tblCellMar>
          <w:top w:w="0" w:type="dxa"/>
          <w:left w:w="0" w:type="dxa"/>
          <w:bottom w:w="0" w:type="dxa"/>
          <w:right w:w="0" w:type="dxa"/>
        </w:tblCellMar>
      </w:tblPr>
      <w:tr>
        <w:trPr>
          <w:trHeight w:val="261"/>
        </w:trPr>
        <w:tc>
          <w:tcPr>
            <w:tcW w:w="6460" w:type="dxa"/>
            <w:vAlign w:val="bottom"/>
            <w:shd w:val="clear" w:color="auto" w:fill="001641"/>
          </w:tcPr>
          <w:p>
            <w:pPr>
              <w:spacing w:after="0"/>
              <w:rPr>
                <w:sz w:val="22"/>
                <w:szCs w:val="22"/>
                <w:color w:val="auto"/>
              </w:rPr>
            </w:pPr>
          </w:p>
        </w:tc>
        <w:tc>
          <w:tcPr>
            <w:tcW w:w="1200" w:type="dxa"/>
            <w:vAlign w:val="bottom"/>
            <w:shd w:val="clear" w:color="auto" w:fill="001641"/>
          </w:tcPr>
          <w:p>
            <w:pPr>
              <w:spacing w:after="0"/>
              <w:rPr>
                <w:sz w:val="22"/>
                <w:szCs w:val="22"/>
                <w:color w:val="auto"/>
              </w:rPr>
            </w:pPr>
          </w:p>
        </w:tc>
        <w:tc>
          <w:tcPr>
            <w:tcW w:w="1280" w:type="dxa"/>
            <w:vAlign w:val="bottom"/>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Average</w:t>
            </w:r>
          </w:p>
        </w:tc>
      </w:tr>
      <w:tr>
        <w:trPr>
          <w:trHeight w:val="212"/>
        </w:trPr>
        <w:tc>
          <w:tcPr>
            <w:tcW w:w="6460" w:type="dxa"/>
            <w:vAlign w:val="bottom"/>
            <w:shd w:val="clear" w:color="auto" w:fill="001641"/>
          </w:tcPr>
          <w:p>
            <w:pPr>
              <w:spacing w:after="0"/>
              <w:rPr>
                <w:sz w:val="18"/>
                <w:szCs w:val="18"/>
                <w:color w:val="auto"/>
              </w:rPr>
            </w:pPr>
          </w:p>
        </w:tc>
        <w:tc>
          <w:tcPr>
            <w:tcW w:w="1200" w:type="dxa"/>
            <w:vAlign w:val="bottom"/>
            <w:shd w:val="clear" w:color="auto" w:fill="001641"/>
          </w:tcPr>
          <w:p>
            <w:pPr>
              <w:jc w:val="right"/>
              <w:ind w:right="8"/>
              <w:spacing w:after="0"/>
              <w:rPr>
                <w:sz w:val="20"/>
                <w:szCs w:val="20"/>
                <w:color w:val="auto"/>
              </w:rPr>
            </w:pPr>
            <w:r>
              <w:rPr>
                <w:rFonts w:ascii="Arial" w:cs="Arial" w:eastAsia="Arial" w:hAnsi="Arial"/>
                <w:sz w:val="14"/>
                <w:szCs w:val="14"/>
                <w:b w:val="1"/>
                <w:bCs w:val="1"/>
                <w:color w:val="FFFFFF"/>
              </w:rPr>
              <w:t>CEO</w:t>
            </w:r>
          </w:p>
        </w:tc>
        <w:tc>
          <w:tcPr>
            <w:tcW w:w="1280" w:type="dxa"/>
            <w:vAlign w:val="bottom"/>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Non-CEO NEOs</w:t>
            </w:r>
          </w:p>
        </w:tc>
      </w:tr>
      <w:tr>
        <w:trPr>
          <w:trHeight w:val="248"/>
        </w:trPr>
        <w:tc>
          <w:tcPr>
            <w:tcW w:w="6460" w:type="dxa"/>
            <w:vAlign w:val="bottom"/>
            <w:tcBorders>
              <w:bottom w:val="single" w:sz="8" w:color="EBE1D2"/>
            </w:tcBorders>
            <w:shd w:val="clear" w:color="auto" w:fill="EBE1D2"/>
          </w:tcPr>
          <w:p>
            <w:pPr>
              <w:ind w:left="60"/>
              <w:spacing w:after="0"/>
              <w:rPr>
                <w:sz w:val="20"/>
                <w:szCs w:val="20"/>
                <w:color w:val="auto"/>
              </w:rPr>
            </w:pPr>
            <w:r>
              <w:rPr>
                <w:rFonts w:ascii="Arial" w:cs="Arial" w:eastAsia="Arial" w:hAnsi="Arial"/>
                <w:sz w:val="14"/>
                <w:szCs w:val="14"/>
                <w:color w:val="001641"/>
              </w:rPr>
              <w:t>Total Reported in Fiscal 2025 Summary Compensation Table (“SCT”)</w:t>
            </w:r>
          </w:p>
        </w:tc>
        <w:tc>
          <w:tcPr>
            <w:tcW w:w="1200" w:type="dxa"/>
            <w:vAlign w:val="bottom"/>
            <w:tcBorders>
              <w:bottom w:val="single" w:sz="8" w:color="EBE1D2"/>
            </w:tcBorders>
            <w:shd w:val="clear" w:color="auto" w:fill="EBE1D2"/>
          </w:tcPr>
          <w:p>
            <w:pPr>
              <w:jc w:val="right"/>
              <w:ind w:right="68"/>
              <w:spacing w:after="0"/>
              <w:rPr>
                <w:sz w:val="20"/>
                <w:szCs w:val="20"/>
                <w:color w:val="auto"/>
              </w:rPr>
            </w:pPr>
            <w:r>
              <w:rPr>
                <w:rFonts w:ascii="Arial" w:cs="Arial" w:eastAsia="Arial" w:hAnsi="Arial"/>
                <w:sz w:val="14"/>
                <w:szCs w:val="14"/>
                <w:color w:val="001641"/>
              </w:rPr>
              <w:t>23,079,435</w:t>
            </w:r>
          </w:p>
        </w:tc>
        <w:tc>
          <w:tcPr>
            <w:tcW w:w="1280" w:type="dxa"/>
            <w:vAlign w:val="bottom"/>
            <w:tcBorders>
              <w:bottom w:val="single" w:sz="8" w:color="EBE1D2"/>
            </w:tcBorders>
            <w:shd w:val="clear" w:color="auto" w:fill="EBE1D2"/>
          </w:tcPr>
          <w:p>
            <w:pPr>
              <w:jc w:val="right"/>
              <w:ind w:right="88"/>
              <w:spacing w:after="0"/>
              <w:rPr>
                <w:sz w:val="20"/>
                <w:szCs w:val="20"/>
                <w:color w:val="auto"/>
              </w:rPr>
            </w:pPr>
            <w:r>
              <w:rPr>
                <w:rFonts w:ascii="Arial" w:cs="Arial" w:eastAsia="Arial" w:hAnsi="Arial"/>
                <w:sz w:val="14"/>
                <w:szCs w:val="14"/>
                <w:color w:val="001641"/>
              </w:rPr>
              <w:t>9,648,709</w:t>
            </w:r>
          </w:p>
        </w:tc>
      </w:tr>
      <w:tr>
        <w:trPr>
          <w:trHeight w:val="202"/>
        </w:trPr>
        <w:tc>
          <w:tcPr>
            <w:tcW w:w="6460" w:type="dxa"/>
            <w:vAlign w:val="bottom"/>
            <w:tcBorders>
              <w:top w:val="single" w:sz="8" w:color="BFA071"/>
            </w:tcBorders>
          </w:tcPr>
          <w:p>
            <w:pPr>
              <w:ind w:left="60"/>
              <w:spacing w:after="0"/>
              <w:rPr>
                <w:sz w:val="20"/>
                <w:szCs w:val="20"/>
                <w:color w:val="auto"/>
              </w:rPr>
            </w:pPr>
            <w:r>
              <w:rPr>
                <w:rFonts w:ascii="Arial" w:cs="Arial" w:eastAsia="Arial" w:hAnsi="Arial"/>
                <w:sz w:val="14"/>
                <w:szCs w:val="14"/>
                <w:color w:val="001641"/>
              </w:rPr>
              <w:t>Less: Value of stock awards reported in SCT</w:t>
            </w:r>
          </w:p>
        </w:tc>
        <w:tc>
          <w:tcPr>
            <w:tcW w:w="1200" w:type="dxa"/>
            <w:vAlign w:val="bottom"/>
            <w:tcBorders>
              <w:top w:val="single" w:sz="8" w:color="BFA071"/>
            </w:tcBorders>
          </w:tcPr>
          <w:p>
            <w:pPr>
              <w:jc w:val="right"/>
              <w:ind w:right="68"/>
              <w:spacing w:after="0"/>
              <w:rPr>
                <w:sz w:val="20"/>
                <w:szCs w:val="20"/>
                <w:color w:val="auto"/>
              </w:rPr>
            </w:pPr>
            <w:r>
              <w:rPr>
                <w:rFonts w:ascii="Arial" w:cs="Arial" w:eastAsia="Arial" w:hAnsi="Arial"/>
                <w:sz w:val="14"/>
                <w:szCs w:val="14"/>
                <w:color w:val="001641"/>
              </w:rPr>
              <w:t>13,541,857</w:t>
            </w:r>
          </w:p>
        </w:tc>
        <w:tc>
          <w:tcPr>
            <w:tcW w:w="1280" w:type="dxa"/>
            <w:vAlign w:val="bottom"/>
            <w:tcBorders>
              <w:top w:val="single" w:sz="8" w:color="BFA071"/>
            </w:tcBorders>
          </w:tcPr>
          <w:p>
            <w:pPr>
              <w:jc w:val="right"/>
              <w:ind w:right="88"/>
              <w:spacing w:after="0"/>
              <w:rPr>
                <w:sz w:val="20"/>
                <w:szCs w:val="20"/>
                <w:color w:val="auto"/>
              </w:rPr>
            </w:pPr>
            <w:r>
              <w:rPr>
                <w:rFonts w:ascii="Arial" w:cs="Arial" w:eastAsia="Arial" w:hAnsi="Arial"/>
                <w:sz w:val="14"/>
                <w:szCs w:val="14"/>
                <w:color w:val="001641"/>
              </w:rPr>
              <w:t>4,485,907</w:t>
            </w:r>
          </w:p>
        </w:tc>
      </w:tr>
      <w:tr>
        <w:trPr>
          <w:trHeight w:val="22"/>
        </w:trPr>
        <w:tc>
          <w:tcPr>
            <w:tcW w:w="6460" w:type="dxa"/>
            <w:vAlign w:val="bottom"/>
            <w:tcBorders>
              <w:bottom w:val="single" w:sz="8" w:color="BFA071"/>
            </w:tcBorders>
          </w:tcPr>
          <w:p>
            <w:pPr>
              <w:spacing w:after="0" w:line="20" w:lineRule="exact"/>
              <w:rPr>
                <w:sz w:val="1"/>
                <w:szCs w:val="1"/>
                <w:color w:val="auto"/>
              </w:rPr>
            </w:pPr>
          </w:p>
        </w:tc>
        <w:tc>
          <w:tcPr>
            <w:tcW w:w="1200" w:type="dxa"/>
            <w:vAlign w:val="bottom"/>
            <w:tcBorders>
              <w:bottom w:val="single" w:sz="8" w:color="BFA071"/>
            </w:tcBorders>
          </w:tcPr>
          <w:p>
            <w:pPr>
              <w:spacing w:after="0" w:line="20" w:lineRule="exact"/>
              <w:rPr>
                <w:sz w:val="1"/>
                <w:szCs w:val="1"/>
                <w:color w:val="auto"/>
              </w:rPr>
            </w:pPr>
          </w:p>
        </w:tc>
        <w:tc>
          <w:tcPr>
            <w:tcW w:w="1280" w:type="dxa"/>
            <w:vAlign w:val="bottom"/>
            <w:tcBorders>
              <w:bottom w:val="single" w:sz="8" w:color="BFA071"/>
            </w:tcBorders>
          </w:tcPr>
          <w:p>
            <w:pPr>
              <w:spacing w:after="0" w:line="20" w:lineRule="exact"/>
              <w:rPr>
                <w:sz w:val="1"/>
                <w:szCs w:val="1"/>
                <w:color w:val="auto"/>
              </w:rPr>
            </w:pPr>
          </w:p>
        </w:tc>
      </w:tr>
      <w:tr>
        <w:trPr>
          <w:trHeight w:val="202"/>
        </w:trPr>
        <w:tc>
          <w:tcPr>
            <w:tcW w:w="6460" w:type="dxa"/>
            <w:vAlign w:val="bottom"/>
          </w:tcPr>
          <w:p>
            <w:pPr>
              <w:ind w:left="60"/>
              <w:spacing w:after="0"/>
              <w:rPr>
                <w:sz w:val="20"/>
                <w:szCs w:val="20"/>
                <w:color w:val="auto"/>
              </w:rPr>
            </w:pPr>
            <w:r>
              <w:rPr>
                <w:rFonts w:ascii="Arial" w:cs="Arial" w:eastAsia="Arial" w:hAnsi="Arial"/>
                <w:sz w:val="14"/>
                <w:szCs w:val="14"/>
                <w:color w:val="001641"/>
              </w:rPr>
              <w:t>Plus: Year-end value of stock awards granted in fiscal year that are outstanding and unvested</w:t>
            </w:r>
          </w:p>
        </w:tc>
        <w:tc>
          <w:tcPr>
            <w:tcW w:w="1200" w:type="dxa"/>
            <w:vAlign w:val="bottom"/>
          </w:tcPr>
          <w:p>
            <w:pPr>
              <w:jc w:val="right"/>
              <w:ind w:right="68"/>
              <w:spacing w:after="0"/>
              <w:rPr>
                <w:sz w:val="20"/>
                <w:szCs w:val="20"/>
                <w:color w:val="auto"/>
              </w:rPr>
            </w:pPr>
            <w:r>
              <w:rPr>
                <w:rFonts w:ascii="Arial" w:cs="Arial" w:eastAsia="Arial" w:hAnsi="Arial"/>
                <w:sz w:val="14"/>
                <w:szCs w:val="14"/>
                <w:color w:val="001641"/>
              </w:rPr>
              <w:t>20,635,005</w:t>
            </w:r>
          </w:p>
        </w:tc>
        <w:tc>
          <w:tcPr>
            <w:tcW w:w="1280" w:type="dxa"/>
            <w:vAlign w:val="bottom"/>
          </w:tcPr>
          <w:p>
            <w:pPr>
              <w:jc w:val="right"/>
              <w:ind w:right="88"/>
              <w:spacing w:after="0"/>
              <w:rPr>
                <w:sz w:val="20"/>
                <w:szCs w:val="20"/>
                <w:color w:val="auto"/>
              </w:rPr>
            </w:pPr>
            <w:r>
              <w:rPr>
                <w:rFonts w:ascii="Arial" w:cs="Arial" w:eastAsia="Arial" w:hAnsi="Arial"/>
                <w:sz w:val="14"/>
                <w:szCs w:val="14"/>
                <w:color w:val="001641"/>
              </w:rPr>
              <w:t>6,108,979</w:t>
            </w:r>
          </w:p>
        </w:tc>
      </w:tr>
      <w:tr>
        <w:trPr>
          <w:trHeight w:val="22"/>
        </w:trPr>
        <w:tc>
          <w:tcPr>
            <w:tcW w:w="6460" w:type="dxa"/>
            <w:vAlign w:val="bottom"/>
            <w:tcBorders>
              <w:bottom w:val="single" w:sz="8" w:color="BFA071"/>
            </w:tcBorders>
          </w:tcPr>
          <w:p>
            <w:pPr>
              <w:spacing w:after="0" w:line="20" w:lineRule="exact"/>
              <w:rPr>
                <w:sz w:val="1"/>
                <w:szCs w:val="1"/>
                <w:color w:val="auto"/>
              </w:rPr>
            </w:pPr>
          </w:p>
        </w:tc>
        <w:tc>
          <w:tcPr>
            <w:tcW w:w="1200" w:type="dxa"/>
            <w:vAlign w:val="bottom"/>
            <w:tcBorders>
              <w:bottom w:val="single" w:sz="8" w:color="BFA071"/>
            </w:tcBorders>
          </w:tcPr>
          <w:p>
            <w:pPr>
              <w:spacing w:after="0" w:line="20" w:lineRule="exact"/>
              <w:rPr>
                <w:sz w:val="1"/>
                <w:szCs w:val="1"/>
                <w:color w:val="auto"/>
              </w:rPr>
            </w:pPr>
          </w:p>
        </w:tc>
        <w:tc>
          <w:tcPr>
            <w:tcW w:w="1280" w:type="dxa"/>
            <w:vAlign w:val="bottom"/>
            <w:tcBorders>
              <w:bottom w:val="single" w:sz="8" w:color="BFA071"/>
            </w:tcBorders>
          </w:tcPr>
          <w:p>
            <w:pPr>
              <w:spacing w:after="0" w:line="20" w:lineRule="exact"/>
              <w:rPr>
                <w:sz w:val="1"/>
                <w:szCs w:val="1"/>
                <w:color w:val="auto"/>
              </w:rPr>
            </w:pPr>
          </w:p>
        </w:tc>
      </w:tr>
      <w:tr>
        <w:trPr>
          <w:trHeight w:val="173"/>
        </w:trPr>
        <w:tc>
          <w:tcPr>
            <w:tcW w:w="6460" w:type="dxa"/>
            <w:vAlign w:val="bottom"/>
          </w:tcPr>
          <w:p>
            <w:pPr>
              <w:ind w:left="60"/>
              <w:spacing w:after="0"/>
              <w:rPr>
                <w:sz w:val="20"/>
                <w:szCs w:val="20"/>
                <w:color w:val="auto"/>
              </w:rPr>
            </w:pPr>
            <w:r>
              <w:rPr>
                <w:rFonts w:ascii="Arial" w:cs="Arial" w:eastAsia="Arial" w:hAnsi="Arial"/>
                <w:sz w:val="14"/>
                <w:szCs w:val="14"/>
                <w:color w:val="001641"/>
              </w:rPr>
              <w:t>Plus: Change in fair value (from prior year-end) of stock awards granted in prior years that are</w:t>
            </w:r>
          </w:p>
        </w:tc>
        <w:tc>
          <w:tcPr>
            <w:tcW w:w="1200" w:type="dxa"/>
            <w:vAlign w:val="bottom"/>
          </w:tcPr>
          <w:p>
            <w:pPr>
              <w:jc w:val="right"/>
              <w:ind w:right="68"/>
              <w:spacing w:after="0"/>
              <w:rPr>
                <w:sz w:val="20"/>
                <w:szCs w:val="20"/>
                <w:color w:val="auto"/>
              </w:rPr>
            </w:pPr>
            <w:r>
              <w:rPr>
                <w:rFonts w:ascii="Arial" w:cs="Arial" w:eastAsia="Arial" w:hAnsi="Arial"/>
                <w:sz w:val="14"/>
                <w:szCs w:val="14"/>
                <w:color w:val="001641"/>
              </w:rPr>
              <w:t>11,161,753</w:t>
            </w:r>
          </w:p>
        </w:tc>
        <w:tc>
          <w:tcPr>
            <w:tcW w:w="1280" w:type="dxa"/>
            <w:vAlign w:val="bottom"/>
          </w:tcPr>
          <w:p>
            <w:pPr>
              <w:jc w:val="right"/>
              <w:ind w:right="88"/>
              <w:spacing w:after="0"/>
              <w:rPr>
                <w:sz w:val="20"/>
                <w:szCs w:val="20"/>
                <w:color w:val="auto"/>
              </w:rPr>
            </w:pPr>
            <w:r>
              <w:rPr>
                <w:rFonts w:ascii="Arial" w:cs="Arial" w:eastAsia="Arial" w:hAnsi="Arial"/>
                <w:sz w:val="14"/>
                <w:szCs w:val="14"/>
                <w:color w:val="001641"/>
              </w:rPr>
              <w:t>5,447,890</w:t>
            </w:r>
          </w:p>
        </w:tc>
      </w:tr>
      <w:tr>
        <w:trPr>
          <w:trHeight w:val="190"/>
        </w:trPr>
        <w:tc>
          <w:tcPr>
            <w:tcW w:w="6460" w:type="dxa"/>
            <w:vAlign w:val="bottom"/>
          </w:tcPr>
          <w:p>
            <w:pPr>
              <w:ind w:left="60"/>
              <w:spacing w:after="0"/>
              <w:rPr>
                <w:sz w:val="20"/>
                <w:szCs w:val="20"/>
                <w:color w:val="auto"/>
              </w:rPr>
            </w:pPr>
            <w:r>
              <w:rPr>
                <w:rFonts w:ascii="Arial" w:cs="Arial" w:eastAsia="Arial" w:hAnsi="Arial"/>
                <w:sz w:val="14"/>
                <w:szCs w:val="14"/>
                <w:color w:val="001641"/>
              </w:rPr>
              <w:t>outstanding and unvested</w:t>
            </w:r>
          </w:p>
        </w:tc>
        <w:tc>
          <w:tcPr>
            <w:tcW w:w="1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
        </w:trPr>
        <w:tc>
          <w:tcPr>
            <w:tcW w:w="6460" w:type="dxa"/>
            <w:vAlign w:val="bottom"/>
            <w:tcBorders>
              <w:bottom w:val="single" w:sz="8" w:color="BFA071"/>
            </w:tcBorders>
          </w:tcPr>
          <w:p>
            <w:pPr>
              <w:spacing w:after="0" w:line="20" w:lineRule="exact"/>
              <w:rPr>
                <w:sz w:val="1"/>
                <w:szCs w:val="1"/>
                <w:color w:val="auto"/>
              </w:rPr>
            </w:pPr>
          </w:p>
        </w:tc>
        <w:tc>
          <w:tcPr>
            <w:tcW w:w="1200" w:type="dxa"/>
            <w:vAlign w:val="bottom"/>
            <w:tcBorders>
              <w:bottom w:val="single" w:sz="8" w:color="BFA071"/>
            </w:tcBorders>
          </w:tcPr>
          <w:p>
            <w:pPr>
              <w:spacing w:after="0" w:line="20" w:lineRule="exact"/>
              <w:rPr>
                <w:sz w:val="1"/>
                <w:szCs w:val="1"/>
                <w:color w:val="auto"/>
              </w:rPr>
            </w:pPr>
          </w:p>
        </w:tc>
        <w:tc>
          <w:tcPr>
            <w:tcW w:w="1280" w:type="dxa"/>
            <w:vAlign w:val="bottom"/>
            <w:tcBorders>
              <w:bottom w:val="single" w:sz="8" w:color="BFA071"/>
            </w:tcBorders>
          </w:tcPr>
          <w:p>
            <w:pPr>
              <w:spacing w:after="0" w:line="20" w:lineRule="exact"/>
              <w:rPr>
                <w:sz w:val="1"/>
                <w:szCs w:val="1"/>
                <w:color w:val="auto"/>
              </w:rPr>
            </w:pPr>
          </w:p>
        </w:tc>
      </w:tr>
      <w:tr>
        <w:trPr>
          <w:trHeight w:val="201"/>
        </w:trPr>
        <w:tc>
          <w:tcPr>
            <w:tcW w:w="6460" w:type="dxa"/>
            <w:vAlign w:val="bottom"/>
          </w:tcPr>
          <w:p>
            <w:pPr>
              <w:ind w:left="60"/>
              <w:spacing w:after="0"/>
              <w:rPr>
                <w:sz w:val="20"/>
                <w:szCs w:val="20"/>
                <w:color w:val="auto"/>
              </w:rPr>
            </w:pPr>
            <w:r>
              <w:rPr>
                <w:rFonts w:ascii="Arial" w:cs="Arial" w:eastAsia="Arial" w:hAnsi="Arial"/>
                <w:sz w:val="14"/>
                <w:szCs w:val="14"/>
                <w:color w:val="001641"/>
              </w:rPr>
              <w:t>Plus: Fair value of awards granted this year and that vested this year</w:t>
            </w:r>
          </w:p>
        </w:tc>
        <w:tc>
          <w:tcPr>
            <w:tcW w:w="1200" w:type="dxa"/>
            <w:vAlign w:val="bottom"/>
          </w:tcPr>
          <w:p>
            <w:pPr>
              <w:jc w:val="right"/>
              <w:ind w:right="68"/>
              <w:spacing w:after="0"/>
              <w:rPr>
                <w:sz w:val="20"/>
                <w:szCs w:val="20"/>
                <w:color w:val="auto"/>
              </w:rPr>
            </w:pPr>
            <w:r>
              <w:rPr>
                <w:rFonts w:ascii="Arial" w:cs="Arial" w:eastAsia="Arial" w:hAnsi="Arial"/>
                <w:sz w:val="14"/>
                <w:szCs w:val="14"/>
                <w:color w:val="001641"/>
              </w:rPr>
              <w:t>0</w:t>
            </w:r>
          </w:p>
        </w:tc>
        <w:tc>
          <w:tcPr>
            <w:tcW w:w="1280" w:type="dxa"/>
            <w:vAlign w:val="bottom"/>
          </w:tcPr>
          <w:p>
            <w:pPr>
              <w:jc w:val="right"/>
              <w:ind w:right="88"/>
              <w:spacing w:after="0"/>
              <w:rPr>
                <w:sz w:val="20"/>
                <w:szCs w:val="20"/>
                <w:color w:val="auto"/>
              </w:rPr>
            </w:pPr>
            <w:r>
              <w:rPr>
                <w:rFonts w:ascii="Arial" w:cs="Arial" w:eastAsia="Arial" w:hAnsi="Arial"/>
                <w:sz w:val="14"/>
                <w:szCs w:val="14"/>
                <w:color w:val="001641"/>
              </w:rPr>
              <w:t>1,054,140</w:t>
            </w:r>
          </w:p>
        </w:tc>
      </w:tr>
      <w:tr>
        <w:trPr>
          <w:trHeight w:val="22"/>
        </w:trPr>
        <w:tc>
          <w:tcPr>
            <w:tcW w:w="6460" w:type="dxa"/>
            <w:vAlign w:val="bottom"/>
            <w:tcBorders>
              <w:bottom w:val="single" w:sz="8" w:color="BFA071"/>
            </w:tcBorders>
          </w:tcPr>
          <w:p>
            <w:pPr>
              <w:spacing w:after="0" w:line="20" w:lineRule="exact"/>
              <w:rPr>
                <w:sz w:val="1"/>
                <w:szCs w:val="1"/>
                <w:color w:val="auto"/>
              </w:rPr>
            </w:pPr>
          </w:p>
        </w:tc>
        <w:tc>
          <w:tcPr>
            <w:tcW w:w="1200" w:type="dxa"/>
            <w:vAlign w:val="bottom"/>
            <w:tcBorders>
              <w:bottom w:val="single" w:sz="8" w:color="BFA071"/>
            </w:tcBorders>
          </w:tcPr>
          <w:p>
            <w:pPr>
              <w:spacing w:after="0" w:line="20" w:lineRule="exact"/>
              <w:rPr>
                <w:sz w:val="1"/>
                <w:szCs w:val="1"/>
                <w:color w:val="auto"/>
              </w:rPr>
            </w:pPr>
          </w:p>
        </w:tc>
        <w:tc>
          <w:tcPr>
            <w:tcW w:w="1280" w:type="dxa"/>
            <w:vAlign w:val="bottom"/>
            <w:tcBorders>
              <w:bottom w:val="single" w:sz="8" w:color="BFA071"/>
            </w:tcBorders>
          </w:tcPr>
          <w:p>
            <w:pPr>
              <w:spacing w:after="0" w:line="20" w:lineRule="exact"/>
              <w:rPr>
                <w:sz w:val="1"/>
                <w:szCs w:val="1"/>
                <w:color w:val="auto"/>
              </w:rPr>
            </w:pPr>
          </w:p>
        </w:tc>
      </w:tr>
      <w:tr>
        <w:trPr>
          <w:trHeight w:val="202"/>
        </w:trPr>
        <w:tc>
          <w:tcPr>
            <w:tcW w:w="6460" w:type="dxa"/>
            <w:vAlign w:val="bottom"/>
          </w:tcPr>
          <w:p>
            <w:pPr>
              <w:ind w:left="60"/>
              <w:spacing w:after="0"/>
              <w:rPr>
                <w:sz w:val="20"/>
                <w:szCs w:val="20"/>
                <w:color w:val="auto"/>
              </w:rPr>
            </w:pPr>
            <w:r>
              <w:rPr>
                <w:rFonts w:ascii="Arial" w:cs="Arial" w:eastAsia="Arial" w:hAnsi="Arial"/>
                <w:sz w:val="14"/>
                <w:szCs w:val="14"/>
                <w:color w:val="001641"/>
              </w:rPr>
              <w:t>Plus: Change in fair value (from prior year-end) of prior year stock awards that vested this year</w:t>
            </w:r>
          </w:p>
        </w:tc>
        <w:tc>
          <w:tcPr>
            <w:tcW w:w="1200" w:type="dxa"/>
            <w:vAlign w:val="bottom"/>
          </w:tcPr>
          <w:p>
            <w:pPr>
              <w:jc w:val="right"/>
              <w:ind w:right="28"/>
              <w:spacing w:after="0"/>
              <w:rPr>
                <w:sz w:val="20"/>
                <w:szCs w:val="20"/>
                <w:color w:val="auto"/>
              </w:rPr>
            </w:pPr>
            <w:r>
              <w:rPr>
                <w:rFonts w:ascii="Arial" w:cs="Arial" w:eastAsia="Arial" w:hAnsi="Arial"/>
                <w:sz w:val="14"/>
                <w:szCs w:val="14"/>
                <w:color w:val="001641"/>
              </w:rPr>
              <w:t>(1,126,538)</w:t>
            </w:r>
          </w:p>
        </w:tc>
        <w:tc>
          <w:tcPr>
            <w:tcW w:w="1280" w:type="dxa"/>
            <w:vAlign w:val="bottom"/>
          </w:tcPr>
          <w:p>
            <w:pPr>
              <w:jc w:val="right"/>
              <w:ind w:right="48"/>
              <w:spacing w:after="0"/>
              <w:rPr>
                <w:sz w:val="20"/>
                <w:szCs w:val="20"/>
                <w:color w:val="auto"/>
              </w:rPr>
            </w:pPr>
            <w:r>
              <w:rPr>
                <w:rFonts w:ascii="Arial" w:cs="Arial" w:eastAsia="Arial" w:hAnsi="Arial"/>
                <w:sz w:val="14"/>
                <w:szCs w:val="14"/>
                <w:color w:val="001641"/>
              </w:rPr>
              <w:t>(71,854)</w:t>
            </w:r>
          </w:p>
        </w:tc>
      </w:tr>
      <w:tr>
        <w:trPr>
          <w:trHeight w:val="22"/>
        </w:trPr>
        <w:tc>
          <w:tcPr>
            <w:tcW w:w="6460" w:type="dxa"/>
            <w:vAlign w:val="bottom"/>
            <w:tcBorders>
              <w:bottom w:val="single" w:sz="8" w:color="BFA071"/>
            </w:tcBorders>
          </w:tcPr>
          <w:p>
            <w:pPr>
              <w:spacing w:after="0" w:line="20" w:lineRule="exact"/>
              <w:rPr>
                <w:sz w:val="1"/>
                <w:szCs w:val="1"/>
                <w:color w:val="auto"/>
              </w:rPr>
            </w:pPr>
          </w:p>
        </w:tc>
        <w:tc>
          <w:tcPr>
            <w:tcW w:w="1200" w:type="dxa"/>
            <w:vAlign w:val="bottom"/>
            <w:tcBorders>
              <w:bottom w:val="single" w:sz="8" w:color="BFA071"/>
            </w:tcBorders>
          </w:tcPr>
          <w:p>
            <w:pPr>
              <w:spacing w:after="0" w:line="20" w:lineRule="exact"/>
              <w:rPr>
                <w:sz w:val="1"/>
                <w:szCs w:val="1"/>
                <w:color w:val="auto"/>
              </w:rPr>
            </w:pPr>
          </w:p>
        </w:tc>
        <w:tc>
          <w:tcPr>
            <w:tcW w:w="1280" w:type="dxa"/>
            <w:vAlign w:val="bottom"/>
            <w:tcBorders>
              <w:bottom w:val="single" w:sz="8" w:color="BFA071"/>
            </w:tcBorders>
          </w:tcPr>
          <w:p>
            <w:pPr>
              <w:spacing w:after="0" w:line="20" w:lineRule="exact"/>
              <w:rPr>
                <w:sz w:val="1"/>
                <w:szCs w:val="1"/>
                <w:color w:val="auto"/>
              </w:rPr>
            </w:pPr>
          </w:p>
        </w:tc>
      </w:tr>
      <w:tr>
        <w:trPr>
          <w:trHeight w:val="201"/>
        </w:trPr>
        <w:tc>
          <w:tcPr>
            <w:tcW w:w="6460" w:type="dxa"/>
            <w:vAlign w:val="bottom"/>
          </w:tcPr>
          <w:p>
            <w:pPr>
              <w:ind w:left="60"/>
              <w:spacing w:after="0"/>
              <w:rPr>
                <w:sz w:val="20"/>
                <w:szCs w:val="20"/>
                <w:color w:val="auto"/>
              </w:rPr>
            </w:pPr>
            <w:r>
              <w:rPr>
                <w:rFonts w:ascii="Arial" w:cs="Arial" w:eastAsia="Arial" w:hAnsi="Arial"/>
                <w:sz w:val="14"/>
                <w:szCs w:val="14"/>
                <w:color w:val="001641"/>
              </w:rPr>
              <w:t>Less: Prior year-end fair value of stock awards granted in prior years that failed to vest this year</w:t>
            </w:r>
          </w:p>
        </w:tc>
        <w:tc>
          <w:tcPr>
            <w:tcW w:w="1200" w:type="dxa"/>
            <w:vAlign w:val="bottom"/>
          </w:tcPr>
          <w:p>
            <w:pPr>
              <w:jc w:val="right"/>
              <w:ind w:right="68"/>
              <w:spacing w:after="0"/>
              <w:rPr>
                <w:sz w:val="20"/>
                <w:szCs w:val="20"/>
                <w:color w:val="auto"/>
              </w:rPr>
            </w:pPr>
            <w:r>
              <w:rPr>
                <w:rFonts w:ascii="Arial" w:cs="Arial" w:eastAsia="Arial" w:hAnsi="Arial"/>
                <w:sz w:val="14"/>
                <w:szCs w:val="14"/>
                <w:color w:val="001641"/>
              </w:rPr>
              <w:t>0</w:t>
            </w:r>
          </w:p>
        </w:tc>
        <w:tc>
          <w:tcPr>
            <w:tcW w:w="1280" w:type="dxa"/>
            <w:vAlign w:val="bottom"/>
          </w:tcPr>
          <w:p>
            <w:pPr>
              <w:jc w:val="right"/>
              <w:ind w:right="88"/>
              <w:spacing w:after="0"/>
              <w:rPr>
                <w:sz w:val="20"/>
                <w:szCs w:val="20"/>
                <w:color w:val="auto"/>
              </w:rPr>
            </w:pPr>
            <w:r>
              <w:rPr>
                <w:rFonts w:ascii="Arial" w:cs="Arial" w:eastAsia="Arial" w:hAnsi="Arial"/>
                <w:sz w:val="14"/>
                <w:szCs w:val="14"/>
                <w:color w:val="001641"/>
              </w:rPr>
              <w:t>0</w:t>
            </w:r>
          </w:p>
        </w:tc>
      </w:tr>
      <w:tr>
        <w:trPr>
          <w:trHeight w:val="22"/>
        </w:trPr>
        <w:tc>
          <w:tcPr>
            <w:tcW w:w="6460" w:type="dxa"/>
            <w:vAlign w:val="bottom"/>
            <w:tcBorders>
              <w:bottom w:val="single" w:sz="8" w:color="BFA071"/>
            </w:tcBorders>
          </w:tcPr>
          <w:p>
            <w:pPr>
              <w:spacing w:after="0" w:line="20" w:lineRule="exact"/>
              <w:rPr>
                <w:sz w:val="1"/>
                <w:szCs w:val="1"/>
                <w:color w:val="auto"/>
              </w:rPr>
            </w:pPr>
          </w:p>
        </w:tc>
        <w:tc>
          <w:tcPr>
            <w:tcW w:w="1200" w:type="dxa"/>
            <w:vAlign w:val="bottom"/>
            <w:tcBorders>
              <w:bottom w:val="single" w:sz="8" w:color="BFA071"/>
            </w:tcBorders>
          </w:tcPr>
          <w:p>
            <w:pPr>
              <w:spacing w:after="0" w:line="20" w:lineRule="exact"/>
              <w:rPr>
                <w:sz w:val="1"/>
                <w:szCs w:val="1"/>
                <w:color w:val="auto"/>
              </w:rPr>
            </w:pPr>
          </w:p>
        </w:tc>
        <w:tc>
          <w:tcPr>
            <w:tcW w:w="1280" w:type="dxa"/>
            <w:vAlign w:val="bottom"/>
            <w:tcBorders>
              <w:bottom w:val="single" w:sz="8" w:color="BFA071"/>
            </w:tcBorders>
          </w:tcPr>
          <w:p>
            <w:pPr>
              <w:spacing w:after="0" w:line="20" w:lineRule="exact"/>
              <w:rPr>
                <w:sz w:val="1"/>
                <w:szCs w:val="1"/>
                <w:color w:val="auto"/>
              </w:rPr>
            </w:pPr>
          </w:p>
        </w:tc>
      </w:tr>
      <w:tr>
        <w:trPr>
          <w:trHeight w:val="190"/>
        </w:trPr>
        <w:tc>
          <w:tcPr>
            <w:tcW w:w="6460" w:type="dxa"/>
            <w:vAlign w:val="bottom"/>
            <w:tcBorders>
              <w:bottom w:val="single" w:sz="8" w:color="EBE1D2"/>
            </w:tcBorders>
            <w:shd w:val="clear" w:color="auto" w:fill="EBE1D2"/>
          </w:tcPr>
          <w:p>
            <w:pPr>
              <w:ind w:left="60"/>
              <w:spacing w:after="0"/>
              <w:rPr>
                <w:sz w:val="20"/>
                <w:szCs w:val="20"/>
                <w:color w:val="auto"/>
              </w:rPr>
            </w:pPr>
            <w:r>
              <w:rPr>
                <w:rFonts w:ascii="Arial" w:cs="Arial" w:eastAsia="Arial" w:hAnsi="Arial"/>
                <w:sz w:val="14"/>
                <w:szCs w:val="14"/>
                <w:color w:val="001641"/>
              </w:rPr>
              <w:t>Compensation Actually Paid for Fiscal 2025</w:t>
            </w:r>
          </w:p>
        </w:tc>
        <w:tc>
          <w:tcPr>
            <w:tcW w:w="1200" w:type="dxa"/>
            <w:vAlign w:val="bottom"/>
            <w:tcBorders>
              <w:bottom w:val="single" w:sz="8" w:color="EBE1D2"/>
            </w:tcBorders>
            <w:shd w:val="clear" w:color="auto" w:fill="EBE1D2"/>
          </w:tcPr>
          <w:p>
            <w:pPr>
              <w:jc w:val="right"/>
              <w:ind w:right="68"/>
              <w:spacing w:after="0"/>
              <w:rPr>
                <w:sz w:val="20"/>
                <w:szCs w:val="20"/>
                <w:color w:val="auto"/>
              </w:rPr>
            </w:pPr>
            <w:r>
              <w:rPr>
                <w:rFonts w:ascii="Arial" w:cs="Arial" w:eastAsia="Arial" w:hAnsi="Arial"/>
                <w:sz w:val="14"/>
                <w:szCs w:val="14"/>
                <w:color w:val="001641"/>
              </w:rPr>
              <w:t>40,207,798</w:t>
            </w:r>
          </w:p>
        </w:tc>
        <w:tc>
          <w:tcPr>
            <w:tcW w:w="1280" w:type="dxa"/>
            <w:vAlign w:val="bottom"/>
            <w:tcBorders>
              <w:bottom w:val="single" w:sz="8" w:color="EBE1D2"/>
            </w:tcBorders>
            <w:shd w:val="clear" w:color="auto" w:fill="EBE1D2"/>
          </w:tcPr>
          <w:p>
            <w:pPr>
              <w:jc w:val="right"/>
              <w:ind w:right="88"/>
              <w:spacing w:after="0"/>
              <w:rPr>
                <w:sz w:val="20"/>
                <w:szCs w:val="20"/>
                <w:color w:val="auto"/>
              </w:rPr>
            </w:pPr>
            <w:r>
              <w:rPr>
                <w:rFonts w:ascii="Arial" w:cs="Arial" w:eastAsia="Arial" w:hAnsi="Arial"/>
                <w:sz w:val="14"/>
                <w:szCs w:val="14"/>
                <w:color w:val="001641"/>
              </w:rPr>
              <w:t>17,701,957</w:t>
            </w:r>
          </w:p>
        </w:tc>
      </w:tr>
      <w:tr>
        <w:trPr>
          <w:trHeight w:val="20"/>
        </w:trPr>
        <w:tc>
          <w:tcPr>
            <w:tcW w:w="6460" w:type="dxa"/>
            <w:vAlign w:val="bottom"/>
            <w:shd w:val="clear" w:color="auto" w:fill="001641"/>
          </w:tcPr>
          <w:p>
            <w:pPr>
              <w:spacing w:after="0" w:line="20" w:lineRule="exact"/>
              <w:rPr>
                <w:sz w:val="1"/>
                <w:szCs w:val="1"/>
                <w:color w:val="auto"/>
              </w:rPr>
            </w:pPr>
          </w:p>
        </w:tc>
        <w:tc>
          <w:tcPr>
            <w:tcW w:w="1200" w:type="dxa"/>
            <w:vAlign w:val="bottom"/>
            <w:shd w:val="clear" w:color="auto" w:fill="001641"/>
          </w:tcPr>
          <w:p>
            <w:pPr>
              <w:spacing w:after="0" w:line="20" w:lineRule="exact"/>
              <w:rPr>
                <w:sz w:val="1"/>
                <w:szCs w:val="1"/>
                <w:color w:val="auto"/>
              </w:rPr>
            </w:pPr>
          </w:p>
        </w:tc>
        <w:tc>
          <w:tcPr>
            <w:tcW w:w="1280" w:type="dxa"/>
            <w:vAlign w:val="bottom"/>
            <w:shd w:val="clear" w:color="auto" w:fill="001641"/>
          </w:tcPr>
          <w:p>
            <w:pPr>
              <w:spacing w:after="0" w:line="20" w:lineRule="exact"/>
              <w:rPr>
                <w:sz w:val="1"/>
                <w:szCs w:val="1"/>
                <w:color w:val="auto"/>
              </w:rPr>
            </w:pPr>
          </w:p>
        </w:tc>
      </w:tr>
    </w:tbl>
    <w:p>
      <w:pPr>
        <w:spacing w:after="0" w:line="153" w:lineRule="exact"/>
        <w:rPr>
          <w:sz w:val="20"/>
          <w:szCs w:val="20"/>
          <w:color w:val="auto"/>
        </w:rPr>
      </w:pPr>
    </w:p>
    <w:p>
      <w:pPr>
        <w:ind w:left="1160" w:right="1040" w:hanging="246"/>
        <w:spacing w:after="0" w:line="285" w:lineRule="auto"/>
        <w:tabs>
          <w:tab w:leader="none" w:pos="1160" w:val="left"/>
        </w:tabs>
        <w:numPr>
          <w:ilvl w:val="0"/>
          <w:numId w:val="96"/>
        </w:numPr>
        <w:rPr>
          <w:rFonts w:ascii="Arial" w:cs="Arial" w:eastAsia="Arial" w:hAnsi="Arial"/>
          <w:sz w:val="14"/>
          <w:szCs w:val="14"/>
          <w:color w:val="4C4C4C"/>
        </w:rPr>
      </w:pPr>
      <w:r>
        <w:rPr>
          <w:rFonts w:ascii="Arial" w:cs="Arial" w:eastAsia="Arial" w:hAnsi="Arial"/>
          <w:sz w:val="14"/>
          <w:szCs w:val="14"/>
          <w:color w:val="4C4C4C"/>
        </w:rPr>
        <w:t>For Fiscal 2024, the values included in the “CAP to CEO” and “Average CAP to Non-CEO NEOs” columns reflect the following adjustments from the values shown in columns (b) and (d), respectively:</w:t>
      </w:r>
    </w:p>
    <w:p>
      <w:pPr>
        <w:spacing w:after="0" w:line="45" w:lineRule="exact"/>
        <w:rPr>
          <w:sz w:val="20"/>
          <w:szCs w:val="20"/>
          <w:color w:val="auto"/>
        </w:rPr>
      </w:pPr>
    </w:p>
    <w:tbl>
      <w:tblPr>
        <w:tblLayout w:type="fixed"/>
        <w:tblInd w:w="1160" w:type="dxa"/>
        <w:tblCellMar>
          <w:top w:w="0" w:type="dxa"/>
          <w:left w:w="0" w:type="dxa"/>
          <w:bottom w:w="0" w:type="dxa"/>
          <w:right w:w="0" w:type="dxa"/>
        </w:tblCellMar>
      </w:tblPr>
      <w:tr>
        <w:trPr>
          <w:trHeight w:val="261"/>
        </w:trPr>
        <w:tc>
          <w:tcPr>
            <w:tcW w:w="6500" w:type="dxa"/>
            <w:vAlign w:val="bottom"/>
            <w:shd w:val="clear" w:color="auto" w:fill="001641"/>
          </w:tcPr>
          <w:p>
            <w:pPr>
              <w:spacing w:after="0"/>
              <w:rPr>
                <w:sz w:val="22"/>
                <w:szCs w:val="22"/>
                <w:color w:val="auto"/>
              </w:rPr>
            </w:pPr>
          </w:p>
        </w:tc>
        <w:tc>
          <w:tcPr>
            <w:tcW w:w="1180" w:type="dxa"/>
            <w:vAlign w:val="bottom"/>
            <w:shd w:val="clear" w:color="auto" w:fill="001641"/>
          </w:tcPr>
          <w:p>
            <w:pPr>
              <w:spacing w:after="0"/>
              <w:rPr>
                <w:sz w:val="22"/>
                <w:szCs w:val="22"/>
                <w:color w:val="auto"/>
              </w:rPr>
            </w:pPr>
          </w:p>
        </w:tc>
        <w:tc>
          <w:tcPr>
            <w:tcW w:w="1260" w:type="dxa"/>
            <w:vAlign w:val="bottom"/>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Average</w:t>
            </w:r>
          </w:p>
        </w:tc>
      </w:tr>
      <w:tr>
        <w:trPr>
          <w:trHeight w:val="212"/>
        </w:trPr>
        <w:tc>
          <w:tcPr>
            <w:tcW w:w="6500" w:type="dxa"/>
            <w:vAlign w:val="bottom"/>
            <w:shd w:val="clear" w:color="auto" w:fill="001641"/>
          </w:tcPr>
          <w:p>
            <w:pPr>
              <w:spacing w:after="0"/>
              <w:rPr>
                <w:sz w:val="18"/>
                <w:szCs w:val="18"/>
                <w:color w:val="auto"/>
              </w:rPr>
            </w:pPr>
          </w:p>
        </w:tc>
        <w:tc>
          <w:tcPr>
            <w:tcW w:w="118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CEO</w:t>
            </w:r>
          </w:p>
        </w:tc>
        <w:tc>
          <w:tcPr>
            <w:tcW w:w="1260" w:type="dxa"/>
            <w:vAlign w:val="bottom"/>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Non-CEO NEOs</w:t>
            </w:r>
          </w:p>
        </w:tc>
      </w:tr>
      <w:tr>
        <w:trPr>
          <w:trHeight w:val="248"/>
        </w:trPr>
        <w:tc>
          <w:tcPr>
            <w:tcW w:w="6500" w:type="dxa"/>
            <w:vAlign w:val="bottom"/>
            <w:tcBorders>
              <w:bottom w:val="single" w:sz="8" w:color="EBE1D2"/>
            </w:tcBorders>
            <w:shd w:val="clear" w:color="auto" w:fill="EBE1D2"/>
          </w:tcPr>
          <w:p>
            <w:pPr>
              <w:ind w:left="60"/>
              <w:spacing w:after="0"/>
              <w:rPr>
                <w:sz w:val="20"/>
                <w:szCs w:val="20"/>
                <w:color w:val="auto"/>
              </w:rPr>
            </w:pPr>
            <w:r>
              <w:rPr>
                <w:rFonts w:ascii="Arial" w:cs="Arial" w:eastAsia="Arial" w:hAnsi="Arial"/>
                <w:sz w:val="14"/>
                <w:szCs w:val="14"/>
                <w:color w:val="001641"/>
              </w:rPr>
              <w:t>Total Reported in Fiscal 2024 SCT</w:t>
            </w:r>
          </w:p>
        </w:tc>
        <w:tc>
          <w:tcPr>
            <w:tcW w:w="1180" w:type="dxa"/>
            <w:vAlign w:val="bottom"/>
            <w:tcBorders>
              <w:bottom w:val="single" w:sz="8" w:color="EBE1D2"/>
            </w:tcBorders>
            <w:shd w:val="clear" w:color="auto" w:fill="EBE1D2"/>
          </w:tcPr>
          <w:p>
            <w:pPr>
              <w:jc w:val="right"/>
              <w:ind w:right="8"/>
              <w:spacing w:after="0"/>
              <w:rPr>
                <w:sz w:val="20"/>
                <w:szCs w:val="20"/>
                <w:color w:val="auto"/>
              </w:rPr>
            </w:pPr>
            <w:r>
              <w:rPr>
                <w:rFonts w:ascii="Arial" w:cs="Arial" w:eastAsia="Arial" w:hAnsi="Arial"/>
                <w:sz w:val="14"/>
                <w:szCs w:val="14"/>
                <w:color w:val="001641"/>
              </w:rPr>
              <w:t>16,628,568</w:t>
            </w:r>
          </w:p>
        </w:tc>
        <w:tc>
          <w:tcPr>
            <w:tcW w:w="1260" w:type="dxa"/>
            <w:vAlign w:val="bottom"/>
            <w:tcBorders>
              <w:bottom w:val="single" w:sz="8" w:color="EBE1D2"/>
            </w:tcBorders>
            <w:shd w:val="clear" w:color="auto" w:fill="EBE1D2"/>
          </w:tcPr>
          <w:p>
            <w:pPr>
              <w:jc w:val="right"/>
              <w:ind w:right="128"/>
              <w:spacing w:after="0"/>
              <w:rPr>
                <w:sz w:val="20"/>
                <w:szCs w:val="20"/>
                <w:color w:val="auto"/>
              </w:rPr>
            </w:pPr>
            <w:r>
              <w:rPr>
                <w:rFonts w:ascii="Arial" w:cs="Arial" w:eastAsia="Arial" w:hAnsi="Arial"/>
                <w:sz w:val="14"/>
                <w:szCs w:val="14"/>
                <w:color w:val="001641"/>
              </w:rPr>
              <w:t>8,208,876</w:t>
            </w:r>
          </w:p>
        </w:tc>
      </w:tr>
      <w:tr>
        <w:trPr>
          <w:trHeight w:val="201"/>
        </w:trPr>
        <w:tc>
          <w:tcPr>
            <w:tcW w:w="6500" w:type="dxa"/>
            <w:vAlign w:val="bottom"/>
            <w:tcBorders>
              <w:top w:val="single" w:sz="8" w:color="BFA071"/>
            </w:tcBorders>
          </w:tcPr>
          <w:p>
            <w:pPr>
              <w:ind w:left="60"/>
              <w:spacing w:after="0"/>
              <w:rPr>
                <w:sz w:val="20"/>
                <w:szCs w:val="20"/>
                <w:color w:val="auto"/>
              </w:rPr>
            </w:pPr>
            <w:r>
              <w:rPr>
                <w:rFonts w:ascii="Arial" w:cs="Arial" w:eastAsia="Arial" w:hAnsi="Arial"/>
                <w:sz w:val="14"/>
                <w:szCs w:val="14"/>
                <w:color w:val="001641"/>
              </w:rPr>
              <w:t>Less: Value of stock awards reported in SCT</w:t>
            </w:r>
          </w:p>
        </w:tc>
        <w:tc>
          <w:tcPr>
            <w:tcW w:w="1180" w:type="dxa"/>
            <w:vAlign w:val="bottom"/>
            <w:tcBorders>
              <w:top w:val="single" w:sz="8" w:color="BFA071"/>
            </w:tcBorders>
          </w:tcPr>
          <w:p>
            <w:pPr>
              <w:jc w:val="right"/>
              <w:ind w:right="8"/>
              <w:spacing w:after="0"/>
              <w:rPr>
                <w:sz w:val="20"/>
                <w:szCs w:val="20"/>
                <w:color w:val="auto"/>
              </w:rPr>
            </w:pPr>
            <w:r>
              <w:rPr>
                <w:rFonts w:ascii="Arial" w:cs="Arial" w:eastAsia="Arial" w:hAnsi="Arial"/>
                <w:sz w:val="14"/>
                <w:szCs w:val="14"/>
                <w:color w:val="001641"/>
              </w:rPr>
              <w:t>10,651,323</w:t>
            </w:r>
          </w:p>
        </w:tc>
        <w:tc>
          <w:tcPr>
            <w:tcW w:w="1260" w:type="dxa"/>
            <w:vAlign w:val="bottom"/>
            <w:tcBorders>
              <w:top w:val="single" w:sz="8" w:color="BFA071"/>
            </w:tcBorders>
          </w:tcPr>
          <w:p>
            <w:pPr>
              <w:jc w:val="right"/>
              <w:ind w:right="128"/>
              <w:spacing w:after="0"/>
              <w:rPr>
                <w:sz w:val="20"/>
                <w:szCs w:val="20"/>
                <w:color w:val="auto"/>
              </w:rPr>
            </w:pPr>
            <w:r>
              <w:rPr>
                <w:rFonts w:ascii="Arial" w:cs="Arial" w:eastAsia="Arial" w:hAnsi="Arial"/>
                <w:sz w:val="14"/>
                <w:szCs w:val="14"/>
                <w:color w:val="001641"/>
              </w:rPr>
              <w:t>4,237,420</w:t>
            </w:r>
          </w:p>
        </w:tc>
      </w:tr>
      <w:tr>
        <w:trPr>
          <w:trHeight w:val="22"/>
        </w:trPr>
        <w:tc>
          <w:tcPr>
            <w:tcW w:w="650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202"/>
        </w:trPr>
        <w:tc>
          <w:tcPr>
            <w:tcW w:w="6500" w:type="dxa"/>
            <w:vAlign w:val="bottom"/>
          </w:tcPr>
          <w:p>
            <w:pPr>
              <w:ind w:left="60"/>
              <w:spacing w:after="0"/>
              <w:rPr>
                <w:sz w:val="20"/>
                <w:szCs w:val="20"/>
                <w:color w:val="auto"/>
              </w:rPr>
            </w:pPr>
            <w:r>
              <w:rPr>
                <w:rFonts w:ascii="Arial" w:cs="Arial" w:eastAsia="Arial" w:hAnsi="Arial"/>
                <w:sz w:val="14"/>
                <w:szCs w:val="14"/>
                <w:color w:val="001641"/>
              </w:rPr>
              <w:t>Plus: Year-end value of stock awards granted in fiscal year that are outstanding and unvested</w:t>
            </w:r>
          </w:p>
        </w:tc>
        <w:tc>
          <w:tcPr>
            <w:tcW w:w="1180" w:type="dxa"/>
            <w:vAlign w:val="bottom"/>
          </w:tcPr>
          <w:p>
            <w:pPr>
              <w:jc w:val="right"/>
              <w:ind w:right="8"/>
              <w:spacing w:after="0"/>
              <w:rPr>
                <w:sz w:val="20"/>
                <w:szCs w:val="20"/>
                <w:color w:val="auto"/>
              </w:rPr>
            </w:pPr>
            <w:r>
              <w:rPr>
                <w:rFonts w:ascii="Arial" w:cs="Arial" w:eastAsia="Arial" w:hAnsi="Arial"/>
                <w:sz w:val="14"/>
                <w:szCs w:val="14"/>
                <w:color w:val="001641"/>
              </w:rPr>
              <w:t>20,004,712</w:t>
            </w:r>
          </w:p>
        </w:tc>
        <w:tc>
          <w:tcPr>
            <w:tcW w:w="1260" w:type="dxa"/>
            <w:vAlign w:val="bottom"/>
          </w:tcPr>
          <w:p>
            <w:pPr>
              <w:jc w:val="right"/>
              <w:ind w:right="128"/>
              <w:spacing w:after="0"/>
              <w:rPr>
                <w:sz w:val="20"/>
                <w:szCs w:val="20"/>
                <w:color w:val="auto"/>
              </w:rPr>
            </w:pPr>
            <w:r>
              <w:rPr>
                <w:rFonts w:ascii="Arial" w:cs="Arial" w:eastAsia="Arial" w:hAnsi="Arial"/>
                <w:sz w:val="14"/>
                <w:szCs w:val="14"/>
                <w:color w:val="001641"/>
              </w:rPr>
              <w:t>8,548,296</w:t>
            </w:r>
          </w:p>
        </w:tc>
      </w:tr>
      <w:tr>
        <w:trPr>
          <w:trHeight w:val="22"/>
        </w:trPr>
        <w:tc>
          <w:tcPr>
            <w:tcW w:w="650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173"/>
        </w:trPr>
        <w:tc>
          <w:tcPr>
            <w:tcW w:w="6500" w:type="dxa"/>
            <w:vAlign w:val="bottom"/>
          </w:tcPr>
          <w:p>
            <w:pPr>
              <w:ind w:left="60"/>
              <w:spacing w:after="0"/>
              <w:rPr>
                <w:sz w:val="20"/>
                <w:szCs w:val="20"/>
                <w:color w:val="auto"/>
              </w:rPr>
            </w:pPr>
            <w:r>
              <w:rPr>
                <w:rFonts w:ascii="Arial" w:cs="Arial" w:eastAsia="Arial" w:hAnsi="Arial"/>
                <w:sz w:val="14"/>
                <w:szCs w:val="14"/>
                <w:color w:val="001641"/>
              </w:rPr>
              <w:t>Plus: Change in fair value (from prior year-end) of stock awards granted in prior years that are</w:t>
            </w:r>
          </w:p>
        </w:tc>
        <w:tc>
          <w:tcPr>
            <w:tcW w:w="1180" w:type="dxa"/>
            <w:vAlign w:val="bottom"/>
          </w:tcPr>
          <w:p>
            <w:pPr>
              <w:jc w:val="right"/>
              <w:ind w:right="8"/>
              <w:spacing w:after="0"/>
              <w:rPr>
                <w:sz w:val="20"/>
                <w:szCs w:val="20"/>
                <w:color w:val="auto"/>
              </w:rPr>
            </w:pPr>
            <w:r>
              <w:rPr>
                <w:rFonts w:ascii="Arial" w:cs="Arial" w:eastAsia="Arial" w:hAnsi="Arial"/>
                <w:sz w:val="14"/>
                <w:szCs w:val="14"/>
                <w:color w:val="001641"/>
              </w:rPr>
              <w:t>15,559,587</w:t>
            </w:r>
          </w:p>
        </w:tc>
        <w:tc>
          <w:tcPr>
            <w:tcW w:w="1260" w:type="dxa"/>
            <w:vAlign w:val="bottom"/>
          </w:tcPr>
          <w:p>
            <w:pPr>
              <w:jc w:val="right"/>
              <w:ind w:right="128"/>
              <w:spacing w:after="0"/>
              <w:rPr>
                <w:sz w:val="20"/>
                <w:szCs w:val="20"/>
                <w:color w:val="auto"/>
              </w:rPr>
            </w:pPr>
            <w:r>
              <w:rPr>
                <w:rFonts w:ascii="Arial" w:cs="Arial" w:eastAsia="Arial" w:hAnsi="Arial"/>
                <w:sz w:val="14"/>
                <w:szCs w:val="14"/>
                <w:color w:val="001641"/>
              </w:rPr>
              <w:t>9,715,837</w:t>
            </w:r>
          </w:p>
        </w:tc>
      </w:tr>
      <w:tr>
        <w:trPr>
          <w:trHeight w:val="190"/>
        </w:trPr>
        <w:tc>
          <w:tcPr>
            <w:tcW w:w="6500" w:type="dxa"/>
            <w:vAlign w:val="bottom"/>
          </w:tcPr>
          <w:p>
            <w:pPr>
              <w:ind w:left="60"/>
              <w:spacing w:after="0"/>
              <w:rPr>
                <w:sz w:val="20"/>
                <w:szCs w:val="20"/>
                <w:color w:val="auto"/>
              </w:rPr>
            </w:pPr>
            <w:r>
              <w:rPr>
                <w:rFonts w:ascii="Arial" w:cs="Arial" w:eastAsia="Arial" w:hAnsi="Arial"/>
                <w:sz w:val="14"/>
                <w:szCs w:val="14"/>
                <w:color w:val="001641"/>
              </w:rPr>
              <w:t>outstanding and unvested</w:t>
            </w: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
        </w:trPr>
        <w:tc>
          <w:tcPr>
            <w:tcW w:w="650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202"/>
        </w:trPr>
        <w:tc>
          <w:tcPr>
            <w:tcW w:w="6500" w:type="dxa"/>
            <w:vAlign w:val="bottom"/>
          </w:tcPr>
          <w:p>
            <w:pPr>
              <w:ind w:left="60"/>
              <w:spacing w:after="0"/>
              <w:rPr>
                <w:sz w:val="20"/>
                <w:szCs w:val="20"/>
                <w:color w:val="auto"/>
              </w:rPr>
            </w:pPr>
            <w:r>
              <w:rPr>
                <w:rFonts w:ascii="Arial" w:cs="Arial" w:eastAsia="Arial" w:hAnsi="Arial"/>
                <w:sz w:val="14"/>
                <w:szCs w:val="14"/>
                <w:color w:val="001641"/>
              </w:rPr>
              <w:t>Plus: Fair value of awards granted this year and that vested this year</w:t>
            </w:r>
          </w:p>
        </w:tc>
        <w:tc>
          <w:tcPr>
            <w:tcW w:w="1180" w:type="dxa"/>
            <w:vAlign w:val="bottom"/>
          </w:tcPr>
          <w:p>
            <w:pPr>
              <w:jc w:val="right"/>
              <w:spacing w:after="0"/>
              <w:rPr>
                <w:sz w:val="20"/>
                <w:szCs w:val="20"/>
                <w:color w:val="auto"/>
              </w:rPr>
            </w:pPr>
            <w:r>
              <w:rPr>
                <w:rFonts w:ascii="Arial" w:cs="Arial" w:eastAsia="Arial" w:hAnsi="Arial"/>
                <w:sz w:val="14"/>
                <w:szCs w:val="14"/>
                <w:color w:val="001641"/>
              </w:rPr>
              <w:t>0</w:t>
            </w:r>
          </w:p>
        </w:tc>
        <w:tc>
          <w:tcPr>
            <w:tcW w:w="1260" w:type="dxa"/>
            <w:vAlign w:val="bottom"/>
          </w:tcPr>
          <w:p>
            <w:pPr>
              <w:jc w:val="right"/>
              <w:ind w:right="128"/>
              <w:spacing w:after="0"/>
              <w:rPr>
                <w:sz w:val="20"/>
                <w:szCs w:val="20"/>
                <w:color w:val="auto"/>
              </w:rPr>
            </w:pPr>
            <w:r>
              <w:rPr>
                <w:rFonts w:ascii="Arial" w:cs="Arial" w:eastAsia="Arial" w:hAnsi="Arial"/>
                <w:sz w:val="14"/>
                <w:szCs w:val="14"/>
                <w:color w:val="001641"/>
              </w:rPr>
              <w:t>0</w:t>
            </w:r>
          </w:p>
        </w:tc>
      </w:tr>
      <w:tr>
        <w:trPr>
          <w:trHeight w:val="22"/>
        </w:trPr>
        <w:tc>
          <w:tcPr>
            <w:tcW w:w="650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201"/>
        </w:trPr>
        <w:tc>
          <w:tcPr>
            <w:tcW w:w="6500" w:type="dxa"/>
            <w:vAlign w:val="bottom"/>
          </w:tcPr>
          <w:p>
            <w:pPr>
              <w:ind w:left="60"/>
              <w:spacing w:after="0"/>
              <w:rPr>
                <w:sz w:val="20"/>
                <w:szCs w:val="20"/>
                <w:color w:val="auto"/>
              </w:rPr>
            </w:pPr>
            <w:r>
              <w:rPr>
                <w:rFonts w:ascii="Arial" w:cs="Arial" w:eastAsia="Arial" w:hAnsi="Arial"/>
                <w:sz w:val="14"/>
                <w:szCs w:val="14"/>
                <w:color w:val="001641"/>
              </w:rPr>
              <w:t>Plus: Change in fair value (from prior year-end) of prior year stock awards that vested this year</w:t>
            </w:r>
          </w:p>
        </w:tc>
        <w:tc>
          <w:tcPr>
            <w:tcW w:w="1180" w:type="dxa"/>
            <w:vAlign w:val="bottom"/>
          </w:tcPr>
          <w:p>
            <w:pPr>
              <w:jc w:val="right"/>
              <w:ind w:right="8"/>
              <w:spacing w:after="0"/>
              <w:rPr>
                <w:sz w:val="20"/>
                <w:szCs w:val="20"/>
                <w:color w:val="auto"/>
              </w:rPr>
            </w:pPr>
            <w:r>
              <w:rPr>
                <w:rFonts w:ascii="Arial" w:cs="Arial" w:eastAsia="Arial" w:hAnsi="Arial"/>
                <w:sz w:val="14"/>
                <w:szCs w:val="14"/>
                <w:color w:val="001641"/>
              </w:rPr>
              <w:t>430,142</w:t>
            </w:r>
          </w:p>
        </w:tc>
        <w:tc>
          <w:tcPr>
            <w:tcW w:w="1260" w:type="dxa"/>
            <w:vAlign w:val="bottom"/>
          </w:tcPr>
          <w:p>
            <w:pPr>
              <w:jc w:val="right"/>
              <w:ind w:right="128"/>
              <w:spacing w:after="0"/>
              <w:rPr>
                <w:sz w:val="20"/>
                <w:szCs w:val="20"/>
                <w:color w:val="auto"/>
              </w:rPr>
            </w:pPr>
            <w:r>
              <w:rPr>
                <w:rFonts w:ascii="Arial" w:cs="Arial" w:eastAsia="Arial" w:hAnsi="Arial"/>
                <w:sz w:val="14"/>
                <w:szCs w:val="14"/>
                <w:color w:val="001641"/>
              </w:rPr>
              <w:t>303,791</w:t>
            </w:r>
          </w:p>
        </w:tc>
      </w:tr>
      <w:tr>
        <w:trPr>
          <w:trHeight w:val="22"/>
        </w:trPr>
        <w:tc>
          <w:tcPr>
            <w:tcW w:w="650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202"/>
        </w:trPr>
        <w:tc>
          <w:tcPr>
            <w:tcW w:w="6500" w:type="dxa"/>
            <w:vAlign w:val="bottom"/>
          </w:tcPr>
          <w:p>
            <w:pPr>
              <w:ind w:left="60"/>
              <w:spacing w:after="0"/>
              <w:rPr>
                <w:sz w:val="20"/>
                <w:szCs w:val="20"/>
                <w:color w:val="auto"/>
              </w:rPr>
            </w:pPr>
            <w:r>
              <w:rPr>
                <w:rFonts w:ascii="Arial" w:cs="Arial" w:eastAsia="Arial" w:hAnsi="Arial"/>
                <w:sz w:val="14"/>
                <w:szCs w:val="14"/>
                <w:color w:val="001641"/>
              </w:rPr>
              <w:t>Less: Prior year-end fair value of stock awards granted in prior years that failed to vest this year</w:t>
            </w:r>
          </w:p>
        </w:tc>
        <w:tc>
          <w:tcPr>
            <w:tcW w:w="1180" w:type="dxa"/>
            <w:vAlign w:val="bottom"/>
          </w:tcPr>
          <w:p>
            <w:pPr>
              <w:jc w:val="right"/>
              <w:spacing w:after="0"/>
              <w:rPr>
                <w:sz w:val="20"/>
                <w:szCs w:val="20"/>
                <w:color w:val="auto"/>
              </w:rPr>
            </w:pPr>
            <w:r>
              <w:rPr>
                <w:rFonts w:ascii="Arial" w:cs="Arial" w:eastAsia="Arial" w:hAnsi="Arial"/>
                <w:sz w:val="14"/>
                <w:szCs w:val="14"/>
                <w:color w:val="001641"/>
              </w:rPr>
              <w:t>0</w:t>
            </w:r>
          </w:p>
        </w:tc>
        <w:tc>
          <w:tcPr>
            <w:tcW w:w="1260" w:type="dxa"/>
            <w:vAlign w:val="bottom"/>
          </w:tcPr>
          <w:p>
            <w:pPr>
              <w:jc w:val="right"/>
              <w:ind w:right="128"/>
              <w:spacing w:after="0"/>
              <w:rPr>
                <w:sz w:val="20"/>
                <w:szCs w:val="20"/>
                <w:color w:val="auto"/>
              </w:rPr>
            </w:pPr>
            <w:r>
              <w:rPr>
                <w:rFonts w:ascii="Arial" w:cs="Arial" w:eastAsia="Arial" w:hAnsi="Arial"/>
                <w:sz w:val="14"/>
                <w:szCs w:val="14"/>
                <w:color w:val="001641"/>
              </w:rPr>
              <w:t>0</w:t>
            </w:r>
          </w:p>
        </w:tc>
      </w:tr>
      <w:tr>
        <w:trPr>
          <w:trHeight w:val="22"/>
        </w:trPr>
        <w:tc>
          <w:tcPr>
            <w:tcW w:w="650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189"/>
        </w:trPr>
        <w:tc>
          <w:tcPr>
            <w:tcW w:w="6500" w:type="dxa"/>
            <w:vAlign w:val="bottom"/>
            <w:tcBorders>
              <w:bottom w:val="single" w:sz="8" w:color="EBE1D2"/>
            </w:tcBorders>
            <w:shd w:val="clear" w:color="auto" w:fill="EBE1D2"/>
          </w:tcPr>
          <w:p>
            <w:pPr>
              <w:ind w:left="60"/>
              <w:spacing w:after="0"/>
              <w:rPr>
                <w:sz w:val="20"/>
                <w:szCs w:val="20"/>
                <w:color w:val="auto"/>
              </w:rPr>
            </w:pPr>
            <w:r>
              <w:rPr>
                <w:rFonts w:ascii="Arial" w:cs="Arial" w:eastAsia="Arial" w:hAnsi="Arial"/>
                <w:sz w:val="14"/>
                <w:szCs w:val="14"/>
                <w:color w:val="001641"/>
              </w:rPr>
              <w:t>Compensation Actually Paid for Fiscal 2024</w:t>
            </w:r>
          </w:p>
        </w:tc>
        <w:tc>
          <w:tcPr>
            <w:tcW w:w="1180" w:type="dxa"/>
            <w:vAlign w:val="bottom"/>
            <w:tcBorders>
              <w:bottom w:val="single" w:sz="8" w:color="EBE1D2"/>
            </w:tcBorders>
            <w:shd w:val="clear" w:color="auto" w:fill="EBE1D2"/>
          </w:tcPr>
          <w:p>
            <w:pPr>
              <w:jc w:val="right"/>
              <w:ind w:right="8"/>
              <w:spacing w:after="0"/>
              <w:rPr>
                <w:sz w:val="20"/>
                <w:szCs w:val="20"/>
                <w:color w:val="auto"/>
              </w:rPr>
            </w:pPr>
            <w:r>
              <w:rPr>
                <w:rFonts w:ascii="Arial" w:cs="Arial" w:eastAsia="Arial" w:hAnsi="Arial"/>
                <w:sz w:val="14"/>
                <w:szCs w:val="14"/>
                <w:color w:val="001641"/>
              </w:rPr>
              <w:t>41,971,686</w:t>
            </w:r>
          </w:p>
        </w:tc>
        <w:tc>
          <w:tcPr>
            <w:tcW w:w="1260" w:type="dxa"/>
            <w:vAlign w:val="bottom"/>
            <w:tcBorders>
              <w:bottom w:val="single" w:sz="8" w:color="EBE1D2"/>
            </w:tcBorders>
            <w:shd w:val="clear" w:color="auto" w:fill="EBE1D2"/>
          </w:tcPr>
          <w:p>
            <w:pPr>
              <w:jc w:val="right"/>
              <w:ind w:right="128"/>
              <w:spacing w:after="0"/>
              <w:rPr>
                <w:sz w:val="20"/>
                <w:szCs w:val="20"/>
                <w:color w:val="auto"/>
              </w:rPr>
            </w:pPr>
            <w:r>
              <w:rPr>
                <w:rFonts w:ascii="Arial" w:cs="Arial" w:eastAsia="Arial" w:hAnsi="Arial"/>
                <w:sz w:val="14"/>
                <w:szCs w:val="14"/>
                <w:color w:val="001641"/>
              </w:rPr>
              <w:t>22,539,380</w:t>
            </w:r>
          </w:p>
        </w:tc>
      </w:tr>
      <w:tr>
        <w:trPr>
          <w:trHeight w:val="20"/>
        </w:trPr>
        <w:tc>
          <w:tcPr>
            <w:tcW w:w="6500" w:type="dxa"/>
            <w:vAlign w:val="bottom"/>
            <w:shd w:val="clear" w:color="auto" w:fill="001641"/>
          </w:tcPr>
          <w:p>
            <w:pPr>
              <w:spacing w:after="0" w:line="20" w:lineRule="exact"/>
              <w:rPr>
                <w:sz w:val="1"/>
                <w:szCs w:val="1"/>
                <w:color w:val="auto"/>
              </w:rPr>
            </w:pPr>
          </w:p>
        </w:tc>
        <w:tc>
          <w:tcPr>
            <w:tcW w:w="1180" w:type="dxa"/>
            <w:vAlign w:val="bottom"/>
            <w:shd w:val="clear" w:color="auto" w:fill="001641"/>
          </w:tcPr>
          <w:p>
            <w:pPr>
              <w:spacing w:after="0" w:line="20" w:lineRule="exact"/>
              <w:rPr>
                <w:sz w:val="1"/>
                <w:szCs w:val="1"/>
                <w:color w:val="auto"/>
              </w:rPr>
            </w:pPr>
          </w:p>
        </w:tc>
        <w:tc>
          <w:tcPr>
            <w:tcW w:w="1260" w:type="dxa"/>
            <w:vAlign w:val="bottom"/>
            <w:shd w:val="clear" w:color="auto" w:fill="001641"/>
          </w:tcPr>
          <w:p>
            <w:pPr>
              <w:spacing w:after="0" w:line="20" w:lineRule="exact"/>
              <w:rPr>
                <w:sz w:val="1"/>
                <w:szCs w:val="1"/>
                <w:color w:val="auto"/>
              </w:rPr>
            </w:pPr>
          </w:p>
        </w:tc>
      </w:tr>
    </w:tbl>
    <w:p>
      <w:pPr>
        <w:spacing w:after="0" w:line="153" w:lineRule="exact"/>
        <w:rPr>
          <w:sz w:val="20"/>
          <w:szCs w:val="20"/>
          <w:color w:val="auto"/>
        </w:rPr>
      </w:pPr>
    </w:p>
    <w:p>
      <w:pPr>
        <w:ind w:left="1160" w:right="1040" w:hanging="246"/>
        <w:spacing w:after="0" w:line="285" w:lineRule="auto"/>
        <w:tabs>
          <w:tab w:leader="none" w:pos="1160" w:val="left"/>
        </w:tabs>
        <w:numPr>
          <w:ilvl w:val="0"/>
          <w:numId w:val="97"/>
        </w:numPr>
        <w:rPr>
          <w:rFonts w:ascii="Arial" w:cs="Arial" w:eastAsia="Arial" w:hAnsi="Arial"/>
          <w:sz w:val="14"/>
          <w:szCs w:val="14"/>
          <w:color w:val="4C4C4C"/>
        </w:rPr>
      </w:pPr>
      <w:r>
        <w:rPr>
          <w:rFonts w:ascii="Arial" w:cs="Arial" w:eastAsia="Arial" w:hAnsi="Arial"/>
          <w:sz w:val="14"/>
          <w:szCs w:val="14"/>
          <w:color w:val="4C4C4C"/>
        </w:rPr>
        <w:t>For Fiscal 2023, the values included in the “CAP to CEO” and “Average CAP to Non-CEO NEOs” columns reflect the following adjustments from the values shown in columns (b) and (d), respectively: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80" w:type="dxa"/>
            <w:vAlign w:val="bottom"/>
            <w:shd w:val="clear" w:color="auto" w:fill="001641"/>
          </w:tcPr>
          <w:p>
            <w:pPr>
              <w:spacing w:after="0"/>
              <w:rPr>
                <w:sz w:val="22"/>
                <w:szCs w:val="22"/>
                <w:color w:val="auto"/>
              </w:rPr>
            </w:pPr>
          </w:p>
        </w:tc>
        <w:tc>
          <w:tcPr>
            <w:tcW w:w="1180" w:type="dxa"/>
            <w:vAlign w:val="bottom"/>
            <w:shd w:val="clear" w:color="auto" w:fill="001641"/>
          </w:tcPr>
          <w:p>
            <w:pPr>
              <w:spacing w:after="0"/>
              <w:rPr>
                <w:sz w:val="22"/>
                <w:szCs w:val="22"/>
                <w:color w:val="auto"/>
              </w:rPr>
            </w:pPr>
          </w:p>
        </w:tc>
        <w:tc>
          <w:tcPr>
            <w:tcW w:w="1280" w:type="dxa"/>
            <w:vAlign w:val="bottom"/>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Average</w:t>
            </w:r>
          </w:p>
        </w:tc>
        <w:tc>
          <w:tcPr>
            <w:tcW w:w="920" w:type="dxa"/>
            <w:vAlign w:val="bottom"/>
          </w:tcPr>
          <w:p>
            <w:pPr>
              <w:spacing w:after="0"/>
              <w:rPr>
                <w:sz w:val="22"/>
                <w:szCs w:val="22"/>
                <w:color w:val="auto"/>
              </w:rPr>
            </w:pPr>
          </w:p>
        </w:tc>
      </w:tr>
      <w:tr>
        <w:trPr>
          <w:trHeight w:val="212"/>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80" w:type="dxa"/>
            <w:vAlign w:val="bottom"/>
            <w:shd w:val="clear" w:color="auto" w:fill="001641"/>
          </w:tcPr>
          <w:p>
            <w:pPr>
              <w:spacing w:after="0"/>
              <w:rPr>
                <w:sz w:val="18"/>
                <w:szCs w:val="18"/>
                <w:color w:val="auto"/>
              </w:rPr>
            </w:pPr>
          </w:p>
        </w:tc>
        <w:tc>
          <w:tcPr>
            <w:tcW w:w="1180" w:type="dxa"/>
            <w:vAlign w:val="bottom"/>
            <w:shd w:val="clear" w:color="auto" w:fill="001641"/>
          </w:tcPr>
          <w:p>
            <w:pPr>
              <w:jc w:val="right"/>
              <w:ind w:right="8"/>
              <w:spacing w:after="0"/>
              <w:rPr>
                <w:sz w:val="20"/>
                <w:szCs w:val="20"/>
                <w:color w:val="auto"/>
              </w:rPr>
            </w:pPr>
            <w:r>
              <w:rPr>
                <w:rFonts w:ascii="Arial" w:cs="Arial" w:eastAsia="Arial" w:hAnsi="Arial"/>
                <w:sz w:val="14"/>
                <w:szCs w:val="14"/>
                <w:b w:val="1"/>
                <w:bCs w:val="1"/>
                <w:color w:val="FFFFFF"/>
              </w:rPr>
              <w:t>CEO</w:t>
            </w:r>
          </w:p>
        </w:tc>
        <w:tc>
          <w:tcPr>
            <w:tcW w:w="1280" w:type="dxa"/>
            <w:vAlign w:val="bottom"/>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Non-CEO NEOs</w:t>
            </w:r>
          </w:p>
        </w:tc>
        <w:tc>
          <w:tcPr>
            <w:tcW w:w="920" w:type="dxa"/>
            <w:vAlign w:val="bottom"/>
          </w:tcPr>
          <w:p>
            <w:pPr>
              <w:spacing w:after="0"/>
              <w:rPr>
                <w:sz w:val="18"/>
                <w:szCs w:val="18"/>
                <w:color w:val="auto"/>
              </w:rPr>
            </w:pPr>
          </w:p>
        </w:tc>
      </w:tr>
      <w:tr>
        <w:trPr>
          <w:trHeight w:val="248"/>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80" w:type="dxa"/>
            <w:vAlign w:val="bottom"/>
            <w:tcBorders>
              <w:bottom w:val="single" w:sz="8" w:color="EBE1D2"/>
            </w:tcBorders>
            <w:shd w:val="clear" w:color="auto" w:fill="EBE1D2"/>
          </w:tcPr>
          <w:p>
            <w:pPr>
              <w:ind w:left="60"/>
              <w:spacing w:after="0"/>
              <w:rPr>
                <w:sz w:val="20"/>
                <w:szCs w:val="20"/>
                <w:color w:val="auto"/>
              </w:rPr>
            </w:pPr>
            <w:r>
              <w:rPr>
                <w:rFonts w:ascii="Arial" w:cs="Arial" w:eastAsia="Arial" w:hAnsi="Arial"/>
                <w:sz w:val="14"/>
                <w:szCs w:val="14"/>
                <w:color w:val="001641"/>
              </w:rPr>
              <w:t>Total Reported in Fiscal 2023 SCT</w:t>
            </w:r>
          </w:p>
        </w:tc>
        <w:tc>
          <w:tcPr>
            <w:tcW w:w="1180" w:type="dxa"/>
            <w:vAlign w:val="bottom"/>
            <w:tcBorders>
              <w:bottom w:val="single" w:sz="8" w:color="EBE1D2"/>
            </w:tcBorders>
            <w:shd w:val="clear" w:color="auto" w:fill="EBE1D2"/>
          </w:tcPr>
          <w:p>
            <w:pPr>
              <w:jc w:val="right"/>
              <w:ind w:right="48"/>
              <w:spacing w:after="0"/>
              <w:rPr>
                <w:sz w:val="20"/>
                <w:szCs w:val="20"/>
                <w:color w:val="auto"/>
              </w:rPr>
            </w:pPr>
            <w:r>
              <w:rPr>
                <w:rFonts w:ascii="Arial" w:cs="Arial" w:eastAsia="Arial" w:hAnsi="Arial"/>
                <w:sz w:val="14"/>
                <w:szCs w:val="14"/>
                <w:color w:val="001641"/>
              </w:rPr>
              <w:t>14,471,356</w:t>
            </w:r>
          </w:p>
        </w:tc>
        <w:tc>
          <w:tcPr>
            <w:tcW w:w="1280" w:type="dxa"/>
            <w:vAlign w:val="bottom"/>
            <w:tcBorders>
              <w:bottom w:val="single" w:sz="8" w:color="EBE1D2"/>
            </w:tcBorders>
            <w:shd w:val="clear" w:color="auto" w:fill="EBE1D2"/>
          </w:tcPr>
          <w:p>
            <w:pPr>
              <w:jc w:val="right"/>
              <w:ind w:right="108"/>
              <w:spacing w:after="0"/>
              <w:rPr>
                <w:sz w:val="20"/>
                <w:szCs w:val="20"/>
                <w:color w:val="auto"/>
              </w:rPr>
            </w:pPr>
            <w:r>
              <w:rPr>
                <w:rFonts w:ascii="Arial" w:cs="Arial" w:eastAsia="Arial" w:hAnsi="Arial"/>
                <w:sz w:val="14"/>
                <w:szCs w:val="14"/>
                <w:color w:val="001641"/>
              </w:rPr>
              <w:t>7,603,556</w:t>
            </w:r>
          </w:p>
        </w:tc>
        <w:tc>
          <w:tcPr>
            <w:tcW w:w="920" w:type="dxa"/>
            <w:vAlign w:val="bottom"/>
          </w:tcPr>
          <w:p>
            <w:pPr>
              <w:spacing w:after="0"/>
              <w:rPr>
                <w:sz w:val="21"/>
                <w:szCs w:val="21"/>
                <w:color w:val="auto"/>
              </w:rPr>
            </w:pPr>
          </w:p>
        </w:tc>
      </w:tr>
      <w:tr>
        <w:trPr>
          <w:trHeight w:val="201"/>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80" w:type="dxa"/>
            <w:vAlign w:val="bottom"/>
            <w:tcBorders>
              <w:top w:val="single" w:sz="8" w:color="BFA071"/>
            </w:tcBorders>
          </w:tcPr>
          <w:p>
            <w:pPr>
              <w:ind w:left="60"/>
              <w:spacing w:after="0"/>
              <w:rPr>
                <w:sz w:val="20"/>
                <w:szCs w:val="20"/>
                <w:color w:val="auto"/>
              </w:rPr>
            </w:pPr>
            <w:r>
              <w:rPr>
                <w:rFonts w:ascii="Arial" w:cs="Arial" w:eastAsia="Arial" w:hAnsi="Arial"/>
                <w:sz w:val="14"/>
                <w:szCs w:val="14"/>
                <w:color w:val="001641"/>
              </w:rPr>
              <w:t>Less: Value of stock awards reported in SCT</w:t>
            </w:r>
          </w:p>
        </w:tc>
        <w:tc>
          <w:tcPr>
            <w:tcW w:w="1180" w:type="dxa"/>
            <w:vAlign w:val="bottom"/>
            <w:tcBorders>
              <w:top w:val="single" w:sz="8" w:color="BFA071"/>
            </w:tcBorders>
          </w:tcPr>
          <w:p>
            <w:pPr>
              <w:jc w:val="right"/>
              <w:ind w:right="68"/>
              <w:spacing w:after="0"/>
              <w:rPr>
                <w:sz w:val="20"/>
                <w:szCs w:val="20"/>
                <w:color w:val="auto"/>
              </w:rPr>
            </w:pPr>
            <w:r>
              <w:rPr>
                <w:rFonts w:ascii="Arial" w:cs="Arial" w:eastAsia="Arial" w:hAnsi="Arial"/>
                <w:sz w:val="14"/>
                <w:szCs w:val="14"/>
                <w:color w:val="001641"/>
              </w:rPr>
              <w:t>9,110,544</w:t>
            </w:r>
          </w:p>
        </w:tc>
        <w:tc>
          <w:tcPr>
            <w:tcW w:w="1280" w:type="dxa"/>
            <w:vAlign w:val="bottom"/>
            <w:tcBorders>
              <w:top w:val="single" w:sz="8" w:color="BFA071"/>
            </w:tcBorders>
          </w:tcPr>
          <w:p>
            <w:pPr>
              <w:jc w:val="right"/>
              <w:ind w:right="108"/>
              <w:spacing w:after="0"/>
              <w:rPr>
                <w:sz w:val="20"/>
                <w:szCs w:val="20"/>
                <w:color w:val="auto"/>
              </w:rPr>
            </w:pPr>
            <w:r>
              <w:rPr>
                <w:rFonts w:ascii="Arial" w:cs="Arial" w:eastAsia="Arial" w:hAnsi="Arial"/>
                <w:sz w:val="14"/>
                <w:szCs w:val="14"/>
                <w:color w:val="001641"/>
              </w:rPr>
              <w:t>4,167,633</w:t>
            </w:r>
          </w:p>
        </w:tc>
        <w:tc>
          <w:tcPr>
            <w:tcW w:w="920" w:type="dxa"/>
            <w:vAlign w:val="bottom"/>
          </w:tcPr>
          <w:p>
            <w:pPr>
              <w:spacing w:after="0"/>
              <w:rPr>
                <w:sz w:val="17"/>
                <w:szCs w:val="17"/>
                <w:color w:val="auto"/>
              </w:rPr>
            </w:pPr>
          </w:p>
        </w:tc>
      </w:tr>
      <w:tr>
        <w:trPr>
          <w:trHeight w:val="22"/>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8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1"/>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80" w:type="dxa"/>
            <w:vAlign w:val="bottom"/>
          </w:tcPr>
          <w:p>
            <w:pPr>
              <w:ind w:left="60"/>
              <w:spacing w:after="0"/>
              <w:rPr>
                <w:sz w:val="20"/>
                <w:szCs w:val="20"/>
                <w:color w:val="auto"/>
              </w:rPr>
            </w:pPr>
            <w:r>
              <w:rPr>
                <w:rFonts w:ascii="Arial" w:cs="Arial" w:eastAsia="Arial" w:hAnsi="Arial"/>
                <w:sz w:val="14"/>
                <w:szCs w:val="14"/>
                <w:color w:val="001641"/>
              </w:rPr>
              <w:t>Plus: Year-end value of stock awards granted in fiscal year that are outstanding and unvested</w:t>
            </w:r>
          </w:p>
        </w:tc>
        <w:tc>
          <w:tcPr>
            <w:tcW w:w="1180" w:type="dxa"/>
            <w:vAlign w:val="bottom"/>
          </w:tcPr>
          <w:p>
            <w:pPr>
              <w:jc w:val="right"/>
              <w:ind w:right="68"/>
              <w:spacing w:after="0"/>
              <w:rPr>
                <w:sz w:val="20"/>
                <w:szCs w:val="20"/>
                <w:color w:val="auto"/>
              </w:rPr>
            </w:pPr>
            <w:r>
              <w:rPr>
                <w:rFonts w:ascii="Arial" w:cs="Arial" w:eastAsia="Arial" w:hAnsi="Arial"/>
                <w:sz w:val="14"/>
                <w:szCs w:val="14"/>
                <w:color w:val="001641"/>
              </w:rPr>
              <w:t>11,554,627</w:t>
            </w:r>
          </w:p>
        </w:tc>
        <w:tc>
          <w:tcPr>
            <w:tcW w:w="1280" w:type="dxa"/>
            <w:vAlign w:val="bottom"/>
          </w:tcPr>
          <w:p>
            <w:pPr>
              <w:jc w:val="right"/>
              <w:ind w:right="108"/>
              <w:spacing w:after="0"/>
              <w:rPr>
                <w:sz w:val="20"/>
                <w:szCs w:val="20"/>
                <w:color w:val="auto"/>
              </w:rPr>
            </w:pPr>
            <w:r>
              <w:rPr>
                <w:rFonts w:ascii="Arial" w:cs="Arial" w:eastAsia="Arial" w:hAnsi="Arial"/>
                <w:sz w:val="14"/>
                <w:szCs w:val="14"/>
                <w:color w:val="001641"/>
              </w:rPr>
              <w:t>5,315,211</w:t>
            </w:r>
          </w:p>
        </w:tc>
        <w:tc>
          <w:tcPr>
            <w:tcW w:w="920" w:type="dxa"/>
            <w:vAlign w:val="bottom"/>
          </w:tcPr>
          <w:p>
            <w:pPr>
              <w:spacing w:after="0"/>
              <w:rPr>
                <w:sz w:val="17"/>
                <w:szCs w:val="17"/>
                <w:color w:val="auto"/>
              </w:rPr>
            </w:pPr>
          </w:p>
        </w:tc>
      </w:tr>
      <w:tr>
        <w:trPr>
          <w:trHeight w:val="22"/>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8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80" w:type="dxa"/>
            <w:vAlign w:val="bottom"/>
          </w:tcPr>
          <w:p>
            <w:pPr>
              <w:ind w:left="60"/>
              <w:spacing w:after="0"/>
              <w:rPr>
                <w:sz w:val="20"/>
                <w:szCs w:val="20"/>
                <w:color w:val="auto"/>
              </w:rPr>
            </w:pPr>
            <w:r>
              <w:rPr>
                <w:rFonts w:ascii="Arial" w:cs="Arial" w:eastAsia="Arial" w:hAnsi="Arial"/>
                <w:sz w:val="14"/>
                <w:szCs w:val="14"/>
                <w:color w:val="001641"/>
              </w:rPr>
              <w:t>Plus: Change in fair value (from prior year-end) of stock awards granted in prior years that are</w:t>
            </w:r>
          </w:p>
        </w:tc>
        <w:tc>
          <w:tcPr>
            <w:tcW w:w="1180" w:type="dxa"/>
            <w:vAlign w:val="bottom"/>
          </w:tcPr>
          <w:p>
            <w:pPr>
              <w:jc w:val="right"/>
              <w:ind w:right="8"/>
              <w:spacing w:after="0"/>
              <w:rPr>
                <w:sz w:val="20"/>
                <w:szCs w:val="20"/>
                <w:color w:val="auto"/>
              </w:rPr>
            </w:pPr>
            <w:r>
              <w:rPr>
                <w:rFonts w:ascii="Arial" w:cs="Arial" w:eastAsia="Arial" w:hAnsi="Arial"/>
                <w:sz w:val="14"/>
                <w:szCs w:val="14"/>
                <w:color w:val="001641"/>
              </w:rPr>
              <w:t>(1,011,216)</w:t>
            </w:r>
          </w:p>
        </w:tc>
        <w:tc>
          <w:tcPr>
            <w:tcW w:w="1280" w:type="dxa"/>
            <w:vAlign w:val="bottom"/>
          </w:tcPr>
          <w:p>
            <w:pPr>
              <w:jc w:val="right"/>
              <w:ind w:right="48"/>
              <w:spacing w:after="0"/>
              <w:rPr>
                <w:sz w:val="20"/>
                <w:szCs w:val="20"/>
                <w:color w:val="auto"/>
              </w:rPr>
            </w:pPr>
            <w:r>
              <w:rPr>
                <w:rFonts w:ascii="Arial" w:cs="Arial" w:eastAsia="Arial" w:hAnsi="Arial"/>
                <w:sz w:val="14"/>
                <w:szCs w:val="14"/>
                <w:color w:val="001641"/>
              </w:rPr>
              <w:t>(1,210,642)</w:t>
            </w:r>
          </w:p>
        </w:tc>
        <w:tc>
          <w:tcPr>
            <w:tcW w:w="920" w:type="dxa"/>
            <w:vAlign w:val="bottom"/>
          </w:tcPr>
          <w:p>
            <w:pPr>
              <w:spacing w:after="0"/>
              <w:rPr>
                <w:sz w:val="15"/>
                <w:szCs w:val="15"/>
                <w:color w:val="auto"/>
              </w:rPr>
            </w:pPr>
          </w:p>
        </w:tc>
      </w:tr>
      <w:tr>
        <w:trPr>
          <w:trHeight w:val="190"/>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80" w:type="dxa"/>
            <w:vAlign w:val="bottom"/>
          </w:tcPr>
          <w:p>
            <w:pPr>
              <w:ind w:left="60"/>
              <w:spacing w:after="0"/>
              <w:rPr>
                <w:sz w:val="20"/>
                <w:szCs w:val="20"/>
                <w:color w:val="auto"/>
              </w:rPr>
            </w:pPr>
            <w:r>
              <w:rPr>
                <w:rFonts w:ascii="Arial" w:cs="Arial" w:eastAsia="Arial" w:hAnsi="Arial"/>
                <w:sz w:val="14"/>
                <w:szCs w:val="14"/>
                <w:color w:val="001641"/>
              </w:rPr>
              <w:t>outstanding and unvested</w:t>
            </w: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8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1"/>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80" w:type="dxa"/>
            <w:vAlign w:val="bottom"/>
          </w:tcPr>
          <w:p>
            <w:pPr>
              <w:ind w:left="60"/>
              <w:spacing w:after="0"/>
              <w:rPr>
                <w:sz w:val="20"/>
                <w:szCs w:val="20"/>
                <w:color w:val="auto"/>
              </w:rPr>
            </w:pPr>
            <w:r>
              <w:rPr>
                <w:rFonts w:ascii="Arial" w:cs="Arial" w:eastAsia="Arial" w:hAnsi="Arial"/>
                <w:sz w:val="14"/>
                <w:szCs w:val="14"/>
                <w:color w:val="001641"/>
              </w:rPr>
              <w:t>Plus: Fair value of awards granted this year and that vested this year</w:t>
            </w:r>
          </w:p>
        </w:tc>
        <w:tc>
          <w:tcPr>
            <w:tcW w:w="1180" w:type="dxa"/>
            <w:vAlign w:val="bottom"/>
          </w:tcPr>
          <w:p>
            <w:pPr>
              <w:jc w:val="right"/>
              <w:ind w:right="48"/>
              <w:spacing w:after="0"/>
              <w:rPr>
                <w:sz w:val="20"/>
                <w:szCs w:val="20"/>
                <w:color w:val="auto"/>
              </w:rPr>
            </w:pPr>
            <w:r>
              <w:rPr>
                <w:rFonts w:ascii="Arial" w:cs="Arial" w:eastAsia="Arial" w:hAnsi="Arial"/>
                <w:sz w:val="14"/>
                <w:szCs w:val="14"/>
                <w:color w:val="001641"/>
              </w:rPr>
              <w:t>0</w:t>
            </w:r>
          </w:p>
        </w:tc>
        <w:tc>
          <w:tcPr>
            <w:tcW w:w="1280" w:type="dxa"/>
            <w:vAlign w:val="bottom"/>
          </w:tcPr>
          <w:p>
            <w:pPr>
              <w:jc w:val="right"/>
              <w:ind w:right="108"/>
              <w:spacing w:after="0"/>
              <w:rPr>
                <w:sz w:val="20"/>
                <w:szCs w:val="20"/>
                <w:color w:val="auto"/>
              </w:rPr>
            </w:pPr>
            <w:r>
              <w:rPr>
                <w:rFonts w:ascii="Arial" w:cs="Arial" w:eastAsia="Arial" w:hAnsi="Arial"/>
                <w:sz w:val="14"/>
                <w:szCs w:val="14"/>
                <w:color w:val="001641"/>
              </w:rPr>
              <w:t>0</w:t>
            </w:r>
          </w:p>
        </w:tc>
        <w:tc>
          <w:tcPr>
            <w:tcW w:w="920" w:type="dxa"/>
            <w:vAlign w:val="bottom"/>
          </w:tcPr>
          <w:p>
            <w:pPr>
              <w:spacing w:after="0"/>
              <w:rPr>
                <w:sz w:val="17"/>
                <w:szCs w:val="17"/>
                <w:color w:val="auto"/>
              </w:rPr>
            </w:pPr>
          </w:p>
        </w:tc>
      </w:tr>
      <w:tr>
        <w:trPr>
          <w:trHeight w:val="22"/>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8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1"/>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80" w:type="dxa"/>
            <w:vAlign w:val="bottom"/>
          </w:tcPr>
          <w:p>
            <w:pPr>
              <w:ind w:left="60"/>
              <w:spacing w:after="0"/>
              <w:rPr>
                <w:sz w:val="20"/>
                <w:szCs w:val="20"/>
                <w:color w:val="auto"/>
              </w:rPr>
            </w:pPr>
            <w:r>
              <w:rPr>
                <w:rFonts w:ascii="Arial" w:cs="Arial" w:eastAsia="Arial" w:hAnsi="Arial"/>
                <w:sz w:val="14"/>
                <w:szCs w:val="14"/>
                <w:color w:val="001641"/>
              </w:rPr>
              <w:t>Plus: Change in fair value (from prior year-end) of prior year stock awards that vested this year</w:t>
            </w:r>
          </w:p>
        </w:tc>
        <w:tc>
          <w:tcPr>
            <w:tcW w:w="1180" w:type="dxa"/>
            <w:vAlign w:val="bottom"/>
          </w:tcPr>
          <w:p>
            <w:pPr>
              <w:jc w:val="right"/>
              <w:ind w:right="8"/>
              <w:spacing w:after="0"/>
              <w:rPr>
                <w:sz w:val="20"/>
                <w:szCs w:val="20"/>
                <w:color w:val="auto"/>
              </w:rPr>
            </w:pPr>
            <w:r>
              <w:rPr>
                <w:rFonts w:ascii="Arial" w:cs="Arial" w:eastAsia="Arial" w:hAnsi="Arial"/>
                <w:sz w:val="14"/>
                <w:szCs w:val="14"/>
                <w:color w:val="001641"/>
              </w:rPr>
              <w:t>(1,899,585)</w:t>
            </w:r>
          </w:p>
        </w:tc>
        <w:tc>
          <w:tcPr>
            <w:tcW w:w="1280" w:type="dxa"/>
            <w:vAlign w:val="bottom"/>
          </w:tcPr>
          <w:p>
            <w:pPr>
              <w:jc w:val="right"/>
              <w:ind w:right="48"/>
              <w:spacing w:after="0"/>
              <w:rPr>
                <w:sz w:val="20"/>
                <w:szCs w:val="20"/>
                <w:color w:val="auto"/>
              </w:rPr>
            </w:pPr>
            <w:r>
              <w:rPr>
                <w:rFonts w:ascii="Arial" w:cs="Arial" w:eastAsia="Arial" w:hAnsi="Arial"/>
                <w:sz w:val="14"/>
                <w:szCs w:val="14"/>
                <w:color w:val="001641"/>
              </w:rPr>
              <w:t>(514,564)</w:t>
            </w:r>
          </w:p>
        </w:tc>
        <w:tc>
          <w:tcPr>
            <w:tcW w:w="920" w:type="dxa"/>
            <w:vAlign w:val="bottom"/>
          </w:tcPr>
          <w:p>
            <w:pPr>
              <w:spacing w:after="0"/>
              <w:rPr>
                <w:sz w:val="17"/>
                <w:szCs w:val="17"/>
                <w:color w:val="auto"/>
              </w:rPr>
            </w:pPr>
          </w:p>
        </w:tc>
      </w:tr>
      <w:tr>
        <w:trPr>
          <w:trHeight w:val="22"/>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8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2"/>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80" w:type="dxa"/>
            <w:vAlign w:val="bottom"/>
          </w:tcPr>
          <w:p>
            <w:pPr>
              <w:ind w:left="60"/>
              <w:spacing w:after="0"/>
              <w:rPr>
                <w:sz w:val="20"/>
                <w:szCs w:val="20"/>
                <w:color w:val="auto"/>
              </w:rPr>
            </w:pPr>
            <w:r>
              <w:rPr>
                <w:rFonts w:ascii="Arial" w:cs="Arial" w:eastAsia="Arial" w:hAnsi="Arial"/>
                <w:sz w:val="14"/>
                <w:szCs w:val="14"/>
                <w:color w:val="001641"/>
              </w:rPr>
              <w:t>Less: Prior year-end fair value of stock awards granted in prior years that failed to vest this year</w:t>
            </w:r>
          </w:p>
        </w:tc>
        <w:tc>
          <w:tcPr>
            <w:tcW w:w="1180" w:type="dxa"/>
            <w:vAlign w:val="bottom"/>
          </w:tcPr>
          <w:p>
            <w:pPr>
              <w:jc w:val="right"/>
              <w:ind w:right="48"/>
              <w:spacing w:after="0"/>
              <w:rPr>
                <w:sz w:val="20"/>
                <w:szCs w:val="20"/>
                <w:color w:val="auto"/>
              </w:rPr>
            </w:pPr>
            <w:r>
              <w:rPr>
                <w:rFonts w:ascii="Arial" w:cs="Arial" w:eastAsia="Arial" w:hAnsi="Arial"/>
                <w:sz w:val="14"/>
                <w:szCs w:val="14"/>
                <w:color w:val="001641"/>
              </w:rPr>
              <w:t>0</w:t>
            </w:r>
          </w:p>
        </w:tc>
        <w:tc>
          <w:tcPr>
            <w:tcW w:w="1280" w:type="dxa"/>
            <w:vAlign w:val="bottom"/>
          </w:tcPr>
          <w:p>
            <w:pPr>
              <w:jc w:val="right"/>
              <w:ind w:right="108"/>
              <w:spacing w:after="0"/>
              <w:rPr>
                <w:sz w:val="20"/>
                <w:szCs w:val="20"/>
                <w:color w:val="auto"/>
              </w:rPr>
            </w:pPr>
            <w:r>
              <w:rPr>
                <w:rFonts w:ascii="Arial" w:cs="Arial" w:eastAsia="Arial" w:hAnsi="Arial"/>
                <w:sz w:val="14"/>
                <w:szCs w:val="14"/>
                <w:color w:val="001641"/>
              </w:rPr>
              <w:t>0</w:t>
            </w:r>
          </w:p>
        </w:tc>
        <w:tc>
          <w:tcPr>
            <w:tcW w:w="920" w:type="dxa"/>
            <w:vAlign w:val="bottom"/>
          </w:tcPr>
          <w:p>
            <w:pPr>
              <w:spacing w:after="0"/>
              <w:rPr>
                <w:sz w:val="17"/>
                <w:szCs w:val="17"/>
                <w:color w:val="auto"/>
              </w:rPr>
            </w:pPr>
          </w:p>
        </w:tc>
      </w:tr>
      <w:tr>
        <w:trPr>
          <w:trHeight w:val="22"/>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tcBorders>
              <w:bottom w:val="single" w:sz="8" w:color="BFA071"/>
            </w:tcBorders>
          </w:tcPr>
          <w:p>
            <w:pPr>
              <w:spacing w:after="0" w:line="20" w:lineRule="exact"/>
              <w:rPr>
                <w:sz w:val="1"/>
                <w:szCs w:val="1"/>
                <w:color w:val="auto"/>
              </w:rPr>
            </w:pPr>
          </w:p>
        </w:tc>
        <w:tc>
          <w:tcPr>
            <w:tcW w:w="1180" w:type="dxa"/>
            <w:vAlign w:val="bottom"/>
            <w:tcBorders>
              <w:bottom w:val="single" w:sz="8" w:color="BFA071"/>
            </w:tcBorders>
          </w:tcPr>
          <w:p>
            <w:pPr>
              <w:spacing w:after="0" w:line="20" w:lineRule="exact"/>
              <w:rPr>
                <w:sz w:val="1"/>
                <w:szCs w:val="1"/>
                <w:color w:val="auto"/>
              </w:rPr>
            </w:pPr>
          </w:p>
        </w:tc>
        <w:tc>
          <w:tcPr>
            <w:tcW w:w="128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4"/>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80" w:type="dxa"/>
            <w:vAlign w:val="bottom"/>
            <w:tcBorders>
              <w:bottom w:val="single" w:sz="8" w:color="EBE1D2"/>
            </w:tcBorders>
            <w:shd w:val="clear" w:color="auto" w:fill="EBE1D2"/>
          </w:tcPr>
          <w:p>
            <w:pPr>
              <w:ind w:left="60"/>
              <w:spacing w:after="0"/>
              <w:rPr>
                <w:sz w:val="20"/>
                <w:szCs w:val="20"/>
                <w:color w:val="auto"/>
              </w:rPr>
            </w:pPr>
            <w:r>
              <w:rPr>
                <w:rFonts w:ascii="Arial" w:cs="Arial" w:eastAsia="Arial" w:hAnsi="Arial"/>
                <w:sz w:val="14"/>
                <w:szCs w:val="14"/>
                <w:color w:val="001641"/>
              </w:rPr>
              <w:t>Compensation Actually Paid for Fiscal 2023</w:t>
            </w:r>
          </w:p>
        </w:tc>
        <w:tc>
          <w:tcPr>
            <w:tcW w:w="1180" w:type="dxa"/>
            <w:vAlign w:val="bottom"/>
            <w:tcBorders>
              <w:bottom w:val="single" w:sz="8" w:color="EBE1D2"/>
            </w:tcBorders>
            <w:shd w:val="clear" w:color="auto" w:fill="EBE1D2"/>
          </w:tcPr>
          <w:p>
            <w:pPr>
              <w:jc w:val="right"/>
              <w:ind w:right="48"/>
              <w:spacing w:after="0"/>
              <w:rPr>
                <w:sz w:val="20"/>
                <w:szCs w:val="20"/>
                <w:color w:val="auto"/>
              </w:rPr>
            </w:pPr>
            <w:r>
              <w:rPr>
                <w:rFonts w:ascii="Arial" w:cs="Arial" w:eastAsia="Arial" w:hAnsi="Arial"/>
                <w:sz w:val="14"/>
                <w:szCs w:val="14"/>
                <w:color w:val="001641"/>
              </w:rPr>
              <w:t>14,004,639</w:t>
            </w:r>
          </w:p>
        </w:tc>
        <w:tc>
          <w:tcPr>
            <w:tcW w:w="1280" w:type="dxa"/>
            <w:vAlign w:val="bottom"/>
            <w:tcBorders>
              <w:bottom w:val="single" w:sz="8" w:color="EBE1D2"/>
            </w:tcBorders>
            <w:shd w:val="clear" w:color="auto" w:fill="EBE1D2"/>
          </w:tcPr>
          <w:p>
            <w:pPr>
              <w:jc w:val="right"/>
              <w:ind w:right="108"/>
              <w:spacing w:after="0"/>
              <w:rPr>
                <w:sz w:val="20"/>
                <w:szCs w:val="20"/>
                <w:color w:val="auto"/>
              </w:rPr>
            </w:pPr>
            <w:r>
              <w:rPr>
                <w:rFonts w:ascii="Arial" w:cs="Arial" w:eastAsia="Arial" w:hAnsi="Arial"/>
                <w:sz w:val="14"/>
                <w:szCs w:val="14"/>
                <w:color w:val="001641"/>
              </w:rPr>
              <w:t>7,025,927</w:t>
            </w:r>
          </w:p>
        </w:tc>
        <w:tc>
          <w:tcPr>
            <w:tcW w:w="92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6480" w:type="dxa"/>
            <w:vAlign w:val="bottom"/>
            <w:tcBorders>
              <w:top w:val="single" w:sz="8" w:color="001641"/>
              <w:bottom w:val="single" w:sz="8" w:color="808080"/>
            </w:tcBorders>
          </w:tcPr>
          <w:p>
            <w:pPr>
              <w:spacing w:after="0"/>
              <w:rPr>
                <w:sz w:val="18"/>
                <w:szCs w:val="18"/>
                <w:color w:val="auto"/>
              </w:rPr>
            </w:pPr>
          </w:p>
        </w:tc>
        <w:tc>
          <w:tcPr>
            <w:tcW w:w="1180" w:type="dxa"/>
            <w:vAlign w:val="bottom"/>
            <w:tcBorders>
              <w:top w:val="single" w:sz="8" w:color="001641"/>
              <w:bottom w:val="single" w:sz="8" w:color="808080"/>
            </w:tcBorders>
          </w:tcPr>
          <w:p>
            <w:pPr>
              <w:spacing w:after="0"/>
              <w:rPr>
                <w:sz w:val="18"/>
                <w:szCs w:val="18"/>
                <w:color w:val="auto"/>
              </w:rPr>
            </w:pPr>
          </w:p>
        </w:tc>
        <w:tc>
          <w:tcPr>
            <w:tcW w:w="1280" w:type="dxa"/>
            <w:vAlign w:val="bottom"/>
            <w:tcBorders>
              <w:top w:val="single" w:sz="8" w:color="001641"/>
              <w:bottom w:val="single" w:sz="8" w:color="808080"/>
            </w:tcBorders>
          </w:tcPr>
          <w:p>
            <w:pPr>
              <w:spacing w:after="0"/>
              <w:rPr>
                <w:sz w:val="18"/>
                <w:szCs w:val="18"/>
                <w:color w:val="auto"/>
              </w:rPr>
            </w:pPr>
          </w:p>
        </w:tc>
        <w:tc>
          <w:tcPr>
            <w:tcW w:w="920" w:type="dxa"/>
            <w:vAlign w:val="bottom"/>
          </w:tcPr>
          <w:p>
            <w:pPr>
              <w:spacing w:after="0"/>
              <w:rPr>
                <w:sz w:val="18"/>
                <w:szCs w:val="18"/>
                <w:color w:val="auto"/>
              </w:rPr>
            </w:pPr>
          </w:p>
        </w:tc>
      </w:tr>
      <w:tr>
        <w:trPr>
          <w:trHeight w:val="424"/>
        </w:trPr>
        <w:tc>
          <w:tcPr>
            <w:tcW w:w="92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4"/>
                <w:szCs w:val="14"/>
                <w:b w:val="1"/>
                <w:bCs w:val="1"/>
                <w:color w:val="001641"/>
              </w:rPr>
              <w:t xml:space="preserve">106 </w:t>
            </w:r>
            <w:r>
              <w:rPr>
                <w:rFonts w:ascii="Arial" w:cs="Arial" w:eastAsia="Arial" w:hAnsi="Arial"/>
                <w:sz w:val="14"/>
                <w:szCs w:val="14"/>
                <w:color w:val="808080"/>
              </w:rPr>
              <w:t>Ralph Lauren 2026 Proxy Statement</w:t>
            </w:r>
          </w:p>
        </w:tc>
        <w:tc>
          <w:tcPr>
            <w:tcW w:w="1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808080"/>
              </w:rPr>
              <w:t xml:space="preserve">    </w:t>
            </w:r>
          </w:p>
        </w:tc>
        <w:tc>
          <w:tcPr>
            <w:tcW w:w="920" w:type="dxa"/>
            <w:vAlign w:val="bottom"/>
          </w:tcPr>
          <w:p>
            <w:pPr>
              <w:spacing w:after="0"/>
              <w:rPr>
                <w:sz w:val="24"/>
                <w:szCs w:val="24"/>
                <w:color w:val="auto"/>
              </w:rPr>
            </w:pPr>
          </w:p>
        </w:tc>
      </w:tr>
      <w:tr>
        <w:trPr>
          <w:trHeight w:val="157"/>
        </w:trPr>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-256540</wp:posOffset>
            </wp:positionV>
            <wp:extent cx="128905" cy="11112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117" w:name="page118"/>
    <w:bookmarkEnd w:id="11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63" w:lineRule="exact"/>
        <w:rPr>
          <w:sz w:val="20"/>
          <w:szCs w:val="20"/>
          <w:color w:val="auto"/>
        </w:rPr>
      </w:pPr>
    </w:p>
    <w:p>
      <w:pPr>
        <w:ind w:left="246" w:right="120" w:hanging="246"/>
        <w:spacing w:after="0" w:line="285" w:lineRule="auto"/>
        <w:tabs>
          <w:tab w:leader="none" w:pos="246" w:val="left"/>
        </w:tabs>
        <w:numPr>
          <w:ilvl w:val="0"/>
          <w:numId w:val="98"/>
        </w:numPr>
        <w:rPr>
          <w:rFonts w:ascii="Arial" w:cs="Arial" w:eastAsia="Arial" w:hAnsi="Arial"/>
          <w:sz w:val="14"/>
          <w:szCs w:val="14"/>
          <w:color w:val="4C4C4C"/>
        </w:rPr>
      </w:pPr>
      <w:r>
        <w:rPr>
          <w:rFonts w:ascii="Arial" w:cs="Arial" w:eastAsia="Arial" w:hAnsi="Arial"/>
          <w:sz w:val="14"/>
          <w:szCs w:val="14"/>
          <w:color w:val="4C4C4C"/>
        </w:rPr>
        <w:t>For Fiscal 2022, the values included in the “CAP to CEO” and “Average CAP to Non-CEO NEOs” columns reflect the following adjustments from the values shown in columns (b) and (d), respectively:</w:t>
      </w:r>
    </w:p>
    <w:p>
      <w:pPr>
        <w:spacing w:after="0" w:line="32" w:lineRule="exact"/>
        <w:rPr>
          <w:sz w:val="20"/>
          <w:szCs w:val="20"/>
          <w:color w:val="auto"/>
        </w:rPr>
      </w:pPr>
    </w:p>
    <w:tbl>
      <w:tblPr>
        <w:tblLayout w:type="fixed"/>
        <w:tblInd w:w="246" w:type="dxa"/>
        <w:tblCellMar>
          <w:top w:w="0" w:type="dxa"/>
          <w:left w:w="0" w:type="dxa"/>
          <w:bottom w:w="0" w:type="dxa"/>
          <w:right w:w="0" w:type="dxa"/>
        </w:tblCellMar>
      </w:tblPr>
      <w:tr>
        <w:trPr>
          <w:trHeight w:val="261"/>
        </w:trPr>
        <w:tc>
          <w:tcPr>
            <w:tcW w:w="6480" w:type="dxa"/>
            <w:vAlign w:val="bottom"/>
            <w:shd w:val="clear" w:color="auto" w:fill="001641"/>
          </w:tcPr>
          <w:p>
            <w:pPr>
              <w:spacing w:after="0"/>
              <w:rPr>
                <w:sz w:val="22"/>
                <w:szCs w:val="22"/>
                <w:color w:val="auto"/>
              </w:rPr>
            </w:pPr>
          </w:p>
        </w:tc>
        <w:tc>
          <w:tcPr>
            <w:tcW w:w="1200" w:type="dxa"/>
            <w:vAlign w:val="bottom"/>
            <w:shd w:val="clear" w:color="auto" w:fill="001641"/>
          </w:tcPr>
          <w:p>
            <w:pPr>
              <w:spacing w:after="0"/>
              <w:rPr>
                <w:sz w:val="22"/>
                <w:szCs w:val="22"/>
                <w:color w:val="auto"/>
              </w:rPr>
            </w:pPr>
          </w:p>
        </w:tc>
        <w:tc>
          <w:tcPr>
            <w:tcW w:w="1260" w:type="dxa"/>
            <w:vAlign w:val="bottom"/>
            <w:shd w:val="clear" w:color="auto" w:fill="001641"/>
          </w:tcPr>
          <w:p>
            <w:pPr>
              <w:jc w:val="right"/>
              <w:ind w:right="88"/>
              <w:spacing w:after="0"/>
              <w:rPr>
                <w:sz w:val="20"/>
                <w:szCs w:val="20"/>
                <w:color w:val="auto"/>
              </w:rPr>
            </w:pPr>
            <w:r>
              <w:rPr>
                <w:rFonts w:ascii="Arial" w:cs="Arial" w:eastAsia="Arial" w:hAnsi="Arial"/>
                <w:sz w:val="14"/>
                <w:szCs w:val="14"/>
                <w:b w:val="1"/>
                <w:bCs w:val="1"/>
                <w:color w:val="FFFFFF"/>
              </w:rPr>
              <w:t>Average</w:t>
            </w:r>
          </w:p>
        </w:tc>
      </w:tr>
      <w:tr>
        <w:trPr>
          <w:trHeight w:val="212"/>
        </w:trPr>
        <w:tc>
          <w:tcPr>
            <w:tcW w:w="6480" w:type="dxa"/>
            <w:vAlign w:val="bottom"/>
            <w:shd w:val="clear" w:color="auto" w:fill="001641"/>
          </w:tcPr>
          <w:p>
            <w:pPr>
              <w:spacing w:after="0"/>
              <w:rPr>
                <w:sz w:val="18"/>
                <w:szCs w:val="18"/>
                <w:color w:val="auto"/>
              </w:rPr>
            </w:pPr>
          </w:p>
        </w:tc>
        <w:tc>
          <w:tcPr>
            <w:tcW w:w="120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CEO</w:t>
            </w:r>
          </w:p>
        </w:tc>
        <w:tc>
          <w:tcPr>
            <w:tcW w:w="1260" w:type="dxa"/>
            <w:vAlign w:val="bottom"/>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Non-CEO NEOs</w:t>
            </w:r>
          </w:p>
        </w:tc>
      </w:tr>
      <w:tr>
        <w:trPr>
          <w:trHeight w:val="248"/>
        </w:trPr>
        <w:tc>
          <w:tcPr>
            <w:tcW w:w="6480" w:type="dxa"/>
            <w:vAlign w:val="bottom"/>
            <w:tcBorders>
              <w:bottom w:val="single" w:sz="8" w:color="EBE1D2"/>
            </w:tcBorders>
            <w:shd w:val="clear" w:color="auto" w:fill="EBE1D2"/>
          </w:tcPr>
          <w:p>
            <w:pPr>
              <w:ind w:left="60"/>
              <w:spacing w:after="0"/>
              <w:rPr>
                <w:sz w:val="20"/>
                <w:szCs w:val="20"/>
                <w:color w:val="auto"/>
              </w:rPr>
            </w:pPr>
            <w:r>
              <w:rPr>
                <w:rFonts w:ascii="Arial" w:cs="Arial" w:eastAsia="Arial" w:hAnsi="Arial"/>
                <w:sz w:val="14"/>
                <w:szCs w:val="14"/>
                <w:color w:val="001641"/>
              </w:rPr>
              <w:t>Total Reported in Fiscal 2022 SCT</w:t>
            </w:r>
          </w:p>
        </w:tc>
        <w:tc>
          <w:tcPr>
            <w:tcW w:w="1200" w:type="dxa"/>
            <w:vAlign w:val="bottom"/>
            <w:tcBorders>
              <w:bottom w:val="single" w:sz="8" w:color="EBE1D2"/>
            </w:tcBorders>
            <w:shd w:val="clear" w:color="auto" w:fill="EBE1D2"/>
          </w:tcPr>
          <w:p>
            <w:pPr>
              <w:jc w:val="right"/>
              <w:ind w:right="48"/>
              <w:spacing w:after="0"/>
              <w:rPr>
                <w:sz w:val="20"/>
                <w:szCs w:val="20"/>
                <w:color w:val="auto"/>
              </w:rPr>
            </w:pPr>
            <w:r>
              <w:rPr>
                <w:rFonts w:ascii="Arial" w:cs="Arial" w:eastAsia="Arial" w:hAnsi="Arial"/>
                <w:sz w:val="14"/>
                <w:szCs w:val="14"/>
                <w:color w:val="001641"/>
              </w:rPr>
              <w:t>18,553,058</w:t>
            </w:r>
          </w:p>
        </w:tc>
        <w:tc>
          <w:tcPr>
            <w:tcW w:w="1260" w:type="dxa"/>
            <w:vAlign w:val="bottom"/>
            <w:tcBorders>
              <w:bottom w:val="single" w:sz="8" w:color="EBE1D2"/>
            </w:tcBorders>
            <w:shd w:val="clear" w:color="auto" w:fill="EBE1D2"/>
          </w:tcPr>
          <w:p>
            <w:pPr>
              <w:jc w:val="right"/>
              <w:ind w:right="108"/>
              <w:spacing w:after="0"/>
              <w:rPr>
                <w:sz w:val="20"/>
                <w:szCs w:val="20"/>
                <w:color w:val="auto"/>
              </w:rPr>
            </w:pPr>
            <w:r>
              <w:rPr>
                <w:rFonts w:ascii="Arial" w:cs="Arial" w:eastAsia="Arial" w:hAnsi="Arial"/>
                <w:sz w:val="14"/>
                <w:szCs w:val="14"/>
                <w:color w:val="001641"/>
              </w:rPr>
              <w:t>12,597,031</w:t>
            </w:r>
          </w:p>
        </w:tc>
      </w:tr>
      <w:tr>
        <w:trPr>
          <w:trHeight w:val="202"/>
        </w:trPr>
        <w:tc>
          <w:tcPr>
            <w:tcW w:w="6480" w:type="dxa"/>
            <w:vAlign w:val="bottom"/>
            <w:tcBorders>
              <w:top w:val="single" w:sz="8" w:color="BFA071"/>
            </w:tcBorders>
          </w:tcPr>
          <w:p>
            <w:pPr>
              <w:ind w:left="60"/>
              <w:spacing w:after="0"/>
              <w:rPr>
                <w:sz w:val="20"/>
                <w:szCs w:val="20"/>
                <w:color w:val="auto"/>
              </w:rPr>
            </w:pPr>
            <w:r>
              <w:rPr>
                <w:rFonts w:ascii="Arial" w:cs="Arial" w:eastAsia="Arial" w:hAnsi="Arial"/>
                <w:sz w:val="14"/>
                <w:szCs w:val="14"/>
                <w:color w:val="001641"/>
              </w:rPr>
              <w:t>Less: Value of stock awards reported in SCT</w:t>
            </w:r>
          </w:p>
        </w:tc>
        <w:tc>
          <w:tcPr>
            <w:tcW w:w="1200" w:type="dxa"/>
            <w:vAlign w:val="bottom"/>
            <w:tcBorders>
              <w:top w:val="single" w:sz="8" w:color="BFA071"/>
            </w:tcBorders>
          </w:tcPr>
          <w:p>
            <w:pPr>
              <w:jc w:val="right"/>
              <w:ind w:right="48"/>
              <w:spacing w:after="0"/>
              <w:rPr>
                <w:sz w:val="20"/>
                <w:szCs w:val="20"/>
                <w:color w:val="auto"/>
              </w:rPr>
            </w:pPr>
            <w:r>
              <w:rPr>
                <w:rFonts w:ascii="Arial" w:cs="Arial" w:eastAsia="Arial" w:hAnsi="Arial"/>
                <w:sz w:val="14"/>
                <w:szCs w:val="14"/>
                <w:color w:val="001641"/>
              </w:rPr>
              <w:t>9,228,711</w:t>
            </w:r>
          </w:p>
        </w:tc>
        <w:tc>
          <w:tcPr>
            <w:tcW w:w="1260" w:type="dxa"/>
            <w:vAlign w:val="bottom"/>
            <w:tcBorders>
              <w:top w:val="single" w:sz="8" w:color="BFA071"/>
            </w:tcBorders>
          </w:tcPr>
          <w:p>
            <w:pPr>
              <w:jc w:val="right"/>
              <w:ind w:right="108"/>
              <w:spacing w:after="0"/>
              <w:rPr>
                <w:sz w:val="20"/>
                <w:szCs w:val="20"/>
                <w:color w:val="auto"/>
              </w:rPr>
            </w:pPr>
            <w:r>
              <w:rPr>
                <w:rFonts w:ascii="Arial" w:cs="Arial" w:eastAsia="Arial" w:hAnsi="Arial"/>
                <w:sz w:val="14"/>
                <w:szCs w:val="14"/>
                <w:color w:val="001641"/>
              </w:rPr>
              <w:t>5,258,016</w:t>
            </w:r>
          </w:p>
        </w:tc>
      </w:tr>
      <w:tr>
        <w:trPr>
          <w:trHeight w:val="22"/>
        </w:trPr>
        <w:tc>
          <w:tcPr>
            <w:tcW w:w="6480" w:type="dxa"/>
            <w:vAlign w:val="bottom"/>
            <w:tcBorders>
              <w:bottom w:val="single" w:sz="8" w:color="BFA071"/>
            </w:tcBorders>
          </w:tcPr>
          <w:p>
            <w:pPr>
              <w:spacing w:after="0" w:line="20" w:lineRule="exact"/>
              <w:rPr>
                <w:sz w:val="1"/>
                <w:szCs w:val="1"/>
                <w:color w:val="auto"/>
              </w:rPr>
            </w:pPr>
          </w:p>
        </w:tc>
        <w:tc>
          <w:tcPr>
            <w:tcW w:w="120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202"/>
        </w:trPr>
        <w:tc>
          <w:tcPr>
            <w:tcW w:w="6480" w:type="dxa"/>
            <w:vAlign w:val="bottom"/>
          </w:tcPr>
          <w:p>
            <w:pPr>
              <w:ind w:left="60"/>
              <w:spacing w:after="0"/>
              <w:rPr>
                <w:sz w:val="20"/>
                <w:szCs w:val="20"/>
                <w:color w:val="auto"/>
              </w:rPr>
            </w:pPr>
            <w:r>
              <w:rPr>
                <w:rFonts w:ascii="Arial" w:cs="Arial" w:eastAsia="Arial" w:hAnsi="Arial"/>
                <w:sz w:val="14"/>
                <w:szCs w:val="14"/>
                <w:color w:val="001641"/>
              </w:rPr>
              <w:t>Plus: Year-end value of stock awards granted in fiscal year that are outstanding and unvested</w:t>
            </w:r>
          </w:p>
        </w:tc>
        <w:tc>
          <w:tcPr>
            <w:tcW w:w="1200" w:type="dxa"/>
            <w:vAlign w:val="bottom"/>
          </w:tcPr>
          <w:p>
            <w:pPr>
              <w:jc w:val="right"/>
              <w:ind w:right="48"/>
              <w:spacing w:after="0"/>
              <w:rPr>
                <w:sz w:val="20"/>
                <w:szCs w:val="20"/>
                <w:color w:val="auto"/>
              </w:rPr>
            </w:pPr>
            <w:r>
              <w:rPr>
                <w:rFonts w:ascii="Arial" w:cs="Arial" w:eastAsia="Arial" w:hAnsi="Arial"/>
                <w:sz w:val="14"/>
                <w:szCs w:val="14"/>
                <w:color w:val="001641"/>
              </w:rPr>
              <w:t>10,881,406</w:t>
            </w:r>
          </w:p>
        </w:tc>
        <w:tc>
          <w:tcPr>
            <w:tcW w:w="1260" w:type="dxa"/>
            <w:vAlign w:val="bottom"/>
          </w:tcPr>
          <w:p>
            <w:pPr>
              <w:jc w:val="right"/>
              <w:ind w:right="108"/>
              <w:spacing w:after="0"/>
              <w:rPr>
                <w:sz w:val="20"/>
                <w:szCs w:val="20"/>
                <w:color w:val="auto"/>
              </w:rPr>
            </w:pPr>
            <w:r>
              <w:rPr>
                <w:rFonts w:ascii="Arial" w:cs="Arial" w:eastAsia="Arial" w:hAnsi="Arial"/>
                <w:sz w:val="14"/>
                <w:szCs w:val="14"/>
                <w:color w:val="001641"/>
              </w:rPr>
              <w:t>5,950,050</w:t>
            </w:r>
          </w:p>
        </w:tc>
      </w:tr>
      <w:tr>
        <w:trPr>
          <w:trHeight w:val="22"/>
        </w:trPr>
        <w:tc>
          <w:tcPr>
            <w:tcW w:w="6480" w:type="dxa"/>
            <w:vAlign w:val="bottom"/>
            <w:tcBorders>
              <w:bottom w:val="single" w:sz="8" w:color="BFA071"/>
            </w:tcBorders>
          </w:tcPr>
          <w:p>
            <w:pPr>
              <w:spacing w:after="0" w:line="20" w:lineRule="exact"/>
              <w:rPr>
                <w:sz w:val="1"/>
                <w:szCs w:val="1"/>
                <w:color w:val="auto"/>
              </w:rPr>
            </w:pPr>
          </w:p>
        </w:tc>
        <w:tc>
          <w:tcPr>
            <w:tcW w:w="120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173"/>
        </w:trPr>
        <w:tc>
          <w:tcPr>
            <w:tcW w:w="6480" w:type="dxa"/>
            <w:vAlign w:val="bottom"/>
          </w:tcPr>
          <w:p>
            <w:pPr>
              <w:ind w:left="60"/>
              <w:spacing w:after="0"/>
              <w:rPr>
                <w:sz w:val="20"/>
                <w:szCs w:val="20"/>
                <w:color w:val="auto"/>
              </w:rPr>
            </w:pPr>
            <w:r>
              <w:rPr>
                <w:rFonts w:ascii="Arial" w:cs="Arial" w:eastAsia="Arial" w:hAnsi="Arial"/>
                <w:sz w:val="14"/>
                <w:szCs w:val="14"/>
                <w:color w:val="001641"/>
              </w:rPr>
              <w:t>Plus: Change in fair value (from prior year-end) of stock awards granted in prior years that are</w:t>
            </w:r>
          </w:p>
        </w:tc>
        <w:tc>
          <w:tcPr>
            <w:tcW w:w="1200" w:type="dxa"/>
            <w:vAlign w:val="bottom"/>
          </w:tcPr>
          <w:p>
            <w:pPr>
              <w:jc w:val="right"/>
              <w:ind w:right="8"/>
              <w:spacing w:after="0"/>
              <w:rPr>
                <w:sz w:val="20"/>
                <w:szCs w:val="20"/>
                <w:color w:val="auto"/>
              </w:rPr>
            </w:pPr>
            <w:r>
              <w:rPr>
                <w:rFonts w:ascii="Arial" w:cs="Arial" w:eastAsia="Arial" w:hAnsi="Arial"/>
                <w:sz w:val="14"/>
                <w:szCs w:val="14"/>
                <w:color w:val="001641"/>
              </w:rPr>
              <w:t>(2,116,559)</w:t>
            </w:r>
          </w:p>
        </w:tc>
        <w:tc>
          <w:tcPr>
            <w:tcW w:w="1260" w:type="dxa"/>
            <w:vAlign w:val="bottom"/>
          </w:tcPr>
          <w:p>
            <w:pPr>
              <w:jc w:val="right"/>
              <w:ind w:right="48"/>
              <w:spacing w:after="0"/>
              <w:rPr>
                <w:sz w:val="20"/>
                <w:szCs w:val="20"/>
                <w:color w:val="auto"/>
              </w:rPr>
            </w:pPr>
            <w:r>
              <w:rPr>
                <w:rFonts w:ascii="Arial" w:cs="Arial" w:eastAsia="Arial" w:hAnsi="Arial"/>
                <w:sz w:val="14"/>
                <w:szCs w:val="14"/>
                <w:color w:val="001641"/>
              </w:rPr>
              <w:t>(1,082,579)</w:t>
            </w:r>
          </w:p>
        </w:tc>
      </w:tr>
      <w:tr>
        <w:trPr>
          <w:trHeight w:val="190"/>
        </w:trPr>
        <w:tc>
          <w:tcPr>
            <w:tcW w:w="6480" w:type="dxa"/>
            <w:vAlign w:val="bottom"/>
          </w:tcPr>
          <w:p>
            <w:pPr>
              <w:ind w:left="60"/>
              <w:spacing w:after="0"/>
              <w:rPr>
                <w:sz w:val="20"/>
                <w:szCs w:val="20"/>
                <w:color w:val="auto"/>
              </w:rPr>
            </w:pPr>
            <w:r>
              <w:rPr>
                <w:rFonts w:ascii="Arial" w:cs="Arial" w:eastAsia="Arial" w:hAnsi="Arial"/>
                <w:sz w:val="14"/>
                <w:szCs w:val="14"/>
                <w:color w:val="001641"/>
              </w:rPr>
              <w:t>outstanding and unvested</w:t>
            </w: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
        </w:trPr>
        <w:tc>
          <w:tcPr>
            <w:tcW w:w="6480" w:type="dxa"/>
            <w:vAlign w:val="bottom"/>
            <w:tcBorders>
              <w:bottom w:val="single" w:sz="8" w:color="BFA071"/>
            </w:tcBorders>
          </w:tcPr>
          <w:p>
            <w:pPr>
              <w:spacing w:after="0" w:line="20" w:lineRule="exact"/>
              <w:rPr>
                <w:sz w:val="1"/>
                <w:szCs w:val="1"/>
                <w:color w:val="auto"/>
              </w:rPr>
            </w:pPr>
          </w:p>
        </w:tc>
        <w:tc>
          <w:tcPr>
            <w:tcW w:w="120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201"/>
        </w:trPr>
        <w:tc>
          <w:tcPr>
            <w:tcW w:w="6480" w:type="dxa"/>
            <w:vAlign w:val="bottom"/>
          </w:tcPr>
          <w:p>
            <w:pPr>
              <w:ind w:left="60"/>
              <w:spacing w:after="0"/>
              <w:rPr>
                <w:sz w:val="20"/>
                <w:szCs w:val="20"/>
                <w:color w:val="auto"/>
              </w:rPr>
            </w:pPr>
            <w:r>
              <w:rPr>
                <w:rFonts w:ascii="Arial" w:cs="Arial" w:eastAsia="Arial" w:hAnsi="Arial"/>
                <w:sz w:val="14"/>
                <w:szCs w:val="14"/>
                <w:color w:val="001641"/>
              </w:rPr>
              <w:t>Plus: Fair value of awards granted this year and that vested this year</w:t>
            </w:r>
          </w:p>
        </w:tc>
        <w:tc>
          <w:tcPr>
            <w:tcW w:w="1200" w:type="dxa"/>
            <w:vAlign w:val="bottom"/>
          </w:tcPr>
          <w:p>
            <w:pPr>
              <w:jc w:val="right"/>
              <w:ind w:right="48"/>
              <w:spacing w:after="0"/>
              <w:rPr>
                <w:sz w:val="20"/>
                <w:szCs w:val="20"/>
                <w:color w:val="auto"/>
              </w:rPr>
            </w:pPr>
            <w:r>
              <w:rPr>
                <w:rFonts w:ascii="Arial" w:cs="Arial" w:eastAsia="Arial" w:hAnsi="Arial"/>
                <w:sz w:val="14"/>
                <w:szCs w:val="14"/>
                <w:color w:val="001641"/>
              </w:rPr>
              <w:t>0</w:t>
            </w:r>
          </w:p>
        </w:tc>
        <w:tc>
          <w:tcPr>
            <w:tcW w:w="1260" w:type="dxa"/>
            <w:vAlign w:val="bottom"/>
          </w:tcPr>
          <w:p>
            <w:pPr>
              <w:jc w:val="right"/>
              <w:ind w:right="88"/>
              <w:spacing w:after="0"/>
              <w:rPr>
                <w:sz w:val="20"/>
                <w:szCs w:val="20"/>
                <w:color w:val="auto"/>
              </w:rPr>
            </w:pPr>
            <w:r>
              <w:rPr>
                <w:rFonts w:ascii="Arial" w:cs="Arial" w:eastAsia="Arial" w:hAnsi="Arial"/>
                <w:sz w:val="14"/>
                <w:szCs w:val="14"/>
                <w:color w:val="001641"/>
              </w:rPr>
              <w:t>0</w:t>
            </w:r>
          </w:p>
        </w:tc>
      </w:tr>
      <w:tr>
        <w:trPr>
          <w:trHeight w:val="22"/>
        </w:trPr>
        <w:tc>
          <w:tcPr>
            <w:tcW w:w="6480" w:type="dxa"/>
            <w:vAlign w:val="bottom"/>
            <w:tcBorders>
              <w:bottom w:val="single" w:sz="8" w:color="BFA071"/>
            </w:tcBorders>
          </w:tcPr>
          <w:p>
            <w:pPr>
              <w:spacing w:after="0" w:line="20" w:lineRule="exact"/>
              <w:rPr>
                <w:sz w:val="1"/>
                <w:szCs w:val="1"/>
                <w:color w:val="auto"/>
              </w:rPr>
            </w:pPr>
          </w:p>
        </w:tc>
        <w:tc>
          <w:tcPr>
            <w:tcW w:w="120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202"/>
        </w:trPr>
        <w:tc>
          <w:tcPr>
            <w:tcW w:w="6480" w:type="dxa"/>
            <w:vAlign w:val="bottom"/>
          </w:tcPr>
          <w:p>
            <w:pPr>
              <w:ind w:left="60"/>
              <w:spacing w:after="0"/>
              <w:rPr>
                <w:sz w:val="20"/>
                <w:szCs w:val="20"/>
                <w:color w:val="auto"/>
              </w:rPr>
            </w:pPr>
            <w:r>
              <w:rPr>
                <w:rFonts w:ascii="Arial" w:cs="Arial" w:eastAsia="Arial" w:hAnsi="Arial"/>
                <w:sz w:val="14"/>
                <w:szCs w:val="14"/>
                <w:color w:val="001641"/>
              </w:rPr>
              <w:t>Plus: Change in fair value (from prior year-end) of prior year stock awards that vested this year</w:t>
            </w:r>
          </w:p>
        </w:tc>
        <w:tc>
          <w:tcPr>
            <w:tcW w:w="1200" w:type="dxa"/>
            <w:vAlign w:val="bottom"/>
          </w:tcPr>
          <w:p>
            <w:pPr>
              <w:jc w:val="right"/>
              <w:ind w:right="48"/>
              <w:spacing w:after="0"/>
              <w:rPr>
                <w:sz w:val="20"/>
                <w:szCs w:val="20"/>
                <w:color w:val="auto"/>
              </w:rPr>
            </w:pPr>
            <w:r>
              <w:rPr>
                <w:rFonts w:ascii="Arial" w:cs="Arial" w:eastAsia="Arial" w:hAnsi="Arial"/>
                <w:sz w:val="14"/>
                <w:szCs w:val="14"/>
                <w:color w:val="001641"/>
              </w:rPr>
              <w:t>53,977</w:t>
            </w:r>
          </w:p>
        </w:tc>
        <w:tc>
          <w:tcPr>
            <w:tcW w:w="1260" w:type="dxa"/>
            <w:vAlign w:val="bottom"/>
          </w:tcPr>
          <w:p>
            <w:pPr>
              <w:jc w:val="right"/>
              <w:ind w:right="88"/>
              <w:spacing w:after="0"/>
              <w:rPr>
                <w:sz w:val="20"/>
                <w:szCs w:val="20"/>
                <w:color w:val="auto"/>
              </w:rPr>
            </w:pPr>
            <w:r>
              <w:rPr>
                <w:rFonts w:ascii="Arial" w:cs="Arial" w:eastAsia="Arial" w:hAnsi="Arial"/>
                <w:sz w:val="14"/>
                <w:szCs w:val="14"/>
                <w:color w:val="001641"/>
              </w:rPr>
              <w:t>1,921</w:t>
            </w:r>
          </w:p>
        </w:tc>
      </w:tr>
      <w:tr>
        <w:trPr>
          <w:trHeight w:val="22"/>
        </w:trPr>
        <w:tc>
          <w:tcPr>
            <w:tcW w:w="6480" w:type="dxa"/>
            <w:vAlign w:val="bottom"/>
            <w:tcBorders>
              <w:bottom w:val="single" w:sz="8" w:color="BFA071"/>
            </w:tcBorders>
          </w:tcPr>
          <w:p>
            <w:pPr>
              <w:spacing w:after="0" w:line="20" w:lineRule="exact"/>
              <w:rPr>
                <w:sz w:val="1"/>
                <w:szCs w:val="1"/>
                <w:color w:val="auto"/>
              </w:rPr>
            </w:pPr>
          </w:p>
        </w:tc>
        <w:tc>
          <w:tcPr>
            <w:tcW w:w="120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201"/>
        </w:trPr>
        <w:tc>
          <w:tcPr>
            <w:tcW w:w="6480" w:type="dxa"/>
            <w:vAlign w:val="bottom"/>
          </w:tcPr>
          <w:p>
            <w:pPr>
              <w:ind w:left="60"/>
              <w:spacing w:after="0"/>
              <w:rPr>
                <w:sz w:val="20"/>
                <w:szCs w:val="20"/>
                <w:color w:val="auto"/>
              </w:rPr>
            </w:pPr>
            <w:r>
              <w:rPr>
                <w:rFonts w:ascii="Arial" w:cs="Arial" w:eastAsia="Arial" w:hAnsi="Arial"/>
                <w:sz w:val="14"/>
                <w:szCs w:val="14"/>
                <w:color w:val="001641"/>
              </w:rPr>
              <w:t>Less: Prior year-end fair value of stock awards granted in prior years that failed to vest this year</w:t>
            </w:r>
          </w:p>
        </w:tc>
        <w:tc>
          <w:tcPr>
            <w:tcW w:w="1200" w:type="dxa"/>
            <w:vAlign w:val="bottom"/>
          </w:tcPr>
          <w:p>
            <w:pPr>
              <w:jc w:val="right"/>
              <w:ind w:right="48"/>
              <w:spacing w:after="0"/>
              <w:rPr>
                <w:sz w:val="20"/>
                <w:szCs w:val="20"/>
                <w:color w:val="auto"/>
              </w:rPr>
            </w:pPr>
            <w:r>
              <w:rPr>
                <w:rFonts w:ascii="Arial" w:cs="Arial" w:eastAsia="Arial" w:hAnsi="Arial"/>
                <w:sz w:val="14"/>
                <w:szCs w:val="14"/>
                <w:color w:val="001641"/>
              </w:rPr>
              <w:t>0</w:t>
            </w:r>
          </w:p>
        </w:tc>
        <w:tc>
          <w:tcPr>
            <w:tcW w:w="1260" w:type="dxa"/>
            <w:vAlign w:val="bottom"/>
          </w:tcPr>
          <w:p>
            <w:pPr>
              <w:jc w:val="right"/>
              <w:ind w:right="88"/>
              <w:spacing w:after="0"/>
              <w:rPr>
                <w:sz w:val="20"/>
                <w:szCs w:val="20"/>
                <w:color w:val="auto"/>
              </w:rPr>
            </w:pPr>
            <w:r>
              <w:rPr>
                <w:rFonts w:ascii="Arial" w:cs="Arial" w:eastAsia="Arial" w:hAnsi="Arial"/>
                <w:sz w:val="14"/>
                <w:szCs w:val="14"/>
                <w:color w:val="001641"/>
              </w:rPr>
              <w:t>0</w:t>
            </w:r>
          </w:p>
        </w:tc>
      </w:tr>
      <w:tr>
        <w:trPr>
          <w:trHeight w:val="22"/>
        </w:trPr>
        <w:tc>
          <w:tcPr>
            <w:tcW w:w="6480" w:type="dxa"/>
            <w:vAlign w:val="bottom"/>
            <w:tcBorders>
              <w:bottom w:val="single" w:sz="8" w:color="BFA071"/>
            </w:tcBorders>
          </w:tcPr>
          <w:p>
            <w:pPr>
              <w:spacing w:after="0" w:line="20" w:lineRule="exact"/>
              <w:rPr>
                <w:sz w:val="1"/>
                <w:szCs w:val="1"/>
                <w:color w:val="auto"/>
              </w:rPr>
            </w:pPr>
          </w:p>
        </w:tc>
        <w:tc>
          <w:tcPr>
            <w:tcW w:w="1200" w:type="dxa"/>
            <w:vAlign w:val="bottom"/>
            <w:tcBorders>
              <w:bottom w:val="single" w:sz="8" w:color="BFA071"/>
            </w:tcBorders>
          </w:tcPr>
          <w:p>
            <w:pPr>
              <w:spacing w:after="0" w:line="20" w:lineRule="exact"/>
              <w:rPr>
                <w:sz w:val="1"/>
                <w:szCs w:val="1"/>
                <w:color w:val="auto"/>
              </w:rPr>
            </w:pPr>
          </w:p>
        </w:tc>
        <w:tc>
          <w:tcPr>
            <w:tcW w:w="1260" w:type="dxa"/>
            <w:vAlign w:val="bottom"/>
            <w:tcBorders>
              <w:bottom w:val="single" w:sz="8" w:color="BFA071"/>
            </w:tcBorders>
          </w:tcPr>
          <w:p>
            <w:pPr>
              <w:spacing w:after="0" w:line="20" w:lineRule="exact"/>
              <w:rPr>
                <w:sz w:val="1"/>
                <w:szCs w:val="1"/>
                <w:color w:val="auto"/>
              </w:rPr>
            </w:pPr>
          </w:p>
        </w:tc>
      </w:tr>
      <w:tr>
        <w:trPr>
          <w:trHeight w:val="190"/>
        </w:trPr>
        <w:tc>
          <w:tcPr>
            <w:tcW w:w="6480" w:type="dxa"/>
            <w:vAlign w:val="bottom"/>
            <w:tcBorders>
              <w:bottom w:val="single" w:sz="8" w:color="EBE1D2"/>
            </w:tcBorders>
            <w:shd w:val="clear" w:color="auto" w:fill="EBE1D2"/>
          </w:tcPr>
          <w:p>
            <w:pPr>
              <w:ind w:left="60"/>
              <w:spacing w:after="0"/>
              <w:rPr>
                <w:sz w:val="20"/>
                <w:szCs w:val="20"/>
                <w:color w:val="auto"/>
              </w:rPr>
            </w:pPr>
            <w:r>
              <w:rPr>
                <w:rFonts w:ascii="Arial" w:cs="Arial" w:eastAsia="Arial" w:hAnsi="Arial"/>
                <w:sz w:val="14"/>
                <w:szCs w:val="14"/>
                <w:color w:val="001641"/>
              </w:rPr>
              <w:t>Compensation Actually Paid for Fiscal 2022</w:t>
            </w:r>
          </w:p>
        </w:tc>
        <w:tc>
          <w:tcPr>
            <w:tcW w:w="1200" w:type="dxa"/>
            <w:vAlign w:val="bottom"/>
            <w:tcBorders>
              <w:bottom w:val="single" w:sz="8" w:color="EBE1D2"/>
            </w:tcBorders>
            <w:shd w:val="clear" w:color="auto" w:fill="EBE1D2"/>
          </w:tcPr>
          <w:p>
            <w:pPr>
              <w:jc w:val="right"/>
              <w:ind w:right="48"/>
              <w:spacing w:after="0"/>
              <w:rPr>
                <w:sz w:val="20"/>
                <w:szCs w:val="20"/>
                <w:color w:val="auto"/>
              </w:rPr>
            </w:pPr>
            <w:r>
              <w:rPr>
                <w:rFonts w:ascii="Arial" w:cs="Arial" w:eastAsia="Arial" w:hAnsi="Arial"/>
                <w:sz w:val="14"/>
                <w:szCs w:val="14"/>
                <w:color w:val="001641"/>
              </w:rPr>
              <w:t>18,143,171</w:t>
            </w:r>
          </w:p>
        </w:tc>
        <w:tc>
          <w:tcPr>
            <w:tcW w:w="1260" w:type="dxa"/>
            <w:vAlign w:val="bottom"/>
            <w:tcBorders>
              <w:bottom w:val="single" w:sz="8" w:color="EBE1D2"/>
            </w:tcBorders>
            <w:shd w:val="clear" w:color="auto" w:fill="EBE1D2"/>
          </w:tcPr>
          <w:p>
            <w:pPr>
              <w:jc w:val="right"/>
              <w:ind w:right="108"/>
              <w:spacing w:after="0"/>
              <w:rPr>
                <w:sz w:val="20"/>
                <w:szCs w:val="20"/>
                <w:color w:val="auto"/>
              </w:rPr>
            </w:pPr>
            <w:r>
              <w:rPr>
                <w:rFonts w:ascii="Arial" w:cs="Arial" w:eastAsia="Arial" w:hAnsi="Arial"/>
                <w:sz w:val="14"/>
                <w:szCs w:val="14"/>
                <w:color w:val="001641"/>
              </w:rPr>
              <w:t>12,208,407</w:t>
            </w:r>
          </w:p>
        </w:tc>
      </w:tr>
      <w:tr>
        <w:trPr>
          <w:trHeight w:val="20"/>
        </w:trPr>
        <w:tc>
          <w:tcPr>
            <w:tcW w:w="6480" w:type="dxa"/>
            <w:vAlign w:val="bottom"/>
            <w:shd w:val="clear" w:color="auto" w:fill="001641"/>
          </w:tcPr>
          <w:p>
            <w:pPr>
              <w:spacing w:after="0" w:line="20" w:lineRule="exact"/>
              <w:rPr>
                <w:sz w:val="1"/>
                <w:szCs w:val="1"/>
                <w:color w:val="auto"/>
              </w:rPr>
            </w:pPr>
          </w:p>
        </w:tc>
        <w:tc>
          <w:tcPr>
            <w:tcW w:w="1200" w:type="dxa"/>
            <w:vAlign w:val="bottom"/>
            <w:shd w:val="clear" w:color="auto" w:fill="001641"/>
          </w:tcPr>
          <w:p>
            <w:pPr>
              <w:spacing w:after="0" w:line="20" w:lineRule="exact"/>
              <w:rPr>
                <w:sz w:val="1"/>
                <w:szCs w:val="1"/>
                <w:color w:val="auto"/>
              </w:rPr>
            </w:pPr>
          </w:p>
        </w:tc>
        <w:tc>
          <w:tcPr>
            <w:tcW w:w="1260" w:type="dxa"/>
            <w:vAlign w:val="bottom"/>
            <w:shd w:val="clear" w:color="auto" w:fill="001641"/>
          </w:tcPr>
          <w:p>
            <w:pPr>
              <w:spacing w:after="0" w:line="20" w:lineRule="exact"/>
              <w:rPr>
                <w:sz w:val="1"/>
                <w:szCs w:val="1"/>
                <w:color w:val="auto"/>
              </w:rPr>
            </w:pPr>
          </w:p>
        </w:tc>
      </w:tr>
    </w:tbl>
    <w:p>
      <w:pPr>
        <w:spacing w:after="0" w:line="153" w:lineRule="exact"/>
        <w:rPr>
          <w:sz w:val="20"/>
          <w:szCs w:val="20"/>
          <w:color w:val="auto"/>
        </w:rPr>
      </w:pPr>
    </w:p>
    <w:p>
      <w:pPr>
        <w:ind w:left="246" w:right="500" w:hanging="246"/>
        <w:spacing w:after="0" w:line="281" w:lineRule="auto"/>
        <w:tabs>
          <w:tab w:leader="none" w:pos="246" w:val="left"/>
        </w:tabs>
        <w:numPr>
          <w:ilvl w:val="0"/>
          <w:numId w:val="99"/>
        </w:numPr>
        <w:rPr>
          <w:rFonts w:ascii="Arial" w:cs="Arial" w:eastAsia="Arial" w:hAnsi="Arial"/>
          <w:sz w:val="14"/>
          <w:szCs w:val="14"/>
          <w:color w:val="4C4C4C"/>
        </w:rPr>
      </w:pPr>
      <w:r>
        <w:rPr>
          <w:rFonts w:ascii="Arial" w:cs="Arial" w:eastAsia="Arial" w:hAnsi="Arial"/>
          <w:sz w:val="14"/>
          <w:szCs w:val="14"/>
          <w:color w:val="4C4C4C"/>
        </w:rPr>
        <w:t>The peer group used for this purpose is the S&amp;P Composite 1500 Apparel, Accessories &amp; Luxury Goods Index which is also used for purposes of the Stock Performance Graph in our 2026 Annual Report on Form 10-K.</w:t>
      </w:r>
    </w:p>
    <w:p>
      <w:pPr>
        <w:spacing w:after="0" w:line="1" w:lineRule="exact"/>
        <w:rPr>
          <w:rFonts w:ascii="Arial" w:cs="Arial" w:eastAsia="Arial" w:hAnsi="Arial"/>
          <w:sz w:val="14"/>
          <w:szCs w:val="14"/>
          <w:color w:val="4C4C4C"/>
        </w:rPr>
      </w:pPr>
    </w:p>
    <w:p>
      <w:pPr>
        <w:ind w:left="246" w:right="280" w:hanging="246"/>
        <w:spacing w:after="0" w:line="256" w:lineRule="auto"/>
        <w:tabs>
          <w:tab w:leader="none" w:pos="246" w:val="left"/>
        </w:tabs>
        <w:numPr>
          <w:ilvl w:val="0"/>
          <w:numId w:val="99"/>
        </w:numPr>
        <w:rPr>
          <w:rFonts w:ascii="Arial" w:cs="Arial" w:eastAsia="Arial" w:hAnsi="Arial"/>
          <w:sz w:val="14"/>
          <w:szCs w:val="14"/>
          <w:color w:val="4C4C4C"/>
        </w:rPr>
      </w:pPr>
      <w:r>
        <w:rPr>
          <w:rFonts w:ascii="Arial" w:cs="Arial" w:eastAsia="Arial" w:hAnsi="Arial"/>
          <w:sz w:val="14"/>
          <w:szCs w:val="14"/>
          <w:color w:val="4C4C4C"/>
        </w:rPr>
        <w:t>We chose Adjusted Operating Profit Margin on a constant dollar basis as our Company Selected measure for evaluating Pay versus Performance because it is a key metric in our short-term incentive plan and in our long-term incentive plan for PSUs. Adjusted Operating Profit Margin is a non-GAAP measure. In our 2023 and Fiscal 2022 Proxy Statement Adjusted Operating Profit Margin results were presented on a reported dollar basis.</w:t>
      </w:r>
    </w:p>
    <w:p>
      <w:pPr>
        <w:spacing w:after="0" w:line="18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001641"/>
        </w:rPr>
        <w:t>Tabular List</w:t>
      </w:r>
    </w:p>
    <w:p>
      <w:pPr>
        <w:spacing w:after="0" w:line="100" w:lineRule="exact"/>
        <w:rPr>
          <w:sz w:val="20"/>
          <w:szCs w:val="20"/>
          <w:color w:val="auto"/>
        </w:rPr>
      </w:pPr>
    </w:p>
    <w:p>
      <w:pPr>
        <w:ind w:left="6" w:right="260"/>
        <w:spacing w:after="0" w:line="259" w:lineRule="auto"/>
        <w:rPr>
          <w:sz w:val="20"/>
          <w:szCs w:val="20"/>
          <w:color w:val="auto"/>
        </w:rPr>
      </w:pPr>
      <w:r>
        <w:rPr>
          <w:rFonts w:ascii="Arial" w:cs="Arial" w:eastAsia="Arial" w:hAnsi="Arial"/>
          <w:sz w:val="16"/>
          <w:szCs w:val="16"/>
          <w:color w:val="auto"/>
        </w:rPr>
        <w:t xml:space="preserve">The following tabular list sets forth those measures, which, in our assessment, represent the four financial performance measures that we use to link the compensation paid to our named executive officers for Fiscal 2026 Company performance. See “Compensation Discussion and Analysis”, beginning on page </w:t>
      </w:r>
      <w:r>
        <w:rPr>
          <w:rFonts w:ascii="Arial" w:cs="Arial" w:eastAsia="Arial" w:hAnsi="Arial"/>
          <w:sz w:val="16"/>
          <w:szCs w:val="16"/>
          <w:u w:val="single" w:color="auto"/>
          <w:color w:val="0000EE"/>
        </w:rPr>
        <w:t>60</w:t>
      </w:r>
      <w:r>
        <w:rPr>
          <w:rFonts w:ascii="Arial" w:cs="Arial" w:eastAsia="Arial" w:hAnsi="Arial"/>
          <w:sz w:val="16"/>
          <w:szCs w:val="16"/>
          <w:color w:val="auto"/>
        </w:rPr>
        <w:t xml:space="preserve"> for more information about how these measures impact our NEOs’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5829300" cy="22288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829300" cy="222885"/>
                    </a:xfrm>
                    <a:prstGeom prst="rect">
                      <a:avLst/>
                    </a:prstGeom>
                    <a:noFill/>
                  </pic:spPr>
                </pic:pic>
              </a:graphicData>
            </a:graphic>
          </wp:anchor>
        </w:drawing>
      </w:r>
    </w:p>
    <w:p>
      <w:pPr>
        <w:spacing w:after="0" w:line="271"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FFFFFF"/>
        </w:rPr>
        <w:t>Financial Performance Measures</w:t>
      </w:r>
    </w:p>
    <w:p>
      <w:pPr>
        <w:spacing w:after="0" w:line="163" w:lineRule="exact"/>
        <w:rPr>
          <w:sz w:val="20"/>
          <w:szCs w:val="20"/>
          <w:color w:val="auto"/>
        </w:rPr>
      </w:pPr>
    </w:p>
    <w:p>
      <w:pPr>
        <w:jc w:val="center"/>
        <w:ind w:right="14"/>
        <w:spacing w:after="0" w:line="285" w:lineRule="auto"/>
        <w:rPr>
          <w:sz w:val="20"/>
          <w:szCs w:val="20"/>
          <w:color w:val="auto"/>
        </w:rPr>
      </w:pPr>
      <w:r>
        <w:rPr>
          <w:rFonts w:ascii="Arial" w:cs="Arial" w:eastAsia="Arial" w:hAnsi="Arial"/>
          <w:sz w:val="14"/>
          <w:szCs w:val="14"/>
          <w:color w:val="001641"/>
        </w:rPr>
        <w:t>Adjusted Operating Profit Margin (“OPM”) (excludes foreign currency effects, restructuring-related charges, impairment of assets, and certain other benefits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582930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 w:lineRule="exact"/>
        <w:rPr>
          <w:sz w:val="20"/>
          <w:szCs w:val="20"/>
          <w:color w:val="auto"/>
        </w:rPr>
      </w:pPr>
    </w:p>
    <w:p>
      <w:pPr>
        <w:jc w:val="center"/>
        <w:ind w:right="-5"/>
        <w:spacing w:after="0"/>
        <w:rPr>
          <w:sz w:val="20"/>
          <w:szCs w:val="20"/>
          <w:color w:val="auto"/>
        </w:rPr>
      </w:pPr>
      <w:r>
        <w:rPr>
          <w:rFonts w:ascii="Arial" w:cs="Arial" w:eastAsia="Arial" w:hAnsi="Arial"/>
          <w:sz w:val="14"/>
          <w:szCs w:val="14"/>
          <w:color w:val="001641"/>
        </w:rPr>
        <w:t>Total Company Revenue (excludes foreign currency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582930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2" w:lineRule="exact"/>
        <w:rPr>
          <w:sz w:val="20"/>
          <w:szCs w:val="20"/>
          <w:color w:val="auto"/>
        </w:rPr>
      </w:pPr>
    </w:p>
    <w:p>
      <w:pPr>
        <w:jc w:val="center"/>
        <w:ind w:right="-5"/>
        <w:spacing w:after="0"/>
        <w:rPr>
          <w:sz w:val="20"/>
          <w:szCs w:val="20"/>
          <w:color w:val="auto"/>
        </w:rPr>
      </w:pPr>
      <w:r>
        <w:rPr>
          <w:rFonts w:ascii="Arial" w:cs="Arial" w:eastAsia="Arial" w:hAnsi="Arial"/>
          <w:sz w:val="14"/>
          <w:szCs w:val="14"/>
          <w:color w:val="001641"/>
        </w:rPr>
        <w:t>Relative Total Shareholder Return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58293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2" w:lineRule="exact"/>
        <w:rPr>
          <w:sz w:val="20"/>
          <w:szCs w:val="20"/>
          <w:color w:val="auto"/>
        </w:rPr>
      </w:pPr>
    </w:p>
    <w:p>
      <w:pPr>
        <w:jc w:val="center"/>
        <w:ind w:right="-5"/>
        <w:spacing w:after="0"/>
        <w:rPr>
          <w:sz w:val="20"/>
          <w:szCs w:val="20"/>
          <w:color w:val="auto"/>
        </w:rPr>
      </w:pPr>
      <w:r>
        <w:rPr>
          <w:rFonts w:ascii="Arial" w:cs="Arial" w:eastAsia="Arial" w:hAnsi="Arial"/>
          <w:sz w:val="14"/>
          <w:szCs w:val="14"/>
          <w:color w:val="001641"/>
        </w:rPr>
        <w:t>Adjusted Return on Invested Capital (“Adjusted ROIC”))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58293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177800</wp:posOffset>
            </wp:positionV>
            <wp:extent cx="58293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314960</wp:posOffset>
            </wp:positionV>
            <wp:extent cx="128905" cy="11176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6546"/>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001641"/>
        </w:rPr>
        <w:t>Descriptions of Pay Versus Performance Relationships</w:t>
      </w:r>
    </w:p>
    <w:p>
      <w:pPr>
        <w:spacing w:after="0" w:line="8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charts present the relationship of CAP to TSR, Net Income, and Adjusted Operating Profit Margin, as well as the relationship between our TSR and the TSR of the S&amp;P Composite 1500 Apparel, Accessories &amp; Luxury Goods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227965</wp:posOffset>
            </wp:positionV>
            <wp:extent cx="4972050" cy="294894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97205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226695</wp:posOffset>
            </wp:positionV>
            <wp:extent cx="4972050" cy="294894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497205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582930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001641"/>
        </w:rPr>
        <w:t xml:space="preserve">108 </w:t>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302577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5829300"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582930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286385</wp:posOffset>
            </wp:positionV>
            <wp:extent cx="128905" cy="11176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20" w:name="page121"/>
    <w:bookmarkEnd w:id="12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58293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 w:right="420"/>
        <w:spacing w:after="0" w:line="278" w:lineRule="auto"/>
        <w:rPr>
          <w:sz w:val="20"/>
          <w:szCs w:val="20"/>
          <w:color w:val="auto"/>
        </w:rPr>
      </w:pPr>
      <w:r>
        <w:rPr>
          <w:rFonts w:ascii="Times New Roman" w:cs="Times New Roman" w:eastAsia="Times New Roman" w:hAnsi="Times New Roman"/>
          <w:sz w:val="54"/>
          <w:szCs w:val="54"/>
          <w:color w:val="001641"/>
        </w:rPr>
        <w:t>Certain Relationships, Transactions, and Legal proceedings</w:t>
      </w:r>
    </w:p>
    <w:p>
      <w:pPr>
        <w:spacing w:after="0" w:line="200" w:lineRule="exact"/>
        <w:rPr>
          <w:sz w:val="20"/>
          <w:szCs w:val="20"/>
          <w:color w:val="auto"/>
        </w:rPr>
      </w:pPr>
    </w:p>
    <w:p>
      <w:pPr>
        <w:spacing w:after="0" w:line="227" w:lineRule="exact"/>
        <w:rPr>
          <w:sz w:val="20"/>
          <w:szCs w:val="20"/>
          <w:color w:val="auto"/>
        </w:rPr>
      </w:pPr>
    </w:p>
    <w:p>
      <w:pPr>
        <w:ind w:left="6" w:right="60"/>
        <w:spacing w:after="0" w:line="259" w:lineRule="auto"/>
        <w:rPr>
          <w:sz w:val="20"/>
          <w:szCs w:val="20"/>
          <w:color w:val="auto"/>
        </w:rPr>
      </w:pPr>
      <w:r>
        <w:rPr>
          <w:rFonts w:ascii="Arial" w:cs="Arial" w:eastAsia="Arial" w:hAnsi="Arial"/>
          <w:sz w:val="16"/>
          <w:szCs w:val="16"/>
          <w:color w:val="auto"/>
        </w:rPr>
        <w:t>We have adopted a written related party transactions policy detailing the policies and procedures relating to transactions which may present actual, potential, or perceived conflicts of interest and may raise questions as to whether such transactions are consistent with the best interests of us and our stockholders. The Nominating Committee must review and approve or ratify any deemed related party transaction proposed to be entered into by our executive officers or directors.</w:t>
      </w:r>
    </w:p>
    <w:p>
      <w:pPr>
        <w:spacing w:after="0" w:line="124" w:lineRule="exact"/>
        <w:rPr>
          <w:sz w:val="20"/>
          <w:szCs w:val="20"/>
          <w:color w:val="auto"/>
        </w:rPr>
      </w:pPr>
    </w:p>
    <w:p>
      <w:pPr>
        <w:ind w:left="6"/>
        <w:spacing w:after="0" w:line="256" w:lineRule="auto"/>
        <w:rPr>
          <w:sz w:val="20"/>
          <w:szCs w:val="20"/>
          <w:color w:val="auto"/>
        </w:rPr>
      </w:pPr>
      <w:r>
        <w:rPr>
          <w:rFonts w:ascii="Arial" w:cs="Arial" w:eastAsia="Arial" w:hAnsi="Arial"/>
          <w:sz w:val="16"/>
          <w:szCs w:val="16"/>
          <w:color w:val="auto"/>
        </w:rPr>
        <w:t>Under our related party transactions policy, any relationship, arrangement or transactions between us and (i) a director, (ii) an executive officer, (iii) a person known by us to be a beneficial owner of more than 5% of our Common Stock, or (iv) a person known by us to be an immediate family member of any of the foregoing (each of the foregoing clauses (i)-(iv) a “Related Party”), is deemed to be a related party transaction. Under our related party transactions policy, the following transactions are not deemed to be a related party transaction:</w:t>
      </w:r>
    </w:p>
    <w:p>
      <w:pPr>
        <w:spacing w:after="0" w:line="126" w:lineRule="exact"/>
        <w:rPr>
          <w:sz w:val="20"/>
          <w:szCs w:val="20"/>
          <w:color w:val="auto"/>
        </w:rPr>
      </w:pPr>
    </w:p>
    <w:p>
      <w:pPr>
        <w:ind w:left="166" w:right="340" w:hanging="166"/>
        <w:spacing w:after="0" w:line="286" w:lineRule="auto"/>
        <w:tabs>
          <w:tab w:leader="none" w:pos="16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transaction that involves the providing of compensation to a director or executive officer for his or her services in that capacity.</w:t>
      </w:r>
    </w:p>
    <w:p>
      <w:pPr>
        <w:spacing w:after="0" w:line="61" w:lineRule="exact"/>
        <w:rPr>
          <w:rFonts w:ascii="Arial" w:cs="Arial" w:eastAsia="Arial" w:hAnsi="Arial"/>
          <w:sz w:val="16"/>
          <w:szCs w:val="16"/>
          <w:color w:val="auto"/>
        </w:rPr>
      </w:pPr>
    </w:p>
    <w:p>
      <w:pPr>
        <w:ind w:left="166" w:hanging="166"/>
        <w:spacing w:after="0"/>
        <w:tabs>
          <w:tab w:leader="none" w:pos="16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transaction in which the aggregate amount involved is expected to be less than $120,000.</w:t>
      </w:r>
    </w:p>
    <w:p>
      <w:pPr>
        <w:spacing w:after="0" w:line="126" w:lineRule="exact"/>
        <w:rPr>
          <w:rFonts w:ascii="Arial" w:cs="Arial" w:eastAsia="Arial" w:hAnsi="Arial"/>
          <w:sz w:val="16"/>
          <w:szCs w:val="16"/>
          <w:color w:val="auto"/>
        </w:rPr>
      </w:pPr>
    </w:p>
    <w:p>
      <w:pPr>
        <w:ind w:left="166" w:right="60" w:hanging="166"/>
        <w:spacing w:after="0" w:line="266" w:lineRule="auto"/>
        <w:tabs>
          <w:tab w:leader="none" w:pos="16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transaction between us and any entity in which a Related Party has a relationship solely as an employee (other than an executive officer), director or beneficial owner of less than 10% of such entity’s equity, if the aggregate amount involved does not exceed the greater of $1 million or 2% of the other entity’s total annual revenues.</w:t>
      </w:r>
    </w:p>
    <w:p>
      <w:pPr>
        <w:spacing w:after="0" w:line="90" w:lineRule="exact"/>
        <w:rPr>
          <w:rFonts w:ascii="Arial" w:cs="Arial" w:eastAsia="Arial" w:hAnsi="Arial"/>
          <w:sz w:val="16"/>
          <w:szCs w:val="16"/>
          <w:color w:val="auto"/>
        </w:rPr>
      </w:pPr>
    </w:p>
    <w:p>
      <w:pPr>
        <w:ind w:left="166" w:right="140" w:hanging="166"/>
        <w:spacing w:after="0" w:line="286" w:lineRule="auto"/>
        <w:tabs>
          <w:tab w:leader="none" w:pos="16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transaction where the Related Party’s interest arises solely from the ownership of our Common Stock and all holders of our Common Stock receive the same benefit on a pro-rata basis (e.g., dividends).</w:t>
      </w:r>
    </w:p>
    <w:p>
      <w:pPr>
        <w:spacing w:after="0" w:line="61" w:lineRule="exact"/>
        <w:rPr>
          <w:rFonts w:ascii="Arial" w:cs="Arial" w:eastAsia="Arial" w:hAnsi="Arial"/>
          <w:sz w:val="16"/>
          <w:szCs w:val="16"/>
          <w:color w:val="auto"/>
        </w:rPr>
      </w:pPr>
    </w:p>
    <w:p>
      <w:pPr>
        <w:ind w:left="166" w:right="220" w:hanging="166"/>
        <w:spacing w:after="0" w:line="286" w:lineRule="auto"/>
        <w:tabs>
          <w:tab w:leader="none" w:pos="16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transaction with a Related Party involving the rendering of services as a common or contract carrier, or public utility, at rates or charges fixed in conformity with law or governmental authority.</w:t>
      </w:r>
    </w:p>
    <w:p>
      <w:pPr>
        <w:spacing w:after="0" w:line="61" w:lineRule="exact"/>
        <w:rPr>
          <w:rFonts w:ascii="Arial" w:cs="Arial" w:eastAsia="Arial" w:hAnsi="Arial"/>
          <w:sz w:val="16"/>
          <w:szCs w:val="16"/>
          <w:color w:val="auto"/>
        </w:rPr>
      </w:pPr>
    </w:p>
    <w:p>
      <w:pPr>
        <w:ind w:left="166" w:right="80" w:hanging="166"/>
        <w:spacing w:after="0" w:line="286" w:lineRule="auto"/>
        <w:tabs>
          <w:tab w:leader="none" w:pos="16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transaction with a Related Party involving services as a bank depositary of funds, transfer agent, registrar, trustee under a trust indenture or similar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66"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001641"/>
        </w:rPr>
        <w:t xml:space="preserve">110 </w:t>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6"/>
          </w:cols>
          <w:pgMar w:left="1354" w:top="114" w:right="13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Certain Relationships, Transactions, and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REGISTRATION RIGHTS AGREEMENT</w:t>
      </w:r>
    </w:p>
    <w:p>
      <w:pPr>
        <w:spacing w:after="0" w:line="153"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We and certain of the Lauren Family Members (as defined below) are parties to a Registration Rights Agreement entered into on June 9, 1997 pursuant to which the Lauren Family Members have certain demand registration rights in respect of shares of Class A Common Stock (including the shares of Class A Common Stock issuable upon conversion of the shares of Class B Common Stock held by them). The Lauren Family Members may make a demand to register their shares once every nine months. The Lauren Family Members also have an unlimited number of piggyback registration rights in respect of their shares. The piggyback registration rights allow the holders to include all or a portion of the shares of Class A Common Stock issuable upon conversion of their shares of Class B Common Stock under any registration statement filed by us, subject to certain limitations.</w:t>
      </w:r>
    </w:p>
    <w:p>
      <w:pPr>
        <w:spacing w:after="0" w:line="12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are required to pay all expenses (other than underwriting discounts and commissions of the Lauren Family Members and taxes payable by the Lauren Family Members) in connection with any demand registration, as well as any registration pursuant to the exercise of piggyback rights. We must also indemnify the Lauren Family Members and any underwriters against certain liabilities, including liabilities arising under the Securities Act of 1933, as amended.</w:t>
      </w:r>
    </w:p>
    <w:p>
      <w:pPr>
        <w:spacing w:after="0" w:line="124"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As used in this Proxy Statement, the term “Lauren Family Members” includes only the following persons: (i) Ralph Lauren and his estate, guardian, conservator or committee; (ii) the spouse of Mr. R. Lauren and her estate, guardian, conservator or committee; (iii) each descendant of Mr. R. Lauren (a “Lauren Descendant”) and their respective estates, guardians, conservators or committees; (iv) each Family Controlled Entity (as defined below); and (v) the trustees, in their respective capacities as such, of each Lauren Family Trust (as defined below). The term “Family Controlled Entity” means (i) any not-for-profit corporation if at least a majority of its board of directors is composed of Mr. R. Lauren, Mr. R. Lauren’s spouse and/or Lauren Descendants; (ii) any other corporation if at least a majority of the value of its outstanding equity is owned by Lauren Family Members; (iii) any partnership if at least a majority of the economic interest of its partnership interests are owned by Lauren Family Members; and (iv) any limited liability or similar company if at least a majority of the economic interest in the company is owned by Lauren Family Members. The term “Lauren Family Trust” includes trusts, the primary beneficiaries of which are Mr. R. Lauren, Mr. R. Lauren’s spouse, Lauren Descendants, Mr. R. Lauren’s siblings, spouses of Lauren Descendants and their respective estates, guardians, conservator or committees and/or charitable organizations, provided that if the trust is a wholly charitable trust, at least a majority of the trustees of such trust consist of Mr. R. Lauren, the spouse of Mr. R. Lauren and/or Lauren Family Members.</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OTHER AGREEMENTS, TRANSACTIONS, AND RELATIONSHIPS</w:t>
      </w:r>
    </w:p>
    <w:p>
      <w:pPr>
        <w:spacing w:after="0" w:line="15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connection with the reorganization that preceded our initial public offering in June 1997, we and our stockholders entered into a stockholders’ agreement (the “Stockholders’ Agreement”) which sets forth certain voting and other agreements for the period prior to completion of the initial public offering. All of the provisions of the Stockholders’ Agreement terminated upon completion of the initial public offering, except for certain provisions relating to certain tax matters with respect to our predecessor entities, certain restrictions on transfers of shares of Common Stock and indemnification and exculpation provisions.</w:t>
      </w:r>
    </w:p>
    <w:p>
      <w:pPr>
        <w:spacing w:after="0" w:line="126"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auto"/>
        </w:rPr>
        <w:t>We have entered into indemnification agreements with each of our directors and certain executives. The indemnification agreements require, among other things, that we indemnify our directors and some executives against certain liabilities and associated expenses arising from their service as our directors and executives and reimburse certain related legal and other expenses. In the event of our change in control (as defined therein), we will, upon request by an indemnitee under the agreements, create and fund a trust for the benefit of such indemnitee sufficient to satisfy reasonably anticipated claims for indemnification.</w:t>
      </w:r>
    </w:p>
    <w:p>
      <w:pPr>
        <w:spacing w:after="0" w:line="12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Under our Code of Business Conduct and Ethics, all of our employees and officers are required to promptly report any potential relationships, actions, or transactions, including those involving immediate family members, which reasonably could be expected to give rise to a conflict of interest to their manager and our legal department. In addition, employees who intend to seek additional employment of any kind while remaining our employee are required to notify their managers of their interest and obtain approval from them before accepting such other employment. Our directors are required to disclose any actual or potential conflicts of interest to the Executive Chairman of the Board and our Chief Legal Officer. All directors are required to recuse themselves from any Board discussion or decision affecting their personal, business, or professional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82930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260985</wp:posOffset>
            </wp:positionV>
            <wp:extent cx="128905" cy="11176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Certain Relationships, Transactions, and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connection with our adoption of the “RRL” trademarks, pursuant to an agreement with us, Mr. R. Lauren retained the royalty-free right to use as trademarks “Ralph Lauren,” “Double RL” and “RRL” in perpetuity in connection with, among other things, beef and living animals. The trademarks “Double RL” and “RRL” are currently used by the Double RL Company, an entity wholly owned by Mr. R. Lauren. In addition, Mr. R. Lauren has reserved the right to engage in personal projects involving non-Company related film or theatrical productions through RRL Productions, Inc., a company wholly-owned by Mr. R. Lauren.</w:t>
      </w:r>
    </w:p>
    <w:p>
      <w:pPr>
        <w:spacing w:after="0" w:line="12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For Fiscal 2026, the total aggregate amount for transactions relating to the sale of beef and hides from Mr. R. Lauren’s Double RL Company to the Company was approximately $138,870.</w:t>
      </w:r>
    </w:p>
    <w:p>
      <w:pPr>
        <w:spacing w:after="0" w:line="102"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Jerome Lauren, the brother of Mr. R. Lauren, served as our Executive Vice President of Men’s Design until September 2016. Beginning in October 2016, the Company engaged J. Lauren as a consultant. In his role as a consultant to the Company, J. Lauren was compensated by the Company in the approximate amount of $925,000 in Fiscal 2026 in exchange for services rendered. Mr. D. Lauren, our Chief Branding &amp; Innovation Officer, Vice Chairman of the Board and President of The Ralph Lauren Corporate Foundation, is Mr. R. Lauren’s son. Information regarding Mr. D. Lauren’s compensation and stock-based awards may be found under the “Executive Compensation Matters” section of this Proxy Statement.</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LEGAL PROCEEDINGS INVOLVING DIRECTORS AND EXECUTIVE OFFICERS</w:t>
      </w:r>
    </w:p>
    <w:p>
      <w:pPr>
        <w:spacing w:after="0" w:line="153"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In November 2017, SAP brought a lawsuit against Ms. Debra Cupp, alleging that she breached confidentiality and non-competition provisions of her employment agreement with SAP. Ms. Cupp denied those allegations and Ms. Cupp and SAP agreed to settle the case.</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Ms. Cupp consented to the entry of a Consent Order, enforcing the terms of her employment agreement, enjoining her, for a 12-month period following her departure from SAP, from providing certain services relating to her prior work at SAP and taking certain actions relating to soliciting SAP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582930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b w:val="1"/>
          <w:bCs w:val="1"/>
          <w:color w:val="001641"/>
        </w:rPr>
        <w:t xml:space="preserve">112 </w:t>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102870</wp:posOffset>
            </wp:positionV>
            <wp:extent cx="6995160" cy="905256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282575</wp:posOffset>
            </wp:positionV>
            <wp:extent cx="582930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54"/>
          <w:szCs w:val="54"/>
          <w:color w:val="001641"/>
        </w:rPr>
        <w:t>Proposal 2:</w:t>
      </w:r>
    </w:p>
    <w:p>
      <w:pPr>
        <w:spacing w:after="0" w:line="76" w:lineRule="exact"/>
        <w:rPr>
          <w:sz w:val="20"/>
          <w:szCs w:val="20"/>
          <w:color w:val="auto"/>
        </w:rPr>
      </w:pPr>
    </w:p>
    <w:p>
      <w:pPr>
        <w:ind w:right="3020"/>
        <w:spacing w:after="0" w:line="256" w:lineRule="auto"/>
        <w:rPr>
          <w:sz w:val="20"/>
          <w:szCs w:val="20"/>
          <w:color w:val="auto"/>
        </w:rPr>
      </w:pPr>
      <w:r>
        <w:rPr>
          <w:rFonts w:ascii="Times New Roman" w:cs="Times New Roman" w:eastAsia="Times New Roman" w:hAnsi="Times New Roman"/>
          <w:sz w:val="53"/>
          <w:szCs w:val="53"/>
          <w:color w:val="001641"/>
        </w:rPr>
        <w:t>Ratification of Appointment of Independent Registered Public Accounting Firm</w:t>
      </w:r>
    </w:p>
    <w:p>
      <w:pPr>
        <w:sectPr>
          <w:pgSz w:w="11900" w:h="16838" w:orient="portrait"/>
          <w:cols w:equalWidth="0" w:num="1">
            <w:col w:w="9140"/>
          </w:cols>
          <w:pgMar w:left="1360" w:top="114"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Audit Committee of the Board has appointed Ernst &amp; Young LLP (“Ernst &amp; Young”) as our independent registered public accounting firm to audit our financial statements and our subsidiaries for Fiscal 2027. A resolution will be presented at the meeting to ratify their appointment.</w:t>
      </w:r>
    </w:p>
    <w:p>
      <w:pPr>
        <w:spacing w:after="0" w:line="124"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Ernst &amp; Young has served continuously as our auditors since 2008. All services provided by Ernst &amp; Young, our independent registered public accounting firm for Fiscal 2026, have been reviewed with the Audit Committee to confirm that the performance of such services was consistent with the regulatory requirements for auditor independence.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BFA071"/>
        </w:rPr>
        <w:t>Independent Auditor Fees</w:t>
      </w:r>
    </w:p>
    <w:p>
      <w:pPr>
        <w:spacing w:after="0" w:line="29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Audit Committee has adopted a policy governing the pre-approval by the Audit Committee of all services, audit and non-audit, to be provided to us by our independent registered public accounting firm. Under the policy, the Audit Committee has generally pre-approved the provision by our independent registered public accounting firm of specific audit, audit-related, tax and other non-audit services, subject to the fee limits established from time to time by the Audit Committee, as being consistent with auditor independence. The provision of all other services, and all generally pre-approved services in excess of the applicable fee limits, by the independent registered public accounting firm must be specifically pre-approved by the Audit Committee on a case-by-case basis. Our Chief Financial Officer is required to determine if any request or application for services proposed to be performed by the independent registered public accounting firm has the general pre-approval of the Audit Committee, and the Audit Committee must be updated at each regularly scheduled meeting of the generally pre-approved services performed by the independent registered public accounting firm since the Audit Committee’s last regularly scheduled meeting. Requests or applications to provide services that require the specific pre-approval of the Audit Committee must be submitted to the Audit Committee by both the independent registered public accounting firm and our Chief Financial Officer, and both must advise the Audit Committee as to whether, in their view, the request or application is consistent with the SEC’s rules on auditor independence. The Audit Committee may delegate either type of pre-approval authority to one or more of its members, and has currently delegated such authority to the Audit Committee’s Chair. All pre-approved decisions made by the delegated member or members must be reported to the full Audit Committee at its next scheduled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251460</wp:posOffset>
            </wp:positionV>
            <wp:extent cx="58293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55245</wp:posOffset>
            </wp:positionV>
            <wp:extent cx="123444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209550</wp:posOffset>
            </wp:positionV>
            <wp:extent cx="308610" cy="30861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001641"/>
        </w:rPr>
        <w:t> </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001641"/>
        </w:rPr>
        <w:t>VOTING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001641"/>
        </w:rPr>
        <w:t>RECOMMENDATION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01641"/>
        </w:rPr>
        <w:t>Our Board recommends 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01641"/>
        </w:rPr>
        <w:t>vote for the proposal to ratify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01641"/>
        </w:rPr>
        <w:t>the appointment of Ernst &amp;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01641"/>
        </w:rPr>
        <w:t>Young as our independent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01641"/>
        </w:rPr>
        <w:t>registered public accounting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01641"/>
        </w:rPr>
        <w:t>firm for Fiscal 2027.</w:t>
      </w:r>
    </w:p>
    <w:p>
      <w:pPr>
        <w:spacing w:after="0" w:line="4336" w:lineRule="exact"/>
        <w:rPr>
          <w:sz w:val="20"/>
          <w:szCs w:val="20"/>
          <w:color w:val="auto"/>
        </w:rPr>
      </w:pPr>
    </w:p>
    <w:p>
      <w:pPr>
        <w:sectPr>
          <w:pgSz w:w="11900" w:h="16838" w:orient="portrait"/>
          <w:cols w:equalWidth="0" w:num="2">
            <w:col w:w="6880" w:space="360"/>
            <w:col w:w="1900"/>
          </w:cols>
          <w:pgMar w:left="1360" w:top="114" w:right="139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001641"/>
        </w:rPr>
        <w:t xml:space="preserve">114 </w:t>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760"/>
            <wp:effectExtent l="0" t="0" r="0" b="0"/>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109855</wp:posOffset>
            </wp:positionV>
            <wp:extent cx="6995160" cy="171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125" w:name="page126"/>
    <w:bookmarkEnd w:id="12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left="6" w:right="200"/>
        <w:spacing w:after="0" w:line="266" w:lineRule="auto"/>
        <w:rPr>
          <w:sz w:val="20"/>
          <w:szCs w:val="20"/>
          <w:color w:val="auto"/>
        </w:rPr>
      </w:pPr>
      <w:r>
        <w:rPr>
          <w:rFonts w:ascii="Arial" w:cs="Arial" w:eastAsia="Arial" w:hAnsi="Arial"/>
          <w:sz w:val="16"/>
          <w:szCs w:val="16"/>
          <w:color w:val="auto"/>
        </w:rPr>
        <w:t>The Audit Committee approves the professional services rendered for us by Ernst &amp; Young, including associated fees and the general reimbursement by the Company for expenses incurred in connection with these services. Aggregate fees for professional services rendered for us by Ernst &amp; Young for Fiscal 2026 and Fiscal 2025 were:</w:t>
      </w:r>
    </w:p>
    <w:p>
      <w:pPr>
        <w:spacing w:after="0" w:line="145" w:lineRule="exact"/>
        <w:rPr>
          <w:sz w:val="20"/>
          <w:szCs w:val="20"/>
          <w:color w:val="auto"/>
        </w:rPr>
      </w:pPr>
    </w:p>
    <w:tbl>
      <w:tblPr>
        <w:tblLayout w:type="fixed"/>
        <w:tblInd w:w="6" w:type="dxa"/>
        <w:tblCellMar>
          <w:top w:w="0" w:type="dxa"/>
          <w:left w:w="0" w:type="dxa"/>
          <w:bottom w:w="0" w:type="dxa"/>
          <w:right w:w="0" w:type="dxa"/>
        </w:tblCellMar>
      </w:tblPr>
      <w:tr>
        <w:trPr>
          <w:trHeight w:val="261"/>
        </w:trPr>
        <w:tc>
          <w:tcPr>
            <w:tcW w:w="4060" w:type="dxa"/>
            <w:vAlign w:val="bottom"/>
            <w:shd w:val="clear" w:color="auto" w:fill="001641"/>
          </w:tcPr>
          <w:p>
            <w:pPr>
              <w:spacing w:after="0"/>
              <w:rPr>
                <w:sz w:val="22"/>
                <w:szCs w:val="22"/>
                <w:color w:val="auto"/>
              </w:rPr>
            </w:pPr>
          </w:p>
        </w:tc>
        <w:tc>
          <w:tcPr>
            <w:tcW w:w="3900" w:type="dxa"/>
            <w:vAlign w:val="bottom"/>
            <w:shd w:val="clear" w:color="auto" w:fill="001641"/>
          </w:tcPr>
          <w:p>
            <w:pPr>
              <w:jc w:val="right"/>
              <w:ind w:right="328"/>
              <w:spacing w:after="0"/>
              <w:rPr>
                <w:sz w:val="20"/>
                <w:szCs w:val="20"/>
                <w:color w:val="auto"/>
              </w:rPr>
            </w:pPr>
            <w:r>
              <w:rPr>
                <w:rFonts w:ascii="Arial" w:cs="Arial" w:eastAsia="Arial" w:hAnsi="Arial"/>
                <w:sz w:val="14"/>
                <w:szCs w:val="14"/>
                <w:b w:val="1"/>
                <w:bCs w:val="1"/>
                <w:color w:val="FFFFFF"/>
              </w:rPr>
              <w:t>Fiscal</w:t>
            </w:r>
          </w:p>
        </w:tc>
        <w:tc>
          <w:tcPr>
            <w:tcW w:w="1220" w:type="dxa"/>
            <w:vAlign w:val="bottom"/>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Fiscal</w:t>
            </w:r>
          </w:p>
        </w:tc>
      </w:tr>
      <w:tr>
        <w:trPr>
          <w:trHeight w:val="232"/>
        </w:trPr>
        <w:tc>
          <w:tcPr>
            <w:tcW w:w="4060" w:type="dxa"/>
            <w:vAlign w:val="bottom"/>
            <w:tcBorders>
              <w:bottom w:val="single" w:sz="8" w:color="001641"/>
            </w:tcBorders>
            <w:shd w:val="clear" w:color="auto" w:fill="001641"/>
          </w:tcPr>
          <w:p>
            <w:pPr>
              <w:spacing w:after="0"/>
              <w:rPr>
                <w:sz w:val="20"/>
                <w:szCs w:val="20"/>
                <w:color w:val="auto"/>
              </w:rPr>
            </w:pPr>
          </w:p>
        </w:tc>
        <w:tc>
          <w:tcPr>
            <w:tcW w:w="3900" w:type="dxa"/>
            <w:vAlign w:val="bottom"/>
            <w:tcBorders>
              <w:bottom w:val="single" w:sz="8" w:color="001641"/>
            </w:tcBorders>
            <w:shd w:val="clear" w:color="auto" w:fill="001641"/>
          </w:tcPr>
          <w:p>
            <w:pPr>
              <w:jc w:val="right"/>
              <w:ind w:right="328"/>
              <w:spacing w:after="0"/>
              <w:rPr>
                <w:sz w:val="20"/>
                <w:szCs w:val="20"/>
                <w:color w:val="auto"/>
              </w:rPr>
            </w:pPr>
            <w:r>
              <w:rPr>
                <w:rFonts w:ascii="Arial" w:cs="Arial" w:eastAsia="Arial" w:hAnsi="Arial"/>
                <w:sz w:val="14"/>
                <w:szCs w:val="14"/>
                <w:b w:val="1"/>
                <w:bCs w:val="1"/>
                <w:color w:val="FFFFFF"/>
              </w:rPr>
              <w:t>2026</w:t>
            </w:r>
          </w:p>
        </w:tc>
        <w:tc>
          <w:tcPr>
            <w:tcW w:w="1220" w:type="dxa"/>
            <w:vAlign w:val="bottom"/>
            <w:tcBorders>
              <w:bottom w:val="single" w:sz="8" w:color="001641"/>
            </w:tcBorders>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2025</w:t>
            </w:r>
          </w:p>
        </w:tc>
      </w:tr>
      <w:tr>
        <w:trPr>
          <w:trHeight w:val="248"/>
        </w:trPr>
        <w:tc>
          <w:tcPr>
            <w:tcW w:w="4060" w:type="dxa"/>
            <w:vAlign w:val="bottom"/>
          </w:tcPr>
          <w:p>
            <w:pPr>
              <w:ind w:left="140"/>
              <w:spacing w:after="0"/>
              <w:rPr>
                <w:sz w:val="20"/>
                <w:szCs w:val="20"/>
                <w:color w:val="auto"/>
              </w:rPr>
            </w:pPr>
            <w:r>
              <w:rPr>
                <w:rFonts w:ascii="Arial" w:cs="Arial" w:eastAsia="Arial" w:hAnsi="Arial"/>
                <w:sz w:val="14"/>
                <w:szCs w:val="14"/>
                <w:color w:val="001641"/>
              </w:rPr>
              <w:t>Audit fees</w:t>
            </w:r>
          </w:p>
        </w:tc>
        <w:tc>
          <w:tcPr>
            <w:tcW w:w="3900" w:type="dxa"/>
            <w:vAlign w:val="bottom"/>
          </w:tcPr>
          <w:p>
            <w:pPr>
              <w:jc w:val="right"/>
              <w:ind w:right="328"/>
              <w:spacing w:after="0"/>
              <w:rPr>
                <w:sz w:val="20"/>
                <w:szCs w:val="20"/>
                <w:color w:val="auto"/>
              </w:rPr>
            </w:pPr>
            <w:r>
              <w:rPr>
                <w:rFonts w:ascii="Arial" w:cs="Arial" w:eastAsia="Arial" w:hAnsi="Arial"/>
                <w:sz w:val="14"/>
                <w:szCs w:val="14"/>
                <w:color w:val="001641"/>
              </w:rPr>
              <w:t>$6,199,900</w:t>
            </w:r>
          </w:p>
        </w:tc>
        <w:tc>
          <w:tcPr>
            <w:tcW w:w="1220" w:type="dxa"/>
            <w:vAlign w:val="bottom"/>
          </w:tcPr>
          <w:p>
            <w:pPr>
              <w:jc w:val="right"/>
              <w:ind w:right="48"/>
              <w:spacing w:after="0"/>
              <w:rPr>
                <w:sz w:val="20"/>
                <w:szCs w:val="20"/>
                <w:color w:val="auto"/>
              </w:rPr>
            </w:pPr>
            <w:r>
              <w:rPr>
                <w:rFonts w:ascii="Arial" w:cs="Arial" w:eastAsia="Arial" w:hAnsi="Arial"/>
                <w:sz w:val="14"/>
                <w:szCs w:val="14"/>
                <w:color w:val="001641"/>
              </w:rPr>
              <w:t>$6,102,300</w:t>
            </w:r>
          </w:p>
        </w:tc>
      </w:tr>
      <w:tr>
        <w:trPr>
          <w:trHeight w:val="48"/>
        </w:trPr>
        <w:tc>
          <w:tcPr>
            <w:tcW w:w="4060" w:type="dxa"/>
            <w:vAlign w:val="bottom"/>
            <w:tcBorders>
              <w:bottom w:val="single" w:sz="8" w:color="BFA071"/>
            </w:tcBorders>
          </w:tcPr>
          <w:p>
            <w:pPr>
              <w:spacing w:after="0"/>
              <w:rPr>
                <w:sz w:val="4"/>
                <w:szCs w:val="4"/>
                <w:color w:val="auto"/>
              </w:rPr>
            </w:pPr>
          </w:p>
        </w:tc>
        <w:tc>
          <w:tcPr>
            <w:tcW w:w="3900" w:type="dxa"/>
            <w:vAlign w:val="bottom"/>
            <w:tcBorders>
              <w:bottom w:val="single" w:sz="8" w:color="BFA071"/>
            </w:tcBorders>
          </w:tcPr>
          <w:p>
            <w:pPr>
              <w:spacing w:after="0"/>
              <w:rPr>
                <w:sz w:val="4"/>
                <w:szCs w:val="4"/>
                <w:color w:val="auto"/>
              </w:rPr>
            </w:pPr>
          </w:p>
        </w:tc>
        <w:tc>
          <w:tcPr>
            <w:tcW w:w="1220" w:type="dxa"/>
            <w:vAlign w:val="bottom"/>
            <w:tcBorders>
              <w:bottom w:val="single" w:sz="8" w:color="BFA071"/>
            </w:tcBorders>
          </w:tcPr>
          <w:p>
            <w:pPr>
              <w:spacing w:after="0"/>
              <w:rPr>
                <w:sz w:val="4"/>
                <w:szCs w:val="4"/>
                <w:color w:val="auto"/>
              </w:rPr>
            </w:pPr>
          </w:p>
        </w:tc>
      </w:tr>
      <w:tr>
        <w:trPr>
          <w:trHeight w:val="242"/>
        </w:trPr>
        <w:tc>
          <w:tcPr>
            <w:tcW w:w="4060" w:type="dxa"/>
            <w:vAlign w:val="bottom"/>
          </w:tcPr>
          <w:p>
            <w:pPr>
              <w:ind w:left="140"/>
              <w:spacing w:after="0"/>
              <w:rPr>
                <w:sz w:val="20"/>
                <w:szCs w:val="20"/>
                <w:color w:val="auto"/>
              </w:rPr>
            </w:pPr>
            <w:r>
              <w:rPr>
                <w:rFonts w:ascii="Arial" w:cs="Arial" w:eastAsia="Arial" w:hAnsi="Arial"/>
                <w:sz w:val="14"/>
                <w:szCs w:val="14"/>
                <w:color w:val="001641"/>
              </w:rPr>
              <w:t>Audit-related fees</w:t>
            </w:r>
          </w:p>
        </w:tc>
        <w:tc>
          <w:tcPr>
            <w:tcW w:w="3900" w:type="dxa"/>
            <w:vAlign w:val="bottom"/>
          </w:tcPr>
          <w:p>
            <w:pPr>
              <w:jc w:val="right"/>
              <w:ind w:right="328"/>
              <w:spacing w:after="0"/>
              <w:rPr>
                <w:sz w:val="20"/>
                <w:szCs w:val="20"/>
                <w:color w:val="auto"/>
              </w:rPr>
            </w:pPr>
            <w:r>
              <w:rPr>
                <w:rFonts w:ascii="Arial" w:cs="Arial" w:eastAsia="Arial" w:hAnsi="Arial"/>
                <w:sz w:val="14"/>
                <w:szCs w:val="14"/>
                <w:color w:val="001641"/>
              </w:rPr>
              <w:t>396,000</w:t>
            </w:r>
          </w:p>
        </w:tc>
        <w:tc>
          <w:tcPr>
            <w:tcW w:w="1220" w:type="dxa"/>
            <w:vAlign w:val="bottom"/>
          </w:tcPr>
          <w:p>
            <w:pPr>
              <w:jc w:val="right"/>
              <w:ind w:right="48"/>
              <w:spacing w:after="0"/>
              <w:rPr>
                <w:sz w:val="20"/>
                <w:szCs w:val="20"/>
                <w:color w:val="auto"/>
              </w:rPr>
            </w:pPr>
            <w:r>
              <w:rPr>
                <w:rFonts w:ascii="Arial" w:cs="Arial" w:eastAsia="Arial" w:hAnsi="Arial"/>
                <w:sz w:val="14"/>
                <w:szCs w:val="14"/>
                <w:color w:val="001641"/>
              </w:rPr>
              <w:t>378,000</w:t>
            </w:r>
          </w:p>
        </w:tc>
      </w:tr>
      <w:tr>
        <w:trPr>
          <w:trHeight w:val="49"/>
        </w:trPr>
        <w:tc>
          <w:tcPr>
            <w:tcW w:w="4060" w:type="dxa"/>
            <w:vAlign w:val="bottom"/>
            <w:tcBorders>
              <w:bottom w:val="single" w:sz="8" w:color="BFA071"/>
            </w:tcBorders>
          </w:tcPr>
          <w:p>
            <w:pPr>
              <w:spacing w:after="0"/>
              <w:rPr>
                <w:sz w:val="4"/>
                <w:szCs w:val="4"/>
                <w:color w:val="auto"/>
              </w:rPr>
            </w:pPr>
          </w:p>
        </w:tc>
        <w:tc>
          <w:tcPr>
            <w:tcW w:w="3900" w:type="dxa"/>
            <w:vAlign w:val="bottom"/>
            <w:tcBorders>
              <w:bottom w:val="single" w:sz="8" w:color="BFA071"/>
            </w:tcBorders>
          </w:tcPr>
          <w:p>
            <w:pPr>
              <w:spacing w:after="0"/>
              <w:rPr>
                <w:sz w:val="4"/>
                <w:szCs w:val="4"/>
                <w:color w:val="auto"/>
              </w:rPr>
            </w:pPr>
          </w:p>
        </w:tc>
        <w:tc>
          <w:tcPr>
            <w:tcW w:w="1220" w:type="dxa"/>
            <w:vAlign w:val="bottom"/>
            <w:tcBorders>
              <w:bottom w:val="single" w:sz="8" w:color="BFA071"/>
            </w:tcBorders>
          </w:tcPr>
          <w:p>
            <w:pPr>
              <w:spacing w:after="0"/>
              <w:rPr>
                <w:sz w:val="4"/>
                <w:szCs w:val="4"/>
                <w:color w:val="auto"/>
              </w:rPr>
            </w:pPr>
          </w:p>
        </w:tc>
      </w:tr>
      <w:tr>
        <w:trPr>
          <w:trHeight w:val="242"/>
        </w:trPr>
        <w:tc>
          <w:tcPr>
            <w:tcW w:w="4060" w:type="dxa"/>
            <w:vAlign w:val="bottom"/>
          </w:tcPr>
          <w:p>
            <w:pPr>
              <w:ind w:left="140"/>
              <w:spacing w:after="0"/>
              <w:rPr>
                <w:sz w:val="20"/>
                <w:szCs w:val="20"/>
                <w:color w:val="auto"/>
              </w:rPr>
            </w:pPr>
            <w:r>
              <w:rPr>
                <w:rFonts w:ascii="Arial" w:cs="Arial" w:eastAsia="Arial" w:hAnsi="Arial"/>
                <w:sz w:val="14"/>
                <w:szCs w:val="14"/>
                <w:color w:val="001641"/>
              </w:rPr>
              <w:t>Tax fees</w:t>
            </w:r>
          </w:p>
        </w:tc>
        <w:tc>
          <w:tcPr>
            <w:tcW w:w="3900" w:type="dxa"/>
            <w:vAlign w:val="bottom"/>
          </w:tcPr>
          <w:p>
            <w:pPr>
              <w:jc w:val="right"/>
              <w:ind w:right="328"/>
              <w:spacing w:after="0"/>
              <w:rPr>
                <w:sz w:val="20"/>
                <w:szCs w:val="20"/>
                <w:color w:val="auto"/>
              </w:rPr>
            </w:pPr>
            <w:r>
              <w:rPr>
                <w:rFonts w:ascii="Arial" w:cs="Arial" w:eastAsia="Arial" w:hAnsi="Arial"/>
                <w:sz w:val="14"/>
                <w:szCs w:val="14"/>
                <w:color w:val="001641"/>
              </w:rPr>
              <w:t>1,653,000</w:t>
            </w:r>
          </w:p>
        </w:tc>
        <w:tc>
          <w:tcPr>
            <w:tcW w:w="1220" w:type="dxa"/>
            <w:vAlign w:val="bottom"/>
          </w:tcPr>
          <w:p>
            <w:pPr>
              <w:jc w:val="right"/>
              <w:ind w:right="48"/>
              <w:spacing w:after="0"/>
              <w:rPr>
                <w:sz w:val="20"/>
                <w:szCs w:val="20"/>
                <w:color w:val="auto"/>
              </w:rPr>
            </w:pPr>
            <w:r>
              <w:rPr>
                <w:rFonts w:ascii="Arial" w:cs="Arial" w:eastAsia="Arial" w:hAnsi="Arial"/>
                <w:sz w:val="14"/>
                <w:szCs w:val="14"/>
                <w:color w:val="001641"/>
              </w:rPr>
              <w:t>2,070,800</w:t>
            </w:r>
          </w:p>
        </w:tc>
      </w:tr>
      <w:tr>
        <w:trPr>
          <w:trHeight w:val="48"/>
        </w:trPr>
        <w:tc>
          <w:tcPr>
            <w:tcW w:w="4060" w:type="dxa"/>
            <w:vAlign w:val="bottom"/>
            <w:tcBorders>
              <w:bottom w:val="single" w:sz="8" w:color="BFA071"/>
            </w:tcBorders>
          </w:tcPr>
          <w:p>
            <w:pPr>
              <w:spacing w:after="0"/>
              <w:rPr>
                <w:sz w:val="4"/>
                <w:szCs w:val="4"/>
                <w:color w:val="auto"/>
              </w:rPr>
            </w:pPr>
          </w:p>
        </w:tc>
        <w:tc>
          <w:tcPr>
            <w:tcW w:w="3900" w:type="dxa"/>
            <w:vAlign w:val="bottom"/>
            <w:tcBorders>
              <w:bottom w:val="single" w:sz="8" w:color="BFA071"/>
            </w:tcBorders>
          </w:tcPr>
          <w:p>
            <w:pPr>
              <w:spacing w:after="0"/>
              <w:rPr>
                <w:sz w:val="4"/>
                <w:szCs w:val="4"/>
                <w:color w:val="auto"/>
              </w:rPr>
            </w:pPr>
          </w:p>
        </w:tc>
        <w:tc>
          <w:tcPr>
            <w:tcW w:w="1220" w:type="dxa"/>
            <w:vAlign w:val="bottom"/>
            <w:tcBorders>
              <w:bottom w:val="single" w:sz="8" w:color="BFA071"/>
            </w:tcBorders>
          </w:tcPr>
          <w:p>
            <w:pPr>
              <w:spacing w:after="0"/>
              <w:rPr>
                <w:sz w:val="4"/>
                <w:szCs w:val="4"/>
                <w:color w:val="auto"/>
              </w:rPr>
            </w:pPr>
          </w:p>
        </w:tc>
      </w:tr>
      <w:tr>
        <w:trPr>
          <w:trHeight w:val="242"/>
        </w:trPr>
        <w:tc>
          <w:tcPr>
            <w:tcW w:w="4060" w:type="dxa"/>
            <w:vAlign w:val="bottom"/>
          </w:tcPr>
          <w:p>
            <w:pPr>
              <w:ind w:left="140"/>
              <w:spacing w:after="0"/>
              <w:rPr>
                <w:sz w:val="20"/>
                <w:szCs w:val="20"/>
                <w:color w:val="auto"/>
              </w:rPr>
            </w:pPr>
            <w:r>
              <w:rPr>
                <w:rFonts w:ascii="Arial" w:cs="Arial" w:eastAsia="Arial" w:hAnsi="Arial"/>
                <w:sz w:val="14"/>
                <w:szCs w:val="14"/>
                <w:color w:val="001641"/>
              </w:rPr>
              <w:t>All other fees</w:t>
            </w:r>
          </w:p>
        </w:tc>
        <w:tc>
          <w:tcPr>
            <w:tcW w:w="3900" w:type="dxa"/>
            <w:vAlign w:val="bottom"/>
          </w:tcPr>
          <w:p>
            <w:pPr>
              <w:jc w:val="right"/>
              <w:ind w:right="328"/>
              <w:spacing w:after="0"/>
              <w:rPr>
                <w:sz w:val="20"/>
                <w:szCs w:val="20"/>
                <w:color w:val="auto"/>
              </w:rPr>
            </w:pPr>
            <w:r>
              <w:rPr>
                <w:rFonts w:ascii="Arial" w:cs="Arial" w:eastAsia="Arial" w:hAnsi="Arial"/>
                <w:sz w:val="14"/>
                <w:szCs w:val="14"/>
                <w:color w:val="001641"/>
              </w:rPr>
              <w:t>183,100</w:t>
            </w:r>
          </w:p>
        </w:tc>
        <w:tc>
          <w:tcPr>
            <w:tcW w:w="1220" w:type="dxa"/>
            <w:vAlign w:val="bottom"/>
          </w:tcPr>
          <w:p>
            <w:pPr>
              <w:jc w:val="right"/>
              <w:ind w:right="48"/>
              <w:spacing w:after="0"/>
              <w:rPr>
                <w:sz w:val="20"/>
                <w:szCs w:val="20"/>
                <w:color w:val="auto"/>
              </w:rPr>
            </w:pPr>
            <w:r>
              <w:rPr>
                <w:rFonts w:ascii="Arial" w:cs="Arial" w:eastAsia="Arial" w:hAnsi="Arial"/>
                <w:sz w:val="14"/>
                <w:szCs w:val="14"/>
                <w:color w:val="001641"/>
              </w:rPr>
              <w:t>—</w:t>
            </w:r>
          </w:p>
        </w:tc>
      </w:tr>
      <w:tr>
        <w:trPr>
          <w:trHeight w:val="48"/>
        </w:trPr>
        <w:tc>
          <w:tcPr>
            <w:tcW w:w="4060" w:type="dxa"/>
            <w:vAlign w:val="bottom"/>
            <w:tcBorders>
              <w:bottom w:val="single" w:sz="8" w:color="BFA071"/>
            </w:tcBorders>
          </w:tcPr>
          <w:p>
            <w:pPr>
              <w:spacing w:after="0"/>
              <w:rPr>
                <w:sz w:val="4"/>
                <w:szCs w:val="4"/>
                <w:color w:val="auto"/>
              </w:rPr>
            </w:pPr>
          </w:p>
        </w:tc>
        <w:tc>
          <w:tcPr>
            <w:tcW w:w="3900" w:type="dxa"/>
            <w:vAlign w:val="bottom"/>
            <w:tcBorders>
              <w:bottom w:val="single" w:sz="8" w:color="BFA071"/>
            </w:tcBorders>
          </w:tcPr>
          <w:p>
            <w:pPr>
              <w:spacing w:after="0"/>
              <w:rPr>
                <w:sz w:val="4"/>
                <w:szCs w:val="4"/>
                <w:color w:val="auto"/>
              </w:rPr>
            </w:pPr>
          </w:p>
        </w:tc>
        <w:tc>
          <w:tcPr>
            <w:tcW w:w="1220" w:type="dxa"/>
            <w:vAlign w:val="bottom"/>
            <w:tcBorders>
              <w:bottom w:val="single" w:sz="8" w:color="BFA071"/>
            </w:tcBorders>
          </w:tcPr>
          <w:p>
            <w:pPr>
              <w:spacing w:after="0"/>
              <w:rPr>
                <w:sz w:val="4"/>
                <w:szCs w:val="4"/>
                <w:color w:val="auto"/>
              </w:rPr>
            </w:pPr>
          </w:p>
        </w:tc>
      </w:tr>
      <w:tr>
        <w:trPr>
          <w:trHeight w:val="246"/>
        </w:trPr>
        <w:tc>
          <w:tcPr>
            <w:tcW w:w="4060" w:type="dxa"/>
            <w:vAlign w:val="bottom"/>
            <w:tcBorders>
              <w:bottom w:val="single" w:sz="8" w:color="001641"/>
            </w:tcBorders>
          </w:tcPr>
          <w:p>
            <w:pPr>
              <w:ind w:left="140"/>
              <w:spacing w:after="0"/>
              <w:rPr>
                <w:sz w:val="20"/>
                <w:szCs w:val="20"/>
                <w:color w:val="auto"/>
              </w:rPr>
            </w:pPr>
            <w:r>
              <w:rPr>
                <w:rFonts w:ascii="Arial" w:cs="Arial" w:eastAsia="Arial" w:hAnsi="Arial"/>
                <w:sz w:val="14"/>
                <w:szCs w:val="14"/>
                <w:color w:val="001641"/>
              </w:rPr>
              <w:t>Total</w:t>
            </w:r>
          </w:p>
        </w:tc>
        <w:tc>
          <w:tcPr>
            <w:tcW w:w="3900" w:type="dxa"/>
            <w:vAlign w:val="bottom"/>
            <w:tcBorders>
              <w:bottom w:val="single" w:sz="8" w:color="001641"/>
            </w:tcBorders>
          </w:tcPr>
          <w:p>
            <w:pPr>
              <w:jc w:val="right"/>
              <w:ind w:right="328"/>
              <w:spacing w:after="0"/>
              <w:rPr>
                <w:sz w:val="20"/>
                <w:szCs w:val="20"/>
                <w:color w:val="auto"/>
              </w:rPr>
            </w:pPr>
            <w:r>
              <w:rPr>
                <w:rFonts w:ascii="Arial" w:cs="Arial" w:eastAsia="Arial" w:hAnsi="Arial"/>
                <w:sz w:val="14"/>
                <w:szCs w:val="14"/>
                <w:color w:val="001641"/>
              </w:rPr>
              <w:t>$8,432,000</w:t>
            </w:r>
          </w:p>
        </w:tc>
        <w:tc>
          <w:tcPr>
            <w:tcW w:w="1220" w:type="dxa"/>
            <w:vAlign w:val="bottom"/>
            <w:tcBorders>
              <w:bottom w:val="single" w:sz="8" w:color="001641"/>
            </w:tcBorders>
          </w:tcPr>
          <w:p>
            <w:pPr>
              <w:jc w:val="right"/>
              <w:ind w:right="48"/>
              <w:spacing w:after="0"/>
              <w:rPr>
                <w:sz w:val="20"/>
                <w:szCs w:val="20"/>
                <w:color w:val="auto"/>
              </w:rPr>
            </w:pPr>
            <w:r>
              <w:rPr>
                <w:rFonts w:ascii="Arial" w:cs="Arial" w:eastAsia="Arial" w:hAnsi="Arial"/>
                <w:sz w:val="14"/>
                <w:szCs w:val="14"/>
                <w:color w:val="001641"/>
              </w:rPr>
              <w:t>$8,551,100</w:t>
            </w:r>
          </w:p>
        </w:tc>
      </w:tr>
    </w:tbl>
    <w:p>
      <w:pPr>
        <w:spacing w:after="0" w:line="202" w:lineRule="exact"/>
        <w:rPr>
          <w:sz w:val="20"/>
          <w:szCs w:val="20"/>
          <w:color w:val="auto"/>
        </w:rPr>
      </w:pPr>
    </w:p>
    <w:p>
      <w:pPr>
        <w:ind w:left="166" w:right="280" w:hanging="166"/>
        <w:spacing w:after="0" w:line="259" w:lineRule="auto"/>
        <w:tabs>
          <w:tab w:leader="none" w:pos="166"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 xml:space="preserve">Audit Fees. </w:t>
      </w:r>
      <w:r>
        <w:rPr>
          <w:rFonts w:ascii="Arial" w:cs="Arial" w:eastAsia="Arial" w:hAnsi="Arial"/>
          <w:sz w:val="16"/>
          <w:szCs w:val="16"/>
          <w:color w:val="auto"/>
        </w:rPr>
        <w:t>Audit fees are fees billed for professional services for the audit of our annual financial statements and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over financial reporting. Audit fees also include fees billed for professional services for the review of financial statements included in our Quarterly Reports on Form 10-Q and for services that are normally provided in connection with statutory and regulatory filings or engagements.</w:t>
      </w:r>
    </w:p>
    <w:p>
      <w:pPr>
        <w:spacing w:after="0" w:line="83" w:lineRule="exact"/>
        <w:rPr>
          <w:rFonts w:ascii="Arial" w:cs="Arial" w:eastAsia="Arial" w:hAnsi="Arial"/>
          <w:sz w:val="16"/>
          <w:szCs w:val="16"/>
          <w:color w:val="auto"/>
        </w:rPr>
      </w:pPr>
    </w:p>
    <w:p>
      <w:pPr>
        <w:ind w:left="166" w:right="140" w:hanging="166"/>
        <w:spacing w:after="0" w:line="266" w:lineRule="auto"/>
        <w:tabs>
          <w:tab w:leader="none" w:pos="166"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 xml:space="preserve">Audit-related Fees. </w:t>
      </w:r>
      <w:r>
        <w:rPr>
          <w:rFonts w:ascii="Arial" w:cs="Arial" w:eastAsia="Arial" w:hAnsi="Arial"/>
          <w:sz w:val="16"/>
          <w:szCs w:val="16"/>
          <w:color w:val="auto"/>
        </w:rPr>
        <w:t>Audit-related fees are fees billed for assurance and related services that are related to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audit or review of our financial statements. These services include contractually agreed-upon audits and accounting consultations.</w:t>
      </w:r>
    </w:p>
    <w:p>
      <w:pPr>
        <w:spacing w:after="0" w:line="90" w:lineRule="exact"/>
        <w:rPr>
          <w:rFonts w:ascii="Arial" w:cs="Arial" w:eastAsia="Arial" w:hAnsi="Arial"/>
          <w:sz w:val="16"/>
          <w:szCs w:val="16"/>
          <w:color w:val="auto"/>
        </w:rPr>
      </w:pPr>
    </w:p>
    <w:p>
      <w:pPr>
        <w:ind w:left="166" w:hanging="166"/>
        <w:spacing w:after="0"/>
        <w:tabs>
          <w:tab w:leader="none" w:pos="166"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 xml:space="preserve">Tax Fees. </w:t>
      </w:r>
      <w:r>
        <w:rPr>
          <w:rFonts w:ascii="Arial" w:cs="Arial" w:eastAsia="Arial" w:hAnsi="Arial"/>
          <w:sz w:val="16"/>
          <w:szCs w:val="16"/>
          <w:color w:val="auto"/>
        </w:rPr>
        <w:t>Tax fees are fees billed for tax advice and consulting and tax compliance services.</w:t>
      </w:r>
    </w:p>
    <w:p>
      <w:pPr>
        <w:spacing w:after="0" w:line="126" w:lineRule="exact"/>
        <w:rPr>
          <w:rFonts w:ascii="Arial" w:cs="Arial" w:eastAsia="Arial" w:hAnsi="Arial"/>
          <w:sz w:val="16"/>
          <w:szCs w:val="16"/>
          <w:color w:val="auto"/>
        </w:rPr>
      </w:pPr>
    </w:p>
    <w:p>
      <w:pPr>
        <w:ind w:left="166" w:right="140" w:hanging="166"/>
        <w:spacing w:after="0" w:line="256" w:lineRule="auto"/>
        <w:tabs>
          <w:tab w:leader="none" w:pos="166"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 xml:space="preserve">All Other Fees. </w:t>
      </w:r>
      <w:r>
        <w:rPr>
          <w:rFonts w:ascii="Arial" w:cs="Arial" w:eastAsia="Arial" w:hAnsi="Arial"/>
          <w:sz w:val="16"/>
          <w:szCs w:val="16"/>
          <w:color w:val="auto"/>
        </w:rPr>
        <w:t>All other fees are fees billed for any services that did not constitute audit fees, audit-related fees or tax fees,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w:t>
      </w:r>
    </w:p>
    <w:p>
      <w:pPr>
        <w:spacing w:after="0" w:line="1" w:lineRule="exact"/>
        <w:rPr>
          <w:rFonts w:ascii="Arial" w:cs="Arial" w:eastAsia="Arial" w:hAnsi="Arial"/>
          <w:sz w:val="16"/>
          <w:szCs w:val="16"/>
          <w:color w:val="auto"/>
        </w:rPr>
      </w:pPr>
    </w:p>
    <w:p>
      <w:pPr>
        <w:ind w:left="166"/>
        <w:spacing w:after="0"/>
        <w:rPr>
          <w:rFonts w:ascii="Arial" w:cs="Arial" w:eastAsia="Arial" w:hAnsi="Arial"/>
          <w:sz w:val="16"/>
          <w:szCs w:val="16"/>
          <w:color w:val="auto"/>
        </w:rPr>
      </w:pPr>
      <w:r>
        <w:rPr>
          <w:rFonts w:ascii="Arial" w:cs="Arial" w:eastAsia="Arial" w:hAnsi="Arial"/>
          <w:sz w:val="16"/>
          <w:szCs w:val="16"/>
          <w:color w:val="auto"/>
        </w:rPr>
        <w:t>pre-implementation services associated with information technology system changes.</w:t>
      </w:r>
    </w:p>
    <w:p>
      <w:pPr>
        <w:spacing w:after="0" w:line="151" w:lineRule="exact"/>
        <w:rPr>
          <w:sz w:val="20"/>
          <w:szCs w:val="20"/>
          <w:color w:val="auto"/>
        </w:rPr>
      </w:pPr>
    </w:p>
    <w:p>
      <w:pPr>
        <w:ind w:left="6" w:right="260"/>
        <w:spacing w:after="0" w:line="286" w:lineRule="auto"/>
        <w:rPr>
          <w:sz w:val="20"/>
          <w:szCs w:val="20"/>
          <w:color w:val="auto"/>
        </w:rPr>
      </w:pPr>
      <w:r>
        <w:rPr>
          <w:rFonts w:ascii="Arial" w:cs="Arial" w:eastAsia="Arial" w:hAnsi="Arial"/>
          <w:sz w:val="16"/>
          <w:szCs w:val="16"/>
          <w:color w:val="auto"/>
        </w:rPr>
        <w:t>Representatives from Ernst &amp; Young will be present at the meeting, will have the opportunity to make a statement and will be available to respond to appropriate questions by stockholders.</w:t>
      </w:r>
    </w:p>
    <w:p>
      <w:pPr>
        <w:spacing w:after="0" w:line="102"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affirmative vote of a majority of the total votes cast at the 2026 Annual Meeting and entitled to vote is needed to ratify Ernst</w:t>
      </w:r>
    </w:p>
    <w:p>
      <w:pPr>
        <w:spacing w:after="0" w:line="21" w:lineRule="exact"/>
        <w:rPr>
          <w:sz w:val="20"/>
          <w:szCs w:val="20"/>
          <w:color w:val="auto"/>
        </w:rPr>
      </w:pPr>
    </w:p>
    <w:p>
      <w:pPr>
        <w:ind w:left="6" w:right="380" w:hanging="6"/>
        <w:spacing w:after="0" w:line="265" w:lineRule="auto"/>
        <w:tabs>
          <w:tab w:leader="none" w:pos="15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Young’s appointment. If the stockholders do not ratify the appointment of Ernst &amp; Young, the selection of the independent auditor will be reconsidered by the Audit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582930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255270</wp:posOffset>
            </wp:positionV>
            <wp:extent cx="128905" cy="11176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386" w:lineRule="exact"/>
        <w:rPr>
          <w:sz w:val="20"/>
          <w:szCs w:val="20"/>
          <w:color w:val="auto"/>
        </w:rPr>
      </w:pPr>
    </w:p>
    <w:p>
      <w:pPr>
        <w:ind w:left="6546"/>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102870</wp:posOffset>
            </wp:positionV>
            <wp:extent cx="6995160" cy="905256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282575</wp:posOffset>
            </wp:positionV>
            <wp:extent cx="582930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54"/>
          <w:szCs w:val="54"/>
          <w:color w:val="001641"/>
        </w:rPr>
        <w:t>Proposal 3:</w:t>
      </w:r>
    </w:p>
    <w:p>
      <w:pPr>
        <w:spacing w:after="0" w:line="76" w:lineRule="exact"/>
        <w:rPr>
          <w:sz w:val="20"/>
          <w:szCs w:val="20"/>
          <w:color w:val="auto"/>
        </w:rPr>
      </w:pPr>
    </w:p>
    <w:p>
      <w:pPr>
        <w:ind w:right="780"/>
        <w:spacing w:after="0" w:line="254" w:lineRule="auto"/>
        <w:rPr>
          <w:sz w:val="20"/>
          <w:szCs w:val="20"/>
          <w:color w:val="auto"/>
        </w:rPr>
      </w:pPr>
      <w:r>
        <w:rPr>
          <w:rFonts w:ascii="Times New Roman" w:cs="Times New Roman" w:eastAsia="Times New Roman" w:hAnsi="Times New Roman"/>
          <w:sz w:val="54"/>
          <w:szCs w:val="54"/>
          <w:color w:val="001641"/>
        </w:rPr>
        <w:t>Advisory Vote on Executive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 accordance with Section 14A of the Exchange Act and the related rules of the SEC, a resolution will be presented at the 2026 Annual Meeting to enable our stockholders to approve, on a discretionary and non-binding basis, the compensation of our NEOs and our compensation philosophy, policies and practices as disclosed in the “Compensation Discussion and Analysis,” the accompanying compensation tables, and the related narrative disclosure in this Proxy Statement.</w:t>
      </w:r>
    </w:p>
    <w:p>
      <w:pPr>
        <w:spacing w:after="0" w:line="12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This proposal, commonly known as a Say on Pay proposal, gives our stockholders the opportunity to express their views on our NEOs’ compensation. This vote is not intended to address any specific item of compensation, but rather the overall compensation of our NEOs and the philosophy, policies, and practices described in this Proxy Statement. Accordingly, you may vote on the following resolution at the 2026 Annual Meeting:</w:t>
      </w:r>
    </w:p>
    <w:p>
      <w:pPr>
        <w:spacing w:after="0" w:line="128" w:lineRule="exact"/>
        <w:rPr>
          <w:sz w:val="20"/>
          <w:szCs w:val="20"/>
          <w:color w:val="auto"/>
        </w:rPr>
      </w:pPr>
    </w:p>
    <w:p>
      <w:pPr>
        <w:jc w:val="both"/>
        <w:ind w:left="240" w:right="20"/>
        <w:spacing w:after="0" w:line="265" w:lineRule="auto"/>
        <w:rPr>
          <w:sz w:val="20"/>
          <w:szCs w:val="20"/>
          <w:color w:val="auto"/>
        </w:rPr>
      </w:pPr>
      <w:r>
        <w:rPr>
          <w:rFonts w:ascii="Arial" w:cs="Arial" w:eastAsia="Arial" w:hAnsi="Arial"/>
          <w:sz w:val="16"/>
          <w:szCs w:val="16"/>
          <w:i w:val="1"/>
          <w:iCs w:val="1"/>
          <w:color w:val="auto"/>
        </w:rPr>
        <w:t>“RESOLVED, that the stockholders approve, on an advisory basis, our NEOs’ compensation and our compensation philosophy, policies and practices as described in the “Compensation Discussion and Analysis”.”</w:t>
      </w:r>
    </w:p>
    <w:p>
      <w:pPr>
        <w:spacing w:after="0" w:line="118"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In considering their vote, stockholders are encouraged to read the “Compensation Discussion and Analysis,” the accompanying compensation tables, and the related narrative disclosure. Although this vote is advisory, and therefore nonbinding, the Board and the Talent Committee expect to take into account the outcome of the vote when considering future executive compensation decisions, to the extent that they can determine the cause or causes of any significant negative voting results.</w:t>
      </w:r>
    </w:p>
    <w:p>
      <w:pPr>
        <w:spacing w:after="0" w:line="128"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As described in detail under “Compensation Discussion and Analysis,” our compensation programs are designed to motivate our executives to achieve excellent results for us. We believe that our compensation program, with our balance of base salary, performance-based cash bonuses, and performance conditions for equity awards, encourages and rewards sustained performance that is aligned with long-term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260350</wp:posOffset>
            </wp:positionV>
            <wp:extent cx="128905" cy="11112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55245</wp:posOffset>
            </wp:positionV>
            <wp:extent cx="123444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209550</wp:posOffset>
            </wp:positionV>
            <wp:extent cx="308610" cy="30861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001641"/>
        </w:rPr>
        <w:t> </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001641"/>
        </w:rPr>
        <w:t>VOTING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001641"/>
        </w:rPr>
        <w:t>RECOMMENDATION</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001641"/>
        </w:rPr>
        <w:t>Our Board recommends a vote for the proposal, on an advisory basis, approving the compensation of our NEOs and our compensation philosophy, policies, and practices as described herein.</w:t>
      </w:r>
    </w:p>
    <w:p>
      <w:pPr>
        <w:spacing w:after="0" w:line="2995" w:lineRule="exact"/>
        <w:rPr>
          <w:sz w:val="20"/>
          <w:szCs w:val="20"/>
          <w:color w:val="auto"/>
        </w:rPr>
      </w:pPr>
    </w:p>
    <w:p>
      <w:pPr>
        <w:sectPr>
          <w:pgSz w:w="11900" w:h="16838" w:orient="portrait"/>
          <w:cols w:equalWidth="0" w:num="2">
            <w:col w:w="6860" w:space="380"/>
            <w:col w:w="1940"/>
          </w:cols>
          <w:pgMar w:left="1360" w:top="114" w:right="1359" w:bottom="1440" w:gutter="0" w:footer="0" w:header="0"/>
          <w:type w:val="continuous"/>
        </w:sectPr>
      </w:pPr>
    </w:p>
    <w:p>
      <w:pPr>
        <w:spacing w:after="0" w:line="214" w:lineRule="exact"/>
        <w:rPr>
          <w:sz w:val="20"/>
          <w:szCs w:val="20"/>
          <w:color w:val="auto"/>
        </w:rPr>
      </w:pPr>
    </w:p>
    <w:p>
      <w:pPr>
        <w:ind w:left="6540"/>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282575</wp:posOffset>
            </wp:positionV>
            <wp:extent cx="582930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54"/>
          <w:szCs w:val="54"/>
          <w:color w:val="001641"/>
        </w:rPr>
        <w:t>Questions and Answers About the Annual Meeting and Voting</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641"/>
        </w:rPr>
        <w:t>Why did I receive these proxy materials?</w:t>
      </w:r>
    </w:p>
    <w:p>
      <w:pPr>
        <w:spacing w:after="0" w:line="79"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You received these proxy materials because you were a stockholder of the Company on June 2, 2026, the record date (the “Record Date”) for the Annual Meeting of the Company’s Stockholders to be held on July 30, 2026 (the “2026 Annual Meeting” or “Meeting”). At the 2026 Annual Meeting, stockholders will be asked to vote on several items of business. Since it is not practical or convenient for all stockholders to participate in our live Meeting webcast, our Board of Directors (the “Board”) is seeking your proxy to vote on these matters.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641"/>
        </w:rPr>
        <w:t>How do I participate in the Company’s 2026 Annual Meeting of Stockholders?</w:t>
      </w:r>
    </w:p>
    <w:p>
      <w:pPr>
        <w:spacing w:after="0" w:line="93"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 xml:space="preserve">The 2026 Annual Meeting will be conducted exclusively virtually via live webcast at </w:t>
      </w:r>
      <w:r>
        <w:rPr>
          <w:rFonts w:ascii="Arial" w:cs="Arial" w:eastAsia="Arial" w:hAnsi="Arial"/>
          <w:sz w:val="16"/>
          <w:szCs w:val="16"/>
          <w:i w:val="1"/>
          <w:iCs w:val="1"/>
          <w:color w:val="auto"/>
        </w:rPr>
        <w:t xml:space="preserve">www.virtualshareholdermeeting.com/RL2026, </w:t>
      </w:r>
      <w:r>
        <w:rPr>
          <w:rFonts w:ascii="Arial" w:cs="Arial" w:eastAsia="Arial" w:hAnsi="Arial"/>
          <w:sz w:val="16"/>
          <w:szCs w:val="16"/>
          <w:color w:val="auto"/>
        </w:rPr>
        <w:t>(the “Annual Meeting Website”). We are committed to our Strategic Plan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sustainability and citizenship goals and believe a virtual stockholders meeting best encompasses these objectives while also ensuring access for all stockholders. All stockholders, regardless of size, resources, or physical location, eligible to attend the 2026 Annual Meeting will be able to participate via webcast and will be able to communicate with us and ask questions before and during the Meeting.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641"/>
        </w:rPr>
        <w:t>How can I ask questions during the Meeting?</w:t>
      </w:r>
    </w:p>
    <w:p>
      <w:pPr>
        <w:spacing w:after="0" w:line="7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 xml:space="preserve">As part of the Annual Meeting, we will hold a live webcast Q&amp;A session, during which we intend to answer all questions submitted before or during the Meeting in accordance with the Meeting’s Rules of Conduct (available on the Annual Meeting Website) which are pertinent to the Company and the Meeting matters, as time permits. Consistent with our prior in-person annual meetings, all questions submitted in accordance with the Rules of Conduct will be generally addressed in the order received and we limit each stockholder to one question in order to allow us to answer questions from as many stockholders as possible. Answers to any such questions that are not addressed during the Meeting will be published following the meeting on </w:t>
      </w:r>
      <w:r>
        <w:rPr>
          <w:rFonts w:ascii="Arial" w:cs="Arial" w:eastAsia="Arial" w:hAnsi="Arial"/>
          <w:sz w:val="16"/>
          <w:szCs w:val="16"/>
          <w:i w:val="1"/>
          <w:iCs w:val="1"/>
          <w:color w:val="auto"/>
        </w:rPr>
        <w:t xml:space="preserve">http://investor.ralphlauren.com. </w:t>
      </w:r>
      <w:r>
        <w:rPr>
          <w:rFonts w:ascii="Arial" w:cs="Arial" w:eastAsia="Arial" w:hAnsi="Arial"/>
          <w:sz w:val="16"/>
          <w:szCs w:val="16"/>
          <w:color w:val="auto"/>
        </w:rPr>
        <w:t>Questions and answers will be grouped by topic and substantially similar questions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grouped and answered once. Questions regarding personal matters, including general economic, political, or product questions, that are not directly related to the business of the Company are not pertinent to Meeting matters and therefore will not be answered. If there are matters of individual concern to a stockholder and not of general concern to all stockholders, or if a question posed was not otherwise answered, we provide an opportunity for stockholders to contact us separately after the Meeting through our Investor Relations website </w:t>
      </w:r>
      <w:r>
        <w:rPr>
          <w:rFonts w:ascii="Arial" w:cs="Arial" w:eastAsia="Arial" w:hAnsi="Arial"/>
          <w:sz w:val="16"/>
          <w:szCs w:val="16"/>
          <w:i w:val="1"/>
          <w:iCs w:val="1"/>
          <w:color w:val="auto"/>
        </w:rPr>
        <w:t>http://investor.ralphlauren.com</w:t>
      </w:r>
      <w:r>
        <w:rPr>
          <w:rFonts w:ascii="Arial" w:cs="Arial" w:eastAsia="Arial" w:hAnsi="Arial"/>
          <w:sz w:val="16"/>
          <w:szCs w:val="16"/>
          <w:color w:val="auto"/>
        </w:rPr>
        <w:t>.</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Questions may be submitted prior to the Meeting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you may submit questions in real time during the Meeting using our Annual Meeting Website. Please note that stockholders will need their unique control number that appears on their Notice of Internet Availability, the proxy card (printed in the box and marked by the arrow), and the instructions that accompanied the proxy materials in order to access these sites. Beneficial stockholders who do not have a control number may gain access to the meeting by logging into their broker, brokerage firm, bank, or other nominee’s website and selecting the stockholder communications mailbox to link through to the Meeting. Instructions should also be provided on the voting instruction card provided by your broker, brokerage firm, bank, or other nominee.</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 xml:space="preserve">We want to be sure that all our stockholders are afforded the same rights and opportunities to participate as they would at an in-person meeting, so all of our Board members and executive officers are expected to join the Meeting and be available for questions, and we are committed to acknowledging each relevant question we receive pursuant to our Rules of Conduct (available on the Annual Meeting Website). If you are eligible to attend the 2026 Annual Meeting, but cannot submit your question using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the Annual Meeting Website, please contact our Investor Relations Department at (212) 813-7868 for accommodations.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58293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color w:val="001641"/>
        </w:rPr>
        <w:t xml:space="preserve">118 </w:t>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Questions and Answers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641"/>
        </w:rPr>
        <w:t>What can I do if I need technical assistance during the Meeting?</w:t>
      </w:r>
    </w:p>
    <w:p>
      <w:pPr>
        <w:spacing w:after="0" w:line="79"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If you encounter any difficulties accessing the virtual Meeting webcast, please call the technical support number that will be posted on the Annual Meeting Website login page.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641"/>
        </w:rPr>
        <w:t>If I can’t participate in the live Meeting webcast, can I vote or listen to it later?</w:t>
      </w:r>
    </w:p>
    <w:p>
      <w:pPr>
        <w:spacing w:after="0" w:line="93"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 xml:space="preserve">You may vote your shares electronically before the meeting by visiting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and following the instructions on your proxy card. You do not need to access the Meeting webcast to vote if you submitted your vote via proxy in advance of the Meeting. An audio replay of the Meeting, including the questions answered during the meeting, will be available on </w:t>
      </w:r>
      <w:r>
        <w:rPr>
          <w:rFonts w:ascii="Arial" w:cs="Arial" w:eastAsia="Arial" w:hAnsi="Arial"/>
          <w:sz w:val="16"/>
          <w:szCs w:val="16"/>
          <w:i w:val="1"/>
          <w:iCs w:val="1"/>
          <w:color w:val="auto"/>
        </w:rPr>
        <w:t xml:space="preserve">http://investor.ralphlauren.com </w:t>
      </w:r>
      <w:r>
        <w:rPr>
          <w:rFonts w:ascii="Arial" w:cs="Arial" w:eastAsia="Arial" w:hAnsi="Arial"/>
          <w:sz w:val="16"/>
          <w:szCs w:val="16"/>
          <w:color w:val="auto"/>
        </w:rPr>
        <w:t>until the 2026 Annual Meeting of Stockholders. Additional information about how to vote your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and participate in our Meeting webcast can be found in the General Information section of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641"/>
        </w:rPr>
        <w:t>What is the “Notice and Access” model and why did the Company elect to use it?</w:t>
      </w:r>
    </w:p>
    <w:p>
      <w:pPr>
        <w:spacing w:after="0" w:line="9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 xml:space="preserve">We are making the proxy materials available to stockholders on the Internet under the Securities and Exchange Commission’s (“SEC”) Notice and Access model. On or about June 18, 2026, we will mail to all stockholders a Notice of Internet Availability of Proxy Materials (“Notice of Internet Availability”) in lieu of mailing a full printed set of the proxy materials. Accordingly, our proxy materials are first being made available to our stockholders on our website, </w:t>
      </w:r>
      <w:r>
        <w:rPr>
          <w:rFonts w:ascii="Arial" w:cs="Arial" w:eastAsia="Arial" w:hAnsi="Arial"/>
          <w:sz w:val="16"/>
          <w:szCs w:val="16"/>
          <w:i w:val="1"/>
          <w:iCs w:val="1"/>
          <w:color w:val="auto"/>
        </w:rPr>
        <w:t>http://investor.ralphlauren.com</w:t>
      </w:r>
      <w:r>
        <w:rPr>
          <w:rFonts w:ascii="Arial" w:cs="Arial" w:eastAsia="Arial" w:hAnsi="Arial"/>
          <w:sz w:val="16"/>
          <w:szCs w:val="16"/>
          <w:color w:val="auto"/>
        </w:rPr>
        <w:t>, on or about June 18, 2026. The Notice of Internet Availability includes instructions for accessing the proxy materials and voting by telephone or on the Internet. You will also find instructions for requesting a full printed set of the proxy materials in the Notice of Internet Availability.</w:t>
      </w:r>
    </w:p>
    <w:p>
      <w:pPr>
        <w:spacing w:after="0" w:line="321"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We believe the electronic method of delivery under the Notice of Internet Availability model will decrease postage and printing expenses, expedite delivery of proxy materials to you and reduce our environmental impact, and we encourage you to take advantage of the availability of the proxy materials on the Internet. If you received the Notice of Internet Availability but would like to receive a full printed set of the proxy materials in the mail, you may follow the instructions in the Notice of Internet Availability for requesting such materials.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641"/>
        </w:rPr>
        <w:t>How can I get electronic access to the proxy materials?</w:t>
      </w:r>
    </w:p>
    <w:p>
      <w:pPr>
        <w:spacing w:after="0" w:line="79"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 xml:space="preserve">The Notice of Internet Availability will provide you with instructions for viewing our proxy materials for the 2026 Annual Meeting on the Internet using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and requesting that we send proxy materials to you by email. The proxy materials are also available on our website at </w:t>
      </w:r>
      <w:r>
        <w:rPr>
          <w:rFonts w:ascii="Arial" w:cs="Arial" w:eastAsia="Arial" w:hAnsi="Arial"/>
          <w:sz w:val="16"/>
          <w:szCs w:val="16"/>
          <w:i w:val="1"/>
          <w:iCs w:val="1"/>
          <w:color w:val="auto"/>
        </w:rPr>
        <w:t>http://investor.ralphlauren.com</w:t>
      </w:r>
      <w:r>
        <w:rPr>
          <w:rFonts w:ascii="Arial" w:cs="Arial" w:eastAsia="Arial" w:hAnsi="Arial"/>
          <w:sz w:val="16"/>
          <w:szCs w:val="16"/>
          <w:color w:val="auto"/>
        </w:rPr>
        <w:t xml:space="preserve"> or on our Annual Meeting Website.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641"/>
        </w:rPr>
        <w:t>Who is entitled to vote?</w:t>
      </w:r>
    </w:p>
    <w:p>
      <w:pPr>
        <w:spacing w:after="0" w:line="9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Only holders of record of shares of our Class A Common Stock and Class B Common Stock (together, the “Common Stock”) at the close of business on the Record Date are entitled to notice of, and to vote at, the 2026 Annual Meeting and adjournments or postponements thereof. In accordance with Delaware law, a list of stockholders entitled to vote at the meeting will be available for inspection by appointment at the Company’s headquarters 10 days prior to the 2026 Annual Meeting. The presence, in person or by proxy, of the holders of one-third of the total number of shares of Common Stock outstanding on the Record Date will constitute a quorum for the transaction of business at the 2026 Annual Meeting.</w:t>
      </w:r>
    </w:p>
    <w:p>
      <w:pPr>
        <w:spacing w:after="0" w:line="128"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On the Record Date, there were 37,635,070 outstanding shares of Class A Common Stock and 21,881,276 outstanding shares of Class B Common Stock. Except for the election of directors, the Class A Common Stock and Class B Common Stock vote together as a single class on all matters presented for the consideration of our stockholders, with each share of Class A Common Stock entitled to one vote and each share of Class B Common Stock entitled to ten votes. The Class A Common Stock is publicly traded on the New York Stock Exchange (“NYSE”) under the symbol “RL.” The Class B Common Stock is owned by Ralph Lauren and entities owned by, or established for the benefit of, Mr. R. Lauren, or members of his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582930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261620</wp:posOffset>
            </wp:positionV>
            <wp:extent cx="128905" cy="11112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30" w:name="page131"/>
    <w:bookmarkEnd w:id="130"/>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3"/>
          <w:szCs w:val="13"/>
          <w:b w:val="1"/>
          <w:bCs w:val="1"/>
          <w:color w:val="001641"/>
        </w:rPr>
        <w:t>Questions and Answers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53340</wp:posOffset>
            </wp:positionV>
            <wp:extent cx="582930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3" w:lineRule="exact"/>
        <w:rPr>
          <w:sz w:val="20"/>
          <w:szCs w:val="20"/>
          <w:color w:val="auto"/>
        </w:rPr>
      </w:pPr>
    </w:p>
    <w:p>
      <w:pPr>
        <w:ind w:left="920" w:right="1360"/>
        <w:spacing w:after="0" w:line="278" w:lineRule="auto"/>
        <w:rPr>
          <w:sz w:val="20"/>
          <w:szCs w:val="20"/>
          <w:color w:val="auto"/>
        </w:rPr>
      </w:pPr>
      <w:r>
        <w:rPr>
          <w:rFonts w:ascii="Arial" w:cs="Arial" w:eastAsia="Arial" w:hAnsi="Arial"/>
          <w:sz w:val="18"/>
          <w:szCs w:val="18"/>
          <w:b w:val="1"/>
          <w:bCs w:val="1"/>
          <w:i w:val="1"/>
          <w:iCs w:val="1"/>
          <w:color w:val="001641"/>
        </w:rPr>
        <w:t>What is the difference between a “stockholder of record” and a stockholder who holds stock in “street name?”</w:t>
      </w:r>
    </w:p>
    <w:p>
      <w:pPr>
        <w:spacing w:after="0" w:line="9" w:lineRule="exact"/>
        <w:rPr>
          <w:sz w:val="20"/>
          <w:szCs w:val="20"/>
          <w:color w:val="auto"/>
        </w:rPr>
      </w:pPr>
    </w:p>
    <w:p>
      <w:pPr>
        <w:ind w:left="920" w:right="1200"/>
        <w:spacing w:after="0" w:line="266" w:lineRule="auto"/>
        <w:rPr>
          <w:sz w:val="20"/>
          <w:szCs w:val="20"/>
          <w:color w:val="auto"/>
        </w:rPr>
      </w:pPr>
      <w:r>
        <w:rPr>
          <w:rFonts w:ascii="Arial" w:cs="Arial" w:eastAsia="Arial" w:hAnsi="Arial"/>
          <w:sz w:val="16"/>
          <w:szCs w:val="16"/>
          <w:color w:val="auto"/>
        </w:rPr>
        <w:t>If you hold shares of the Company directly in your name with our transfer agent, Computershare, you are a “stockholder of record” or “registered stockholder.” The Notice of Internet Availability has been sent directly to you by the Company or by our representative.</w:t>
      </w:r>
    </w:p>
    <w:p>
      <w:pPr>
        <w:spacing w:after="0" w:line="117" w:lineRule="exact"/>
        <w:rPr>
          <w:sz w:val="20"/>
          <w:szCs w:val="20"/>
          <w:color w:val="auto"/>
        </w:rPr>
      </w:pPr>
    </w:p>
    <w:p>
      <w:pPr>
        <w:jc w:val="both"/>
        <w:ind w:left="920" w:right="1020"/>
        <w:spacing w:after="0" w:line="253" w:lineRule="auto"/>
        <w:rPr>
          <w:sz w:val="20"/>
          <w:szCs w:val="20"/>
          <w:color w:val="auto"/>
        </w:rPr>
      </w:pPr>
      <w:r>
        <w:rPr>
          <w:rFonts w:ascii="Arial" w:cs="Arial" w:eastAsia="Arial" w:hAnsi="Arial"/>
          <w:sz w:val="16"/>
          <w:szCs w:val="16"/>
          <w:color w:val="auto"/>
        </w:rPr>
        <w:t>If you own your shares indirectly through a broker, brokerage firm, bank, or other financial institution, your shares are said to be held in “street name.” Technically, your bank or broker will vote those shares. In this case, the Notice of Internet Availability has been forwarded to you by your broker, brokerage firm, bank, other financial institution, or other designated representative.</w:t>
      </w:r>
    </w:p>
    <w:p>
      <w:pPr>
        <w:spacing w:after="0" w:line="1" w:lineRule="exact"/>
        <w:rPr>
          <w:sz w:val="20"/>
          <w:szCs w:val="20"/>
          <w:color w:val="auto"/>
        </w:rPr>
      </w:pPr>
    </w:p>
    <w:p>
      <w:pPr>
        <w:jc w:val="both"/>
        <w:ind w:left="920" w:right="1000"/>
        <w:spacing w:after="0" w:line="265" w:lineRule="auto"/>
        <w:rPr>
          <w:sz w:val="20"/>
          <w:szCs w:val="20"/>
          <w:color w:val="auto"/>
        </w:rPr>
      </w:pPr>
      <w:r>
        <w:rPr>
          <w:rFonts w:ascii="Arial" w:cs="Arial" w:eastAsia="Arial" w:hAnsi="Arial"/>
          <w:sz w:val="16"/>
          <w:szCs w:val="16"/>
          <w:color w:val="auto"/>
        </w:rPr>
        <w:t>Through this process, your bank or broker collects voting instructions from all of its customers who hold shares of the Company and then submits those votes to us.</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001641"/>
        </w:rPr>
        <w:t>What are broker discretionary voting and broker non-votes?</w:t>
      </w:r>
    </w:p>
    <w:p>
      <w:pPr>
        <w:spacing w:after="0" w:line="93" w:lineRule="exact"/>
        <w:rPr>
          <w:sz w:val="20"/>
          <w:szCs w:val="20"/>
          <w:color w:val="auto"/>
        </w:rPr>
      </w:pPr>
    </w:p>
    <w:p>
      <w:pPr>
        <w:ind w:left="920" w:right="1180"/>
        <w:spacing w:after="0" w:line="286" w:lineRule="auto"/>
        <w:rPr>
          <w:sz w:val="20"/>
          <w:szCs w:val="20"/>
          <w:color w:val="auto"/>
        </w:rPr>
      </w:pPr>
      <w:r>
        <w:rPr>
          <w:rFonts w:ascii="Arial" w:cs="Arial" w:eastAsia="Arial" w:hAnsi="Arial"/>
          <w:sz w:val="16"/>
          <w:szCs w:val="16"/>
          <w:color w:val="auto"/>
        </w:rPr>
        <w:t>For shares held in “street name,” when a broker or bank does not receive voting instructions from its customers, the question arises whether the broker or bank nonetheless has the discretion to vote those shares.</w:t>
      </w:r>
    </w:p>
    <w:p>
      <w:pPr>
        <w:spacing w:after="0" w:line="102" w:lineRule="exact"/>
        <w:rPr>
          <w:sz w:val="20"/>
          <w:szCs w:val="20"/>
          <w:color w:val="auto"/>
        </w:rPr>
      </w:pPr>
    </w:p>
    <w:p>
      <w:pPr>
        <w:ind w:left="920" w:right="1020"/>
        <w:spacing w:after="0" w:line="259" w:lineRule="auto"/>
        <w:rPr>
          <w:sz w:val="20"/>
          <w:szCs w:val="20"/>
          <w:color w:val="auto"/>
        </w:rPr>
      </w:pPr>
      <w:r>
        <w:rPr>
          <w:rFonts w:ascii="Arial" w:cs="Arial" w:eastAsia="Arial" w:hAnsi="Arial"/>
          <w:sz w:val="16"/>
          <w:szCs w:val="16"/>
          <w:color w:val="auto"/>
        </w:rPr>
        <w:t>For routine matters, the NYSE gives brokers and banks the discretion to vote, even if they have not received voting instructions from their customers or the “beneficial owners” of such shares. In this Proxy Statement, only the ratification of our independent registered public accounting firm, Ernst &amp; Young LLP (“Ernst &amp; Young”) (Proposal 2), is a matter considered routine by the NYSE.</w:t>
      </w:r>
    </w:p>
    <w:p>
      <w:pPr>
        <w:spacing w:after="0" w:line="124" w:lineRule="exact"/>
        <w:rPr>
          <w:sz w:val="20"/>
          <w:szCs w:val="20"/>
          <w:color w:val="auto"/>
        </w:rPr>
      </w:pPr>
    </w:p>
    <w:p>
      <w:pPr>
        <w:ind w:left="920" w:right="940"/>
        <w:spacing w:after="0" w:line="256" w:lineRule="auto"/>
        <w:rPr>
          <w:sz w:val="20"/>
          <w:szCs w:val="20"/>
          <w:color w:val="auto"/>
        </w:rPr>
      </w:pPr>
      <w:r>
        <w:rPr>
          <w:rFonts w:ascii="Arial" w:cs="Arial" w:eastAsia="Arial" w:hAnsi="Arial"/>
          <w:sz w:val="16"/>
          <w:szCs w:val="16"/>
          <w:color w:val="auto"/>
        </w:rPr>
        <w:t>For non-routine matters, the NYSE prohibits brokers and banks from casting votes on behalf of the beneficial owners if they have not received voting instructions. When the bank or broker is unable to vote under these rules, it reports the number of unvoted shares to us as “broker non-votes.” In this Proxy Statement, the election of directors (Proposal 1) and the advisory vote on executive compensation (Proposal 3) are matters considered non-routine by the NYSE. As a result, on each of these items, if you hold your shares in street name, your shares will be voted only if you give instructions to your bank or broker.</w:t>
      </w:r>
    </w:p>
    <w:p>
      <w:pPr>
        <w:spacing w:after="0" w:line="177" w:lineRule="exact"/>
        <w:rPr>
          <w:sz w:val="20"/>
          <w:szCs w:val="20"/>
          <w:color w:val="auto"/>
        </w:rPr>
      </w:pPr>
    </w:p>
    <w:p>
      <w:pPr>
        <w:ind w:left="920" w:right="1780"/>
        <w:spacing w:after="0" w:line="278" w:lineRule="auto"/>
        <w:rPr>
          <w:sz w:val="20"/>
          <w:szCs w:val="20"/>
          <w:color w:val="auto"/>
        </w:rPr>
      </w:pPr>
      <w:r>
        <w:rPr>
          <w:rFonts w:ascii="Arial" w:cs="Arial" w:eastAsia="Arial" w:hAnsi="Arial"/>
          <w:sz w:val="18"/>
          <w:szCs w:val="18"/>
          <w:b w:val="1"/>
          <w:bCs w:val="1"/>
          <w:i w:val="1"/>
          <w:iCs w:val="1"/>
          <w:color w:val="001641"/>
        </w:rPr>
        <w:t>What are my voting options and what vote is needed to pass the proposals included in this Proxy Statement?</w:t>
      </w:r>
    </w:p>
    <w:p>
      <w:pPr>
        <w:spacing w:after="0" w:line="23" w:lineRule="exact"/>
        <w:rPr>
          <w:sz w:val="20"/>
          <w:szCs w:val="20"/>
          <w:color w:val="auto"/>
        </w:rPr>
      </w:pPr>
    </w:p>
    <w:p>
      <w:pPr>
        <w:ind w:left="920" w:right="1080"/>
        <w:spacing w:after="0" w:line="254" w:lineRule="auto"/>
        <w:rPr>
          <w:sz w:val="20"/>
          <w:szCs w:val="20"/>
          <w:color w:val="auto"/>
        </w:rPr>
      </w:pPr>
      <w:r>
        <w:rPr>
          <w:rFonts w:ascii="Arial" w:cs="Arial" w:eastAsia="Arial" w:hAnsi="Arial"/>
          <w:sz w:val="16"/>
          <w:szCs w:val="16"/>
          <w:color w:val="auto"/>
        </w:rPr>
        <w:t>You have the right to vote “FOR” or “WITHHOLD” your vote for the nominees in connection with Proposal 1. Only votes cast “FOR” a nominee will be counted in the election of directors. Votes that are withheld with respect to one or more nominees will result in those nominees receiving fewer votes but will not count as a vote against the nominees. You have the right to vote “FOR” or “AGAINST,” or to “ABSTAIN” from voting in connection with Proposals 2 and 3. The following table summarizes each proposal, the Board’s recommendation, the affirmative vote required for approval and whether broker discretionary voting is allowed.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0" w:type="dxa"/>
            <w:vAlign w:val="bottom"/>
          </w:tcPr>
          <w:p>
            <w:pPr>
              <w:spacing w:after="0"/>
              <w:rPr>
                <w:sz w:val="19"/>
                <w:szCs w:val="19"/>
                <w:color w:val="auto"/>
              </w:rPr>
            </w:pPr>
          </w:p>
        </w:tc>
        <w:tc>
          <w:tcPr>
            <w:tcW w:w="80" w:type="dxa"/>
            <w:vAlign w:val="bottom"/>
            <w:shd w:val="clear" w:color="auto" w:fill="BFA071"/>
          </w:tcPr>
          <w:p>
            <w:pPr>
              <w:spacing w:after="0"/>
              <w:rPr>
                <w:sz w:val="19"/>
                <w:szCs w:val="19"/>
                <w:color w:val="auto"/>
              </w:rPr>
            </w:pPr>
          </w:p>
        </w:tc>
        <w:tc>
          <w:tcPr>
            <w:tcW w:w="780" w:type="dxa"/>
            <w:vAlign w:val="bottom"/>
            <w:shd w:val="clear" w:color="auto" w:fill="BFA071"/>
          </w:tcPr>
          <w:p>
            <w:pPr>
              <w:spacing w:after="0"/>
              <w:rPr>
                <w:sz w:val="19"/>
                <w:szCs w:val="19"/>
                <w:color w:val="auto"/>
              </w:rPr>
            </w:pPr>
          </w:p>
        </w:tc>
        <w:tc>
          <w:tcPr>
            <w:tcW w:w="260" w:type="dxa"/>
            <w:vAlign w:val="bottom"/>
            <w:shd w:val="clear" w:color="auto" w:fill="001641"/>
          </w:tcPr>
          <w:p>
            <w:pPr>
              <w:spacing w:after="0"/>
              <w:rPr>
                <w:sz w:val="19"/>
                <w:szCs w:val="19"/>
                <w:color w:val="auto"/>
              </w:rPr>
            </w:pPr>
          </w:p>
        </w:tc>
        <w:tc>
          <w:tcPr>
            <w:tcW w:w="4020" w:type="dxa"/>
            <w:vAlign w:val="bottom"/>
            <w:shd w:val="clear" w:color="auto" w:fill="001641"/>
          </w:tcPr>
          <w:p>
            <w:pPr>
              <w:spacing w:after="0"/>
              <w:rPr>
                <w:sz w:val="19"/>
                <w:szCs w:val="19"/>
                <w:color w:val="auto"/>
              </w:rPr>
            </w:pPr>
          </w:p>
        </w:tc>
        <w:tc>
          <w:tcPr>
            <w:tcW w:w="1420" w:type="dxa"/>
            <w:vAlign w:val="bottom"/>
            <w:shd w:val="clear" w:color="auto" w:fill="BFA071"/>
          </w:tcPr>
          <w:p>
            <w:pPr>
              <w:spacing w:after="0"/>
              <w:rPr>
                <w:sz w:val="19"/>
                <w:szCs w:val="19"/>
                <w:color w:val="auto"/>
              </w:rPr>
            </w:pPr>
          </w:p>
        </w:tc>
        <w:tc>
          <w:tcPr>
            <w:tcW w:w="1540" w:type="dxa"/>
            <w:vAlign w:val="bottom"/>
            <w:shd w:val="clear" w:color="auto" w:fill="001641"/>
          </w:tcPr>
          <w:p>
            <w:pPr>
              <w:ind w:left="120"/>
              <w:spacing w:after="0"/>
              <w:rPr>
                <w:sz w:val="20"/>
                <w:szCs w:val="20"/>
                <w:color w:val="auto"/>
              </w:rPr>
            </w:pPr>
            <w:r>
              <w:rPr>
                <w:rFonts w:ascii="Arial" w:cs="Arial" w:eastAsia="Arial" w:hAnsi="Arial"/>
                <w:sz w:val="14"/>
                <w:szCs w:val="14"/>
                <w:b w:val="1"/>
                <w:bCs w:val="1"/>
                <w:color w:val="FFFFFF"/>
              </w:rPr>
              <w:t>Affirmative Vote</w:t>
            </w:r>
          </w:p>
        </w:tc>
        <w:tc>
          <w:tcPr>
            <w:tcW w:w="1260" w:type="dxa"/>
            <w:vAlign w:val="bottom"/>
            <w:gridSpan w:val="2"/>
            <w:shd w:val="clear" w:color="auto" w:fill="BFA071"/>
          </w:tcPr>
          <w:p>
            <w:pPr>
              <w:ind w:left="120"/>
              <w:spacing w:after="0"/>
              <w:rPr>
                <w:sz w:val="20"/>
                <w:szCs w:val="20"/>
                <w:color w:val="auto"/>
              </w:rPr>
            </w:pPr>
            <w:r>
              <w:rPr>
                <w:rFonts w:ascii="Arial" w:cs="Arial" w:eastAsia="Arial" w:hAnsi="Arial"/>
                <w:sz w:val="14"/>
                <w:szCs w:val="14"/>
                <w:b w:val="1"/>
                <w:bCs w:val="1"/>
                <w:color w:val="FFFFFF"/>
              </w:rPr>
              <w:t>Broker</w:t>
            </w:r>
          </w:p>
        </w:tc>
        <w:tc>
          <w:tcPr>
            <w:tcW w:w="740" w:type="dxa"/>
            <w:vAlign w:val="bottom"/>
          </w:tcPr>
          <w:p>
            <w:pPr>
              <w:spacing w:after="0"/>
              <w:rPr>
                <w:sz w:val="19"/>
                <w:szCs w:val="19"/>
                <w:color w:val="auto"/>
              </w:rPr>
            </w:pPr>
          </w:p>
        </w:tc>
      </w:tr>
      <w:tr>
        <w:trPr>
          <w:trHeight w:val="162"/>
        </w:trPr>
        <w:tc>
          <w:tcPr>
            <w:tcW w:w="920" w:type="dxa"/>
            <w:vAlign w:val="bottom"/>
          </w:tcPr>
          <w:p>
            <w:pPr>
              <w:spacing w:after="0"/>
              <w:rPr>
                <w:sz w:val="14"/>
                <w:szCs w:val="14"/>
                <w:color w:val="auto"/>
              </w:rPr>
            </w:pPr>
          </w:p>
        </w:tc>
        <w:tc>
          <w:tcPr>
            <w:tcW w:w="80" w:type="dxa"/>
            <w:vAlign w:val="bottom"/>
            <w:shd w:val="clear" w:color="auto" w:fill="BFA071"/>
          </w:tcPr>
          <w:p>
            <w:pPr>
              <w:spacing w:after="0"/>
              <w:rPr>
                <w:sz w:val="14"/>
                <w:szCs w:val="14"/>
                <w:color w:val="auto"/>
              </w:rPr>
            </w:pPr>
          </w:p>
        </w:tc>
        <w:tc>
          <w:tcPr>
            <w:tcW w:w="780" w:type="dxa"/>
            <w:vAlign w:val="bottom"/>
            <w:shd w:val="clear" w:color="auto" w:fill="BFA071"/>
          </w:tcPr>
          <w:p>
            <w:pPr>
              <w:ind w:left="60"/>
              <w:spacing w:after="0"/>
              <w:rPr>
                <w:sz w:val="20"/>
                <w:szCs w:val="20"/>
                <w:color w:val="auto"/>
              </w:rPr>
            </w:pPr>
            <w:r>
              <w:rPr>
                <w:rFonts w:ascii="Arial" w:cs="Arial" w:eastAsia="Arial" w:hAnsi="Arial"/>
                <w:sz w:val="14"/>
                <w:szCs w:val="14"/>
                <w:b w:val="1"/>
                <w:bCs w:val="1"/>
                <w:color w:val="FFFFFF"/>
              </w:rPr>
              <w:t>Proposal</w:t>
            </w:r>
          </w:p>
        </w:tc>
        <w:tc>
          <w:tcPr>
            <w:tcW w:w="260" w:type="dxa"/>
            <w:vAlign w:val="bottom"/>
            <w:shd w:val="clear" w:color="auto" w:fill="001641"/>
          </w:tcPr>
          <w:p>
            <w:pPr>
              <w:spacing w:after="0"/>
              <w:rPr>
                <w:sz w:val="14"/>
                <w:szCs w:val="14"/>
                <w:color w:val="auto"/>
              </w:rPr>
            </w:pPr>
          </w:p>
        </w:tc>
        <w:tc>
          <w:tcPr>
            <w:tcW w:w="4020" w:type="dxa"/>
            <w:vAlign w:val="bottom"/>
            <w:shd w:val="clear" w:color="auto" w:fill="001641"/>
          </w:tcPr>
          <w:p>
            <w:pPr>
              <w:spacing w:after="0"/>
              <w:rPr>
                <w:sz w:val="14"/>
                <w:szCs w:val="14"/>
                <w:color w:val="auto"/>
              </w:rPr>
            </w:pPr>
          </w:p>
        </w:tc>
        <w:tc>
          <w:tcPr>
            <w:tcW w:w="1420" w:type="dxa"/>
            <w:vAlign w:val="bottom"/>
            <w:shd w:val="clear" w:color="auto" w:fill="BFA071"/>
          </w:tcPr>
          <w:p>
            <w:pPr>
              <w:ind w:left="100"/>
              <w:spacing w:after="0"/>
              <w:rPr>
                <w:sz w:val="20"/>
                <w:szCs w:val="20"/>
                <w:color w:val="auto"/>
              </w:rPr>
            </w:pPr>
            <w:r>
              <w:rPr>
                <w:rFonts w:ascii="Arial" w:cs="Arial" w:eastAsia="Arial" w:hAnsi="Arial"/>
                <w:sz w:val="14"/>
                <w:szCs w:val="14"/>
                <w:b w:val="1"/>
                <w:bCs w:val="1"/>
                <w:color w:val="FFFFFF"/>
              </w:rPr>
              <w:t>Board</w:t>
            </w:r>
          </w:p>
        </w:tc>
        <w:tc>
          <w:tcPr>
            <w:tcW w:w="1540" w:type="dxa"/>
            <w:vAlign w:val="bottom"/>
            <w:shd w:val="clear" w:color="auto" w:fill="001641"/>
          </w:tcPr>
          <w:p>
            <w:pPr>
              <w:ind w:left="120"/>
              <w:spacing w:after="0"/>
              <w:rPr>
                <w:sz w:val="20"/>
                <w:szCs w:val="20"/>
                <w:color w:val="auto"/>
              </w:rPr>
            </w:pPr>
            <w:r>
              <w:rPr>
                <w:rFonts w:ascii="Arial" w:cs="Arial" w:eastAsia="Arial" w:hAnsi="Arial"/>
                <w:sz w:val="14"/>
                <w:szCs w:val="14"/>
                <w:b w:val="1"/>
                <w:bCs w:val="1"/>
                <w:color w:val="FFFFFF"/>
              </w:rPr>
              <w:t>Required for</w:t>
            </w:r>
          </w:p>
        </w:tc>
        <w:tc>
          <w:tcPr>
            <w:tcW w:w="1260" w:type="dxa"/>
            <w:vAlign w:val="bottom"/>
            <w:gridSpan w:val="2"/>
            <w:shd w:val="clear" w:color="auto" w:fill="BFA071"/>
          </w:tcPr>
          <w:p>
            <w:pPr>
              <w:ind w:left="120"/>
              <w:spacing w:after="0"/>
              <w:rPr>
                <w:sz w:val="20"/>
                <w:szCs w:val="20"/>
                <w:color w:val="auto"/>
              </w:rPr>
            </w:pPr>
            <w:r>
              <w:rPr>
                <w:rFonts w:ascii="Arial" w:cs="Arial" w:eastAsia="Arial" w:hAnsi="Arial"/>
                <w:sz w:val="14"/>
                <w:szCs w:val="14"/>
                <w:b w:val="1"/>
                <w:bCs w:val="1"/>
                <w:color w:val="FFFFFF"/>
              </w:rPr>
              <w:t>Discretionary</w:t>
            </w:r>
          </w:p>
        </w:tc>
        <w:tc>
          <w:tcPr>
            <w:tcW w:w="740" w:type="dxa"/>
            <w:vAlign w:val="bottom"/>
          </w:tcPr>
          <w:p>
            <w:pPr>
              <w:spacing w:after="0"/>
              <w:rPr>
                <w:sz w:val="14"/>
                <w:szCs w:val="14"/>
                <w:color w:val="auto"/>
              </w:rPr>
            </w:pPr>
          </w:p>
        </w:tc>
      </w:tr>
      <w:tr>
        <w:trPr>
          <w:trHeight w:val="232"/>
        </w:trPr>
        <w:tc>
          <w:tcPr>
            <w:tcW w:w="920" w:type="dxa"/>
            <w:vAlign w:val="bottom"/>
          </w:tcPr>
          <w:p>
            <w:pPr>
              <w:spacing w:after="0"/>
              <w:rPr>
                <w:sz w:val="20"/>
                <w:szCs w:val="20"/>
                <w:color w:val="auto"/>
              </w:rPr>
            </w:pPr>
          </w:p>
        </w:tc>
        <w:tc>
          <w:tcPr>
            <w:tcW w:w="80" w:type="dxa"/>
            <w:vAlign w:val="bottom"/>
            <w:tcBorders>
              <w:bottom w:val="single" w:sz="8" w:color="BFA071"/>
            </w:tcBorders>
            <w:shd w:val="clear" w:color="auto" w:fill="BFA071"/>
          </w:tcPr>
          <w:p>
            <w:pPr>
              <w:spacing w:after="0"/>
              <w:rPr>
                <w:sz w:val="20"/>
                <w:szCs w:val="20"/>
                <w:color w:val="auto"/>
              </w:rPr>
            </w:pPr>
          </w:p>
        </w:tc>
        <w:tc>
          <w:tcPr>
            <w:tcW w:w="780" w:type="dxa"/>
            <w:vAlign w:val="bottom"/>
            <w:tcBorders>
              <w:bottom w:val="single" w:sz="8" w:color="BFA071"/>
            </w:tcBorders>
            <w:shd w:val="clear" w:color="auto" w:fill="BFA071"/>
          </w:tcPr>
          <w:p>
            <w:pPr>
              <w:jc w:val="center"/>
              <w:ind w:right="43"/>
              <w:spacing w:after="0"/>
              <w:rPr>
                <w:sz w:val="20"/>
                <w:szCs w:val="20"/>
                <w:color w:val="auto"/>
              </w:rPr>
            </w:pPr>
            <w:r>
              <w:rPr>
                <w:rFonts w:ascii="Arial" w:cs="Arial" w:eastAsia="Arial" w:hAnsi="Arial"/>
                <w:sz w:val="14"/>
                <w:szCs w:val="14"/>
                <w:b w:val="1"/>
                <w:bCs w:val="1"/>
                <w:color w:val="FFFFFF"/>
              </w:rPr>
              <w:t>Number</w:t>
            </w:r>
          </w:p>
        </w:tc>
        <w:tc>
          <w:tcPr>
            <w:tcW w:w="4280" w:type="dxa"/>
            <w:vAlign w:val="bottom"/>
            <w:tcBorders>
              <w:bottom w:val="single" w:sz="8" w:color="001641"/>
            </w:tcBorders>
            <w:gridSpan w:val="2"/>
            <w:shd w:val="clear" w:color="auto" w:fill="001641"/>
          </w:tcPr>
          <w:p>
            <w:pPr>
              <w:ind w:left="100"/>
              <w:spacing w:after="0"/>
              <w:rPr>
                <w:sz w:val="20"/>
                <w:szCs w:val="20"/>
                <w:color w:val="auto"/>
              </w:rPr>
            </w:pPr>
            <w:r>
              <w:rPr>
                <w:rFonts w:ascii="Arial" w:cs="Arial" w:eastAsia="Arial" w:hAnsi="Arial"/>
                <w:sz w:val="14"/>
                <w:szCs w:val="14"/>
                <w:b w:val="1"/>
                <w:bCs w:val="1"/>
                <w:color w:val="FFFFFF"/>
              </w:rPr>
              <w:t>Proposal</w:t>
            </w:r>
          </w:p>
        </w:tc>
        <w:tc>
          <w:tcPr>
            <w:tcW w:w="1420" w:type="dxa"/>
            <w:vAlign w:val="bottom"/>
            <w:tcBorders>
              <w:bottom w:val="single" w:sz="8" w:color="BFA071"/>
            </w:tcBorders>
            <w:shd w:val="clear" w:color="auto" w:fill="BFA071"/>
          </w:tcPr>
          <w:p>
            <w:pPr>
              <w:ind w:left="100"/>
              <w:spacing w:after="0"/>
              <w:rPr>
                <w:sz w:val="20"/>
                <w:szCs w:val="20"/>
                <w:color w:val="auto"/>
              </w:rPr>
            </w:pPr>
            <w:r>
              <w:rPr>
                <w:rFonts w:ascii="Arial" w:cs="Arial" w:eastAsia="Arial" w:hAnsi="Arial"/>
                <w:sz w:val="14"/>
                <w:szCs w:val="14"/>
                <w:b w:val="1"/>
                <w:bCs w:val="1"/>
                <w:color w:val="FFFFFF"/>
              </w:rPr>
              <w:t>Recommendation</w:t>
            </w:r>
          </w:p>
        </w:tc>
        <w:tc>
          <w:tcPr>
            <w:tcW w:w="1540" w:type="dxa"/>
            <w:vAlign w:val="bottom"/>
            <w:tcBorders>
              <w:bottom w:val="single" w:sz="8" w:color="001641"/>
            </w:tcBorders>
            <w:shd w:val="clear" w:color="auto" w:fill="001641"/>
          </w:tcPr>
          <w:p>
            <w:pPr>
              <w:ind w:left="120"/>
              <w:spacing w:after="0"/>
              <w:rPr>
                <w:sz w:val="20"/>
                <w:szCs w:val="20"/>
                <w:color w:val="auto"/>
              </w:rPr>
            </w:pPr>
            <w:r>
              <w:rPr>
                <w:rFonts w:ascii="Arial" w:cs="Arial" w:eastAsia="Arial" w:hAnsi="Arial"/>
                <w:sz w:val="14"/>
                <w:szCs w:val="14"/>
                <w:b w:val="1"/>
                <w:bCs w:val="1"/>
                <w:color w:val="FFFFFF"/>
              </w:rPr>
              <w:t>Approval</w:t>
            </w:r>
          </w:p>
        </w:tc>
        <w:tc>
          <w:tcPr>
            <w:tcW w:w="1260" w:type="dxa"/>
            <w:vAlign w:val="bottom"/>
            <w:tcBorders>
              <w:bottom w:val="single" w:sz="8" w:color="BFA071"/>
            </w:tcBorders>
            <w:gridSpan w:val="2"/>
            <w:shd w:val="clear" w:color="auto" w:fill="BFA071"/>
          </w:tcPr>
          <w:p>
            <w:pPr>
              <w:ind w:left="120"/>
              <w:spacing w:after="0"/>
              <w:rPr>
                <w:sz w:val="20"/>
                <w:szCs w:val="20"/>
                <w:color w:val="auto"/>
              </w:rPr>
            </w:pPr>
            <w:r>
              <w:rPr>
                <w:rFonts w:ascii="Arial" w:cs="Arial" w:eastAsia="Arial" w:hAnsi="Arial"/>
                <w:sz w:val="14"/>
                <w:szCs w:val="14"/>
                <w:b w:val="1"/>
                <w:bCs w:val="1"/>
                <w:color w:val="FFFFFF"/>
              </w:rPr>
              <w:t>Voting Allowed</w:t>
            </w:r>
          </w:p>
        </w:tc>
        <w:tc>
          <w:tcPr>
            <w:tcW w:w="740" w:type="dxa"/>
            <w:vAlign w:val="bottom"/>
          </w:tcPr>
          <w:p>
            <w:pPr>
              <w:spacing w:after="0"/>
              <w:rPr>
                <w:sz w:val="20"/>
                <w:szCs w:val="20"/>
                <w:color w:val="auto"/>
              </w:rPr>
            </w:pPr>
          </w:p>
        </w:tc>
      </w:tr>
      <w:tr>
        <w:trPr>
          <w:trHeight w:val="276"/>
        </w:trPr>
        <w:tc>
          <w:tcPr>
            <w:tcW w:w="920" w:type="dxa"/>
            <w:vAlign w:val="bottom"/>
          </w:tcPr>
          <w:p>
            <w:pPr>
              <w:spacing w:after="0"/>
              <w:rPr>
                <w:sz w:val="24"/>
                <w:szCs w:val="24"/>
                <w:color w:val="auto"/>
              </w:rPr>
            </w:pPr>
          </w:p>
        </w:tc>
        <w:tc>
          <w:tcPr>
            <w:tcW w:w="80" w:type="dxa"/>
            <w:vAlign w:val="bottom"/>
            <w:shd w:val="clear" w:color="auto" w:fill="EBE1D2"/>
          </w:tcPr>
          <w:p>
            <w:pPr>
              <w:spacing w:after="0"/>
              <w:rPr>
                <w:sz w:val="24"/>
                <w:szCs w:val="24"/>
                <w:color w:val="auto"/>
              </w:rPr>
            </w:pPr>
          </w:p>
        </w:tc>
        <w:tc>
          <w:tcPr>
            <w:tcW w:w="780" w:type="dxa"/>
            <w:vAlign w:val="bottom"/>
            <w:shd w:val="clear" w:color="auto" w:fill="EBE1D2"/>
          </w:tcPr>
          <w:p>
            <w:pPr>
              <w:jc w:val="center"/>
              <w:ind w:right="3"/>
              <w:spacing w:after="0"/>
              <w:rPr>
                <w:sz w:val="20"/>
                <w:szCs w:val="20"/>
                <w:color w:val="auto"/>
              </w:rPr>
            </w:pPr>
            <w:r>
              <w:rPr>
                <w:rFonts w:ascii="Arial" w:cs="Arial" w:eastAsia="Arial" w:hAnsi="Arial"/>
                <w:sz w:val="16"/>
                <w:szCs w:val="16"/>
                <w:b w:val="1"/>
                <w:bCs w:val="1"/>
                <w:color w:val="001641"/>
              </w:rPr>
              <w:t>1</w:t>
            </w:r>
          </w:p>
        </w:tc>
        <w:tc>
          <w:tcPr>
            <w:tcW w:w="4280" w:type="dxa"/>
            <w:vAlign w:val="bottom"/>
            <w:gridSpan w:val="2"/>
          </w:tcPr>
          <w:p>
            <w:pPr>
              <w:ind w:left="100"/>
              <w:spacing w:after="0"/>
              <w:rPr>
                <w:sz w:val="20"/>
                <w:szCs w:val="20"/>
                <w:color w:val="auto"/>
              </w:rPr>
            </w:pPr>
            <w:r>
              <w:rPr>
                <w:rFonts w:ascii="Arial" w:cs="Arial" w:eastAsia="Arial" w:hAnsi="Arial"/>
                <w:sz w:val="16"/>
                <w:szCs w:val="16"/>
                <w:b w:val="1"/>
                <w:bCs w:val="1"/>
                <w:color w:val="001641"/>
              </w:rPr>
              <w:t>Election of Directors:</w:t>
            </w:r>
          </w:p>
        </w:tc>
        <w:tc>
          <w:tcPr>
            <w:tcW w:w="1420" w:type="dxa"/>
            <w:vAlign w:val="bottom"/>
            <w:shd w:val="clear" w:color="auto" w:fill="EBE1D2"/>
          </w:tcPr>
          <w:p>
            <w:pPr>
              <w:ind w:left="100"/>
              <w:spacing w:after="0"/>
              <w:rPr>
                <w:sz w:val="20"/>
                <w:szCs w:val="20"/>
                <w:color w:val="auto"/>
              </w:rPr>
            </w:pPr>
            <w:r>
              <w:rPr>
                <w:rFonts w:ascii="Arial" w:cs="Arial" w:eastAsia="Arial" w:hAnsi="Arial"/>
                <w:sz w:val="16"/>
                <w:szCs w:val="16"/>
                <w:b w:val="1"/>
                <w:bCs w:val="1"/>
                <w:color w:val="001641"/>
              </w:rPr>
              <w:t>FOR ALL</w:t>
            </w:r>
          </w:p>
        </w:tc>
        <w:tc>
          <w:tcPr>
            <w:tcW w:w="1540" w:type="dxa"/>
            <w:vAlign w:val="bottom"/>
          </w:tcPr>
          <w:p>
            <w:pPr>
              <w:ind w:left="120"/>
              <w:spacing w:after="0"/>
              <w:rPr>
                <w:sz w:val="20"/>
                <w:szCs w:val="20"/>
                <w:color w:val="auto"/>
              </w:rPr>
            </w:pPr>
            <w:r>
              <w:rPr>
                <w:rFonts w:ascii="Arial" w:cs="Arial" w:eastAsia="Arial" w:hAnsi="Arial"/>
                <w:sz w:val="16"/>
                <w:szCs w:val="16"/>
                <w:color w:val="001641"/>
              </w:rPr>
              <w:t>Plurality vote</w:t>
            </w:r>
          </w:p>
        </w:tc>
        <w:tc>
          <w:tcPr>
            <w:tcW w:w="1260" w:type="dxa"/>
            <w:vAlign w:val="bottom"/>
            <w:gridSpan w:val="2"/>
            <w:shd w:val="clear" w:color="auto" w:fill="EBE1D2"/>
          </w:tcPr>
          <w:p>
            <w:pPr>
              <w:ind w:left="120"/>
              <w:spacing w:after="0"/>
              <w:rPr>
                <w:sz w:val="20"/>
                <w:szCs w:val="20"/>
                <w:color w:val="auto"/>
              </w:rPr>
            </w:pPr>
            <w:r>
              <w:rPr>
                <w:rFonts w:ascii="Arial" w:cs="Arial" w:eastAsia="Arial" w:hAnsi="Arial"/>
                <w:sz w:val="16"/>
                <w:szCs w:val="16"/>
                <w:color w:val="001641"/>
              </w:rPr>
              <w:t>No</w:t>
            </w:r>
          </w:p>
        </w:tc>
        <w:tc>
          <w:tcPr>
            <w:tcW w:w="740" w:type="dxa"/>
            <w:vAlign w:val="bottom"/>
          </w:tcPr>
          <w:p>
            <w:pPr>
              <w:spacing w:after="0"/>
              <w:rPr>
                <w:sz w:val="24"/>
                <w:szCs w:val="24"/>
                <w:color w:val="auto"/>
              </w:rPr>
            </w:pPr>
          </w:p>
        </w:tc>
      </w:tr>
      <w:tr>
        <w:trPr>
          <w:trHeight w:val="304"/>
        </w:trPr>
        <w:tc>
          <w:tcPr>
            <w:tcW w:w="920" w:type="dxa"/>
            <w:vAlign w:val="bottom"/>
          </w:tcPr>
          <w:p>
            <w:pPr>
              <w:spacing w:after="0"/>
              <w:rPr>
                <w:sz w:val="24"/>
                <w:szCs w:val="24"/>
                <w:color w:val="auto"/>
              </w:rPr>
            </w:pPr>
          </w:p>
        </w:tc>
        <w:tc>
          <w:tcPr>
            <w:tcW w:w="80" w:type="dxa"/>
            <w:vAlign w:val="bottom"/>
            <w:shd w:val="clear" w:color="auto" w:fill="EBE1D2"/>
          </w:tcPr>
          <w:p>
            <w:pPr>
              <w:spacing w:after="0"/>
              <w:rPr>
                <w:sz w:val="24"/>
                <w:szCs w:val="24"/>
                <w:color w:val="auto"/>
              </w:rPr>
            </w:pPr>
          </w:p>
        </w:tc>
        <w:tc>
          <w:tcPr>
            <w:tcW w:w="780" w:type="dxa"/>
            <w:vAlign w:val="bottom"/>
            <w:shd w:val="clear" w:color="auto" w:fill="EBE1D2"/>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4020" w:type="dxa"/>
            <w:vAlign w:val="bottom"/>
          </w:tcPr>
          <w:p>
            <w:pPr>
              <w:ind w:left="60"/>
              <w:spacing w:after="0"/>
              <w:rPr>
                <w:sz w:val="20"/>
                <w:szCs w:val="20"/>
                <w:color w:val="auto"/>
              </w:rPr>
            </w:pPr>
            <w:r>
              <w:rPr>
                <w:rFonts w:ascii="Arial" w:cs="Arial" w:eastAsia="Arial" w:hAnsi="Arial"/>
                <w:sz w:val="16"/>
                <w:szCs w:val="16"/>
                <w:color w:val="auto"/>
              </w:rPr>
              <w:t>Three directors (the “Class A Directors”) will be</w:t>
            </w:r>
          </w:p>
        </w:tc>
        <w:tc>
          <w:tcPr>
            <w:tcW w:w="1420" w:type="dxa"/>
            <w:vAlign w:val="bottom"/>
            <w:shd w:val="clear" w:color="auto" w:fill="EBE1D2"/>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shd w:val="clear" w:color="auto" w:fill="EBE1D2"/>
          </w:tcPr>
          <w:p>
            <w:pPr>
              <w:spacing w:after="0"/>
              <w:rPr>
                <w:sz w:val="24"/>
                <w:szCs w:val="24"/>
                <w:color w:val="auto"/>
              </w:rPr>
            </w:pPr>
          </w:p>
        </w:tc>
        <w:tc>
          <w:tcPr>
            <w:tcW w:w="180" w:type="dxa"/>
            <w:vAlign w:val="bottom"/>
            <w:shd w:val="clear" w:color="auto" w:fill="EBE1D2"/>
          </w:tcPr>
          <w:p>
            <w:pPr>
              <w:spacing w:after="0"/>
              <w:rPr>
                <w:sz w:val="24"/>
                <w:szCs w:val="24"/>
                <w:color w:val="auto"/>
              </w:rPr>
            </w:pPr>
          </w:p>
        </w:tc>
        <w:tc>
          <w:tcPr>
            <w:tcW w:w="740" w:type="dxa"/>
            <w:vAlign w:val="bottom"/>
          </w:tcPr>
          <w:p>
            <w:pPr>
              <w:spacing w:after="0"/>
              <w:rPr>
                <w:sz w:val="24"/>
                <w:szCs w:val="24"/>
                <w:color w:val="auto"/>
              </w:rPr>
            </w:pPr>
          </w:p>
        </w:tc>
      </w:tr>
      <w:tr>
        <w:trPr>
          <w:trHeight w:val="189"/>
        </w:trPr>
        <w:tc>
          <w:tcPr>
            <w:tcW w:w="920" w:type="dxa"/>
            <w:vAlign w:val="bottom"/>
          </w:tcPr>
          <w:p>
            <w:pPr>
              <w:spacing w:after="0"/>
              <w:rPr>
                <w:sz w:val="16"/>
                <w:szCs w:val="16"/>
                <w:color w:val="auto"/>
              </w:rPr>
            </w:pPr>
          </w:p>
        </w:tc>
        <w:tc>
          <w:tcPr>
            <w:tcW w:w="80" w:type="dxa"/>
            <w:vAlign w:val="bottom"/>
            <w:shd w:val="clear" w:color="auto" w:fill="EBE1D2"/>
          </w:tcPr>
          <w:p>
            <w:pPr>
              <w:spacing w:after="0"/>
              <w:rPr>
                <w:sz w:val="16"/>
                <w:szCs w:val="16"/>
                <w:color w:val="auto"/>
              </w:rPr>
            </w:pPr>
          </w:p>
        </w:tc>
        <w:tc>
          <w:tcPr>
            <w:tcW w:w="780" w:type="dxa"/>
            <w:vAlign w:val="bottom"/>
            <w:shd w:val="clear" w:color="auto" w:fill="EBE1D2"/>
          </w:tcPr>
          <w:p>
            <w:pPr>
              <w:spacing w:after="0"/>
              <w:rPr>
                <w:sz w:val="16"/>
                <w:szCs w:val="16"/>
                <w:color w:val="auto"/>
              </w:rPr>
            </w:pPr>
          </w:p>
        </w:tc>
        <w:tc>
          <w:tcPr>
            <w:tcW w:w="260" w:type="dxa"/>
            <w:vAlign w:val="bottom"/>
          </w:tcPr>
          <w:p>
            <w:pPr>
              <w:spacing w:after="0"/>
              <w:rPr>
                <w:sz w:val="16"/>
                <w:szCs w:val="16"/>
                <w:color w:val="auto"/>
              </w:rPr>
            </w:pPr>
          </w:p>
        </w:tc>
        <w:tc>
          <w:tcPr>
            <w:tcW w:w="4020" w:type="dxa"/>
            <w:vAlign w:val="bottom"/>
          </w:tcPr>
          <w:p>
            <w:pPr>
              <w:ind w:left="60"/>
              <w:spacing w:after="0"/>
              <w:rPr>
                <w:sz w:val="20"/>
                <w:szCs w:val="20"/>
                <w:color w:val="auto"/>
              </w:rPr>
            </w:pPr>
            <w:r>
              <w:rPr>
                <w:rFonts w:ascii="Arial" w:cs="Arial" w:eastAsia="Arial" w:hAnsi="Arial"/>
                <w:sz w:val="16"/>
                <w:szCs w:val="16"/>
                <w:color w:val="auto"/>
              </w:rPr>
              <w:t>elected by a plurality vote of the shares of Class A</w:t>
            </w:r>
          </w:p>
        </w:tc>
        <w:tc>
          <w:tcPr>
            <w:tcW w:w="1420" w:type="dxa"/>
            <w:vAlign w:val="bottom"/>
            <w:shd w:val="clear" w:color="auto" w:fill="EBE1D2"/>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shd w:val="clear" w:color="auto" w:fill="EBE1D2"/>
          </w:tcPr>
          <w:p>
            <w:pPr>
              <w:spacing w:after="0"/>
              <w:rPr>
                <w:sz w:val="16"/>
                <w:szCs w:val="16"/>
                <w:color w:val="auto"/>
              </w:rPr>
            </w:pPr>
          </w:p>
        </w:tc>
        <w:tc>
          <w:tcPr>
            <w:tcW w:w="180" w:type="dxa"/>
            <w:vAlign w:val="bottom"/>
            <w:shd w:val="clear" w:color="auto" w:fill="EBE1D2"/>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80" w:type="dxa"/>
            <w:vAlign w:val="bottom"/>
            <w:shd w:val="clear" w:color="auto" w:fill="EBE1D2"/>
          </w:tcPr>
          <w:p>
            <w:pPr>
              <w:spacing w:after="0"/>
              <w:rPr>
                <w:sz w:val="16"/>
                <w:szCs w:val="16"/>
                <w:color w:val="auto"/>
              </w:rPr>
            </w:pPr>
          </w:p>
        </w:tc>
        <w:tc>
          <w:tcPr>
            <w:tcW w:w="780" w:type="dxa"/>
            <w:vAlign w:val="bottom"/>
            <w:shd w:val="clear" w:color="auto" w:fill="EBE1D2"/>
          </w:tcPr>
          <w:p>
            <w:pPr>
              <w:spacing w:after="0"/>
              <w:rPr>
                <w:sz w:val="16"/>
                <w:szCs w:val="16"/>
                <w:color w:val="auto"/>
              </w:rPr>
            </w:pPr>
          </w:p>
        </w:tc>
        <w:tc>
          <w:tcPr>
            <w:tcW w:w="260" w:type="dxa"/>
            <w:vAlign w:val="bottom"/>
          </w:tcPr>
          <w:p>
            <w:pPr>
              <w:spacing w:after="0"/>
              <w:rPr>
                <w:sz w:val="16"/>
                <w:szCs w:val="16"/>
                <w:color w:val="auto"/>
              </w:rPr>
            </w:pPr>
          </w:p>
        </w:tc>
        <w:tc>
          <w:tcPr>
            <w:tcW w:w="4020" w:type="dxa"/>
            <w:vAlign w:val="bottom"/>
          </w:tcPr>
          <w:p>
            <w:pPr>
              <w:ind w:left="60"/>
              <w:spacing w:after="0"/>
              <w:rPr>
                <w:sz w:val="20"/>
                <w:szCs w:val="20"/>
                <w:color w:val="auto"/>
              </w:rPr>
            </w:pPr>
            <w:r>
              <w:rPr>
                <w:rFonts w:ascii="Arial" w:cs="Arial" w:eastAsia="Arial" w:hAnsi="Arial"/>
                <w:sz w:val="16"/>
                <w:szCs w:val="16"/>
                <w:color w:val="auto"/>
              </w:rPr>
              <w:t>Common Stock present in person or by proxy at the</w:t>
            </w:r>
          </w:p>
        </w:tc>
        <w:tc>
          <w:tcPr>
            <w:tcW w:w="1420" w:type="dxa"/>
            <w:vAlign w:val="bottom"/>
            <w:shd w:val="clear" w:color="auto" w:fill="EBE1D2"/>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shd w:val="clear" w:color="auto" w:fill="EBE1D2"/>
          </w:tcPr>
          <w:p>
            <w:pPr>
              <w:spacing w:after="0"/>
              <w:rPr>
                <w:sz w:val="16"/>
                <w:szCs w:val="16"/>
                <w:color w:val="auto"/>
              </w:rPr>
            </w:pPr>
          </w:p>
        </w:tc>
        <w:tc>
          <w:tcPr>
            <w:tcW w:w="180" w:type="dxa"/>
            <w:vAlign w:val="bottom"/>
            <w:shd w:val="clear" w:color="auto" w:fill="EBE1D2"/>
          </w:tcPr>
          <w:p>
            <w:pPr>
              <w:spacing w:after="0"/>
              <w:rPr>
                <w:sz w:val="16"/>
                <w:szCs w:val="16"/>
                <w:color w:val="auto"/>
              </w:rPr>
            </w:pPr>
          </w:p>
        </w:tc>
        <w:tc>
          <w:tcPr>
            <w:tcW w:w="740" w:type="dxa"/>
            <w:vAlign w:val="bottom"/>
          </w:tcPr>
          <w:p>
            <w:pPr>
              <w:spacing w:after="0"/>
              <w:rPr>
                <w:sz w:val="16"/>
                <w:szCs w:val="16"/>
                <w:color w:val="auto"/>
              </w:rPr>
            </w:pPr>
          </w:p>
        </w:tc>
      </w:tr>
      <w:tr>
        <w:trPr>
          <w:trHeight w:val="215"/>
        </w:trPr>
        <w:tc>
          <w:tcPr>
            <w:tcW w:w="920" w:type="dxa"/>
            <w:vAlign w:val="bottom"/>
          </w:tcPr>
          <w:p>
            <w:pPr>
              <w:spacing w:after="0"/>
              <w:rPr>
                <w:sz w:val="18"/>
                <w:szCs w:val="18"/>
                <w:color w:val="auto"/>
              </w:rPr>
            </w:pPr>
          </w:p>
        </w:tc>
        <w:tc>
          <w:tcPr>
            <w:tcW w:w="80" w:type="dxa"/>
            <w:vAlign w:val="bottom"/>
            <w:shd w:val="clear" w:color="auto" w:fill="EBE1D2"/>
          </w:tcPr>
          <w:p>
            <w:pPr>
              <w:spacing w:after="0"/>
              <w:rPr>
                <w:sz w:val="18"/>
                <w:szCs w:val="18"/>
                <w:color w:val="auto"/>
              </w:rPr>
            </w:pPr>
          </w:p>
        </w:tc>
        <w:tc>
          <w:tcPr>
            <w:tcW w:w="780" w:type="dxa"/>
            <w:vAlign w:val="bottom"/>
            <w:shd w:val="clear" w:color="auto" w:fill="EBE1D2"/>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tcPr>
          <w:p>
            <w:pPr>
              <w:ind w:left="60"/>
              <w:spacing w:after="0"/>
              <w:rPr>
                <w:sz w:val="20"/>
                <w:szCs w:val="20"/>
                <w:color w:val="auto"/>
              </w:rPr>
            </w:pPr>
            <w:r>
              <w:rPr>
                <w:rFonts w:ascii="Arial" w:cs="Arial" w:eastAsia="Arial" w:hAnsi="Arial"/>
                <w:sz w:val="16"/>
                <w:szCs w:val="16"/>
                <w:color w:val="auto"/>
              </w:rPr>
              <w:t>2026 Annual Meeting and eligible to vote.</w:t>
            </w:r>
          </w:p>
        </w:tc>
        <w:tc>
          <w:tcPr>
            <w:tcW w:w="1420" w:type="dxa"/>
            <w:vAlign w:val="bottom"/>
            <w:shd w:val="clear" w:color="auto" w:fill="EBE1D2"/>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shd w:val="clear" w:color="auto" w:fill="EBE1D2"/>
          </w:tcPr>
          <w:p>
            <w:pPr>
              <w:spacing w:after="0"/>
              <w:rPr>
                <w:sz w:val="18"/>
                <w:szCs w:val="18"/>
                <w:color w:val="auto"/>
              </w:rPr>
            </w:pPr>
          </w:p>
        </w:tc>
        <w:tc>
          <w:tcPr>
            <w:tcW w:w="180" w:type="dxa"/>
            <w:vAlign w:val="bottom"/>
            <w:shd w:val="clear" w:color="auto" w:fill="EBE1D2"/>
          </w:tcPr>
          <w:p>
            <w:pPr>
              <w:spacing w:after="0"/>
              <w:rPr>
                <w:sz w:val="18"/>
                <w:szCs w:val="18"/>
                <w:color w:val="auto"/>
              </w:rPr>
            </w:pPr>
          </w:p>
        </w:tc>
        <w:tc>
          <w:tcPr>
            <w:tcW w:w="740" w:type="dxa"/>
            <w:vAlign w:val="bottom"/>
          </w:tcPr>
          <w:p>
            <w:pPr>
              <w:spacing w:after="0"/>
              <w:rPr>
                <w:sz w:val="18"/>
                <w:szCs w:val="18"/>
                <w:color w:val="auto"/>
              </w:rPr>
            </w:pPr>
          </w:p>
        </w:tc>
      </w:tr>
      <w:tr>
        <w:trPr>
          <w:trHeight w:val="204"/>
        </w:trPr>
        <w:tc>
          <w:tcPr>
            <w:tcW w:w="920" w:type="dxa"/>
            <w:vAlign w:val="bottom"/>
          </w:tcPr>
          <w:p>
            <w:pPr>
              <w:spacing w:after="0"/>
              <w:rPr>
                <w:sz w:val="17"/>
                <w:szCs w:val="17"/>
                <w:color w:val="auto"/>
              </w:rPr>
            </w:pPr>
          </w:p>
        </w:tc>
        <w:tc>
          <w:tcPr>
            <w:tcW w:w="80" w:type="dxa"/>
            <w:vAlign w:val="bottom"/>
            <w:shd w:val="clear" w:color="auto" w:fill="EBE1D2"/>
          </w:tcPr>
          <w:p>
            <w:pPr>
              <w:spacing w:after="0"/>
              <w:rPr>
                <w:sz w:val="17"/>
                <w:szCs w:val="17"/>
                <w:color w:val="auto"/>
              </w:rPr>
            </w:pPr>
          </w:p>
        </w:tc>
        <w:tc>
          <w:tcPr>
            <w:tcW w:w="780" w:type="dxa"/>
            <w:vAlign w:val="bottom"/>
            <w:shd w:val="clear" w:color="auto" w:fill="EBE1D2"/>
          </w:tcPr>
          <w:p>
            <w:pPr>
              <w:spacing w:after="0"/>
              <w:rPr>
                <w:sz w:val="17"/>
                <w:szCs w:val="17"/>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4020" w:type="dxa"/>
            <w:vAlign w:val="bottom"/>
          </w:tcPr>
          <w:p>
            <w:pPr>
              <w:ind w:left="60"/>
              <w:spacing w:after="0"/>
              <w:rPr>
                <w:sz w:val="20"/>
                <w:szCs w:val="20"/>
                <w:color w:val="auto"/>
              </w:rPr>
            </w:pPr>
            <w:r>
              <w:rPr>
                <w:rFonts w:ascii="Arial" w:cs="Arial" w:eastAsia="Arial" w:hAnsi="Arial"/>
                <w:sz w:val="16"/>
                <w:szCs w:val="16"/>
                <w:color w:val="auto"/>
              </w:rPr>
              <w:t>Nine directors (the “Class B Directors”) will be elected</w:t>
            </w:r>
          </w:p>
        </w:tc>
        <w:tc>
          <w:tcPr>
            <w:tcW w:w="1420" w:type="dxa"/>
            <w:vAlign w:val="bottom"/>
            <w:shd w:val="clear" w:color="auto" w:fill="EBE1D2"/>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shd w:val="clear" w:color="auto" w:fill="EBE1D2"/>
          </w:tcPr>
          <w:p>
            <w:pPr>
              <w:spacing w:after="0"/>
              <w:rPr>
                <w:sz w:val="17"/>
                <w:szCs w:val="17"/>
                <w:color w:val="auto"/>
              </w:rPr>
            </w:pPr>
          </w:p>
        </w:tc>
        <w:tc>
          <w:tcPr>
            <w:tcW w:w="180" w:type="dxa"/>
            <w:vAlign w:val="bottom"/>
            <w:shd w:val="clear" w:color="auto" w:fill="EBE1D2"/>
          </w:tcPr>
          <w:p>
            <w:pPr>
              <w:spacing w:after="0"/>
              <w:rPr>
                <w:sz w:val="17"/>
                <w:szCs w:val="17"/>
                <w:color w:val="auto"/>
              </w:rPr>
            </w:pPr>
          </w:p>
        </w:tc>
        <w:tc>
          <w:tcPr>
            <w:tcW w:w="740" w:type="dxa"/>
            <w:vAlign w:val="bottom"/>
          </w:tcPr>
          <w:p>
            <w:pPr>
              <w:spacing w:after="0"/>
              <w:rPr>
                <w:sz w:val="17"/>
                <w:szCs w:val="17"/>
                <w:color w:val="auto"/>
              </w:rPr>
            </w:pPr>
          </w:p>
        </w:tc>
      </w:tr>
      <w:tr>
        <w:trPr>
          <w:trHeight w:val="189"/>
        </w:trPr>
        <w:tc>
          <w:tcPr>
            <w:tcW w:w="920" w:type="dxa"/>
            <w:vAlign w:val="bottom"/>
          </w:tcPr>
          <w:p>
            <w:pPr>
              <w:spacing w:after="0"/>
              <w:rPr>
                <w:sz w:val="16"/>
                <w:szCs w:val="16"/>
                <w:color w:val="auto"/>
              </w:rPr>
            </w:pPr>
          </w:p>
        </w:tc>
        <w:tc>
          <w:tcPr>
            <w:tcW w:w="80" w:type="dxa"/>
            <w:vAlign w:val="bottom"/>
            <w:shd w:val="clear" w:color="auto" w:fill="EBE1D2"/>
          </w:tcPr>
          <w:p>
            <w:pPr>
              <w:spacing w:after="0"/>
              <w:rPr>
                <w:sz w:val="16"/>
                <w:szCs w:val="16"/>
                <w:color w:val="auto"/>
              </w:rPr>
            </w:pPr>
          </w:p>
        </w:tc>
        <w:tc>
          <w:tcPr>
            <w:tcW w:w="780" w:type="dxa"/>
            <w:vAlign w:val="bottom"/>
            <w:shd w:val="clear" w:color="auto" w:fill="EBE1D2"/>
          </w:tcPr>
          <w:p>
            <w:pPr>
              <w:spacing w:after="0"/>
              <w:rPr>
                <w:sz w:val="16"/>
                <w:szCs w:val="16"/>
                <w:color w:val="auto"/>
              </w:rPr>
            </w:pPr>
          </w:p>
        </w:tc>
        <w:tc>
          <w:tcPr>
            <w:tcW w:w="260" w:type="dxa"/>
            <w:vAlign w:val="bottom"/>
          </w:tcPr>
          <w:p>
            <w:pPr>
              <w:spacing w:after="0"/>
              <w:rPr>
                <w:sz w:val="16"/>
                <w:szCs w:val="16"/>
                <w:color w:val="auto"/>
              </w:rPr>
            </w:pPr>
          </w:p>
        </w:tc>
        <w:tc>
          <w:tcPr>
            <w:tcW w:w="4020" w:type="dxa"/>
            <w:vAlign w:val="bottom"/>
          </w:tcPr>
          <w:p>
            <w:pPr>
              <w:ind w:left="60"/>
              <w:spacing w:after="0"/>
              <w:rPr>
                <w:sz w:val="20"/>
                <w:szCs w:val="20"/>
                <w:color w:val="auto"/>
              </w:rPr>
            </w:pPr>
            <w:r>
              <w:rPr>
                <w:rFonts w:ascii="Arial" w:cs="Arial" w:eastAsia="Arial" w:hAnsi="Arial"/>
                <w:sz w:val="16"/>
                <w:szCs w:val="16"/>
                <w:color w:val="auto"/>
              </w:rPr>
              <w:t>by a plurality vote of the shares of Class B Common</w:t>
            </w:r>
          </w:p>
        </w:tc>
        <w:tc>
          <w:tcPr>
            <w:tcW w:w="1420" w:type="dxa"/>
            <w:vAlign w:val="bottom"/>
            <w:shd w:val="clear" w:color="auto" w:fill="EBE1D2"/>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shd w:val="clear" w:color="auto" w:fill="EBE1D2"/>
          </w:tcPr>
          <w:p>
            <w:pPr>
              <w:spacing w:after="0"/>
              <w:rPr>
                <w:sz w:val="16"/>
                <w:szCs w:val="16"/>
                <w:color w:val="auto"/>
              </w:rPr>
            </w:pPr>
          </w:p>
        </w:tc>
        <w:tc>
          <w:tcPr>
            <w:tcW w:w="180" w:type="dxa"/>
            <w:vAlign w:val="bottom"/>
            <w:shd w:val="clear" w:color="auto" w:fill="EBE1D2"/>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80" w:type="dxa"/>
            <w:vAlign w:val="bottom"/>
            <w:shd w:val="clear" w:color="auto" w:fill="EBE1D2"/>
          </w:tcPr>
          <w:p>
            <w:pPr>
              <w:spacing w:after="0"/>
              <w:rPr>
                <w:sz w:val="16"/>
                <w:szCs w:val="16"/>
                <w:color w:val="auto"/>
              </w:rPr>
            </w:pPr>
          </w:p>
        </w:tc>
        <w:tc>
          <w:tcPr>
            <w:tcW w:w="780" w:type="dxa"/>
            <w:vAlign w:val="bottom"/>
            <w:shd w:val="clear" w:color="auto" w:fill="EBE1D2"/>
          </w:tcPr>
          <w:p>
            <w:pPr>
              <w:spacing w:after="0"/>
              <w:rPr>
                <w:sz w:val="16"/>
                <w:szCs w:val="16"/>
                <w:color w:val="auto"/>
              </w:rPr>
            </w:pPr>
          </w:p>
        </w:tc>
        <w:tc>
          <w:tcPr>
            <w:tcW w:w="260" w:type="dxa"/>
            <w:vAlign w:val="bottom"/>
          </w:tcPr>
          <w:p>
            <w:pPr>
              <w:spacing w:after="0"/>
              <w:rPr>
                <w:sz w:val="16"/>
                <w:szCs w:val="16"/>
                <w:color w:val="auto"/>
              </w:rPr>
            </w:pPr>
          </w:p>
        </w:tc>
        <w:tc>
          <w:tcPr>
            <w:tcW w:w="4020" w:type="dxa"/>
            <w:vAlign w:val="bottom"/>
          </w:tcPr>
          <w:p>
            <w:pPr>
              <w:ind w:left="60"/>
              <w:spacing w:after="0"/>
              <w:rPr>
                <w:sz w:val="20"/>
                <w:szCs w:val="20"/>
                <w:color w:val="auto"/>
              </w:rPr>
            </w:pPr>
            <w:r>
              <w:rPr>
                <w:rFonts w:ascii="Arial" w:cs="Arial" w:eastAsia="Arial" w:hAnsi="Arial"/>
                <w:sz w:val="16"/>
                <w:szCs w:val="16"/>
                <w:color w:val="auto"/>
              </w:rPr>
              <w:t>Stock present in person or by proxy at the 2026</w:t>
            </w:r>
          </w:p>
        </w:tc>
        <w:tc>
          <w:tcPr>
            <w:tcW w:w="1420" w:type="dxa"/>
            <w:vAlign w:val="bottom"/>
            <w:shd w:val="clear" w:color="auto" w:fill="EBE1D2"/>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shd w:val="clear" w:color="auto" w:fill="EBE1D2"/>
          </w:tcPr>
          <w:p>
            <w:pPr>
              <w:spacing w:after="0"/>
              <w:rPr>
                <w:sz w:val="16"/>
                <w:szCs w:val="16"/>
                <w:color w:val="auto"/>
              </w:rPr>
            </w:pPr>
          </w:p>
        </w:tc>
        <w:tc>
          <w:tcPr>
            <w:tcW w:w="180" w:type="dxa"/>
            <w:vAlign w:val="bottom"/>
            <w:shd w:val="clear" w:color="auto" w:fill="EBE1D2"/>
          </w:tcPr>
          <w:p>
            <w:pPr>
              <w:spacing w:after="0"/>
              <w:rPr>
                <w:sz w:val="16"/>
                <w:szCs w:val="16"/>
                <w:color w:val="auto"/>
              </w:rPr>
            </w:pPr>
          </w:p>
        </w:tc>
        <w:tc>
          <w:tcPr>
            <w:tcW w:w="740" w:type="dxa"/>
            <w:vAlign w:val="bottom"/>
          </w:tcPr>
          <w:p>
            <w:pPr>
              <w:spacing w:after="0"/>
              <w:rPr>
                <w:sz w:val="16"/>
                <w:szCs w:val="16"/>
                <w:color w:val="auto"/>
              </w:rPr>
            </w:pPr>
          </w:p>
        </w:tc>
      </w:tr>
      <w:tr>
        <w:trPr>
          <w:trHeight w:val="244"/>
        </w:trPr>
        <w:tc>
          <w:tcPr>
            <w:tcW w:w="920" w:type="dxa"/>
            <w:vAlign w:val="bottom"/>
          </w:tcPr>
          <w:p>
            <w:pPr>
              <w:spacing w:after="0"/>
              <w:rPr>
                <w:sz w:val="21"/>
                <w:szCs w:val="21"/>
                <w:color w:val="auto"/>
              </w:rPr>
            </w:pPr>
          </w:p>
        </w:tc>
        <w:tc>
          <w:tcPr>
            <w:tcW w:w="80" w:type="dxa"/>
            <w:vAlign w:val="bottom"/>
            <w:tcBorders>
              <w:bottom w:val="single" w:sz="8" w:color="EBE1D2"/>
            </w:tcBorders>
            <w:shd w:val="clear" w:color="auto" w:fill="EBE1D2"/>
          </w:tcPr>
          <w:p>
            <w:pPr>
              <w:spacing w:after="0"/>
              <w:rPr>
                <w:sz w:val="21"/>
                <w:szCs w:val="21"/>
                <w:color w:val="auto"/>
              </w:rPr>
            </w:pPr>
          </w:p>
        </w:tc>
        <w:tc>
          <w:tcPr>
            <w:tcW w:w="780" w:type="dxa"/>
            <w:vAlign w:val="bottom"/>
            <w:tcBorders>
              <w:bottom w:val="single" w:sz="8" w:color="EBE1D2"/>
            </w:tcBorders>
            <w:shd w:val="clear" w:color="auto" w:fill="EBE1D2"/>
          </w:tcPr>
          <w:p>
            <w:pPr>
              <w:spacing w:after="0"/>
              <w:rPr>
                <w:sz w:val="21"/>
                <w:szCs w:val="21"/>
                <w:color w:val="auto"/>
              </w:rPr>
            </w:pPr>
          </w:p>
        </w:tc>
        <w:tc>
          <w:tcPr>
            <w:tcW w:w="260" w:type="dxa"/>
            <w:vAlign w:val="bottom"/>
          </w:tcPr>
          <w:p>
            <w:pPr>
              <w:spacing w:after="0"/>
              <w:rPr>
                <w:sz w:val="21"/>
                <w:szCs w:val="21"/>
                <w:color w:val="auto"/>
              </w:rPr>
            </w:pPr>
          </w:p>
        </w:tc>
        <w:tc>
          <w:tcPr>
            <w:tcW w:w="4020" w:type="dxa"/>
            <w:vAlign w:val="bottom"/>
          </w:tcPr>
          <w:p>
            <w:pPr>
              <w:ind w:left="60"/>
              <w:spacing w:after="0"/>
              <w:rPr>
                <w:sz w:val="20"/>
                <w:szCs w:val="20"/>
                <w:color w:val="auto"/>
              </w:rPr>
            </w:pPr>
            <w:r>
              <w:rPr>
                <w:rFonts w:ascii="Arial" w:cs="Arial" w:eastAsia="Arial" w:hAnsi="Arial"/>
                <w:sz w:val="16"/>
                <w:szCs w:val="16"/>
                <w:color w:val="auto"/>
              </w:rPr>
              <w:t>Annual Meeting and eligible to vote.</w:t>
            </w:r>
          </w:p>
        </w:tc>
        <w:tc>
          <w:tcPr>
            <w:tcW w:w="1420" w:type="dxa"/>
            <w:vAlign w:val="bottom"/>
            <w:tcBorders>
              <w:bottom w:val="single" w:sz="8" w:color="EBE1D2"/>
            </w:tcBorders>
            <w:shd w:val="clear" w:color="auto" w:fill="EBE1D2"/>
          </w:tcPr>
          <w:p>
            <w:pPr>
              <w:spacing w:after="0"/>
              <w:rPr>
                <w:sz w:val="21"/>
                <w:szCs w:val="21"/>
                <w:color w:val="auto"/>
              </w:rPr>
            </w:pPr>
          </w:p>
        </w:tc>
        <w:tc>
          <w:tcPr>
            <w:tcW w:w="1540" w:type="dxa"/>
            <w:vAlign w:val="bottom"/>
          </w:tcPr>
          <w:p>
            <w:pPr>
              <w:spacing w:after="0"/>
              <w:rPr>
                <w:sz w:val="21"/>
                <w:szCs w:val="21"/>
                <w:color w:val="auto"/>
              </w:rPr>
            </w:pPr>
          </w:p>
        </w:tc>
        <w:tc>
          <w:tcPr>
            <w:tcW w:w="1080" w:type="dxa"/>
            <w:vAlign w:val="bottom"/>
            <w:tcBorders>
              <w:bottom w:val="single" w:sz="8" w:color="EBE1D2"/>
            </w:tcBorders>
            <w:shd w:val="clear" w:color="auto" w:fill="EBE1D2"/>
          </w:tcPr>
          <w:p>
            <w:pPr>
              <w:spacing w:after="0"/>
              <w:rPr>
                <w:sz w:val="21"/>
                <w:szCs w:val="21"/>
                <w:color w:val="auto"/>
              </w:rPr>
            </w:pPr>
          </w:p>
        </w:tc>
        <w:tc>
          <w:tcPr>
            <w:tcW w:w="180" w:type="dxa"/>
            <w:vAlign w:val="bottom"/>
            <w:tcBorders>
              <w:bottom w:val="single" w:sz="8" w:color="EBE1D2"/>
            </w:tcBorders>
            <w:shd w:val="clear" w:color="auto" w:fill="EBE1D2"/>
          </w:tcPr>
          <w:p>
            <w:pPr>
              <w:spacing w:after="0"/>
              <w:rPr>
                <w:sz w:val="21"/>
                <w:szCs w:val="21"/>
                <w:color w:val="auto"/>
              </w:rPr>
            </w:pPr>
          </w:p>
        </w:tc>
        <w:tc>
          <w:tcPr>
            <w:tcW w:w="740" w:type="dxa"/>
            <w:vAlign w:val="bottom"/>
          </w:tcPr>
          <w:p>
            <w:pPr>
              <w:spacing w:after="0"/>
              <w:rPr>
                <w:sz w:val="21"/>
                <w:szCs w:val="21"/>
                <w:color w:val="auto"/>
              </w:rPr>
            </w:pPr>
          </w:p>
        </w:tc>
      </w:tr>
      <w:tr>
        <w:trPr>
          <w:trHeight w:val="195"/>
        </w:trPr>
        <w:tc>
          <w:tcPr>
            <w:tcW w:w="920" w:type="dxa"/>
            <w:vAlign w:val="bottom"/>
          </w:tcPr>
          <w:p>
            <w:pPr>
              <w:spacing w:after="0"/>
              <w:rPr>
                <w:sz w:val="16"/>
                <w:szCs w:val="16"/>
                <w:color w:val="auto"/>
              </w:rPr>
            </w:pPr>
          </w:p>
        </w:tc>
        <w:tc>
          <w:tcPr>
            <w:tcW w:w="80" w:type="dxa"/>
            <w:vAlign w:val="bottom"/>
            <w:tcBorders>
              <w:top w:val="single" w:sz="8" w:color="EBE1D2"/>
            </w:tcBorders>
            <w:shd w:val="clear" w:color="auto" w:fill="EBE1D2"/>
          </w:tcPr>
          <w:p>
            <w:pPr>
              <w:spacing w:after="0"/>
              <w:rPr>
                <w:sz w:val="16"/>
                <w:szCs w:val="16"/>
                <w:color w:val="auto"/>
              </w:rPr>
            </w:pPr>
          </w:p>
        </w:tc>
        <w:tc>
          <w:tcPr>
            <w:tcW w:w="780" w:type="dxa"/>
            <w:vAlign w:val="bottom"/>
            <w:tcBorders>
              <w:top w:val="single" w:sz="8" w:color="BFA071"/>
            </w:tcBorders>
            <w:shd w:val="clear" w:color="auto" w:fill="EBE1D2"/>
          </w:tcPr>
          <w:p>
            <w:pPr>
              <w:jc w:val="center"/>
              <w:ind w:right="3"/>
              <w:spacing w:after="0"/>
              <w:rPr>
                <w:sz w:val="20"/>
                <w:szCs w:val="20"/>
                <w:color w:val="auto"/>
              </w:rPr>
            </w:pPr>
            <w:r>
              <w:rPr>
                <w:rFonts w:ascii="Arial" w:cs="Arial" w:eastAsia="Arial" w:hAnsi="Arial"/>
                <w:sz w:val="16"/>
                <w:szCs w:val="16"/>
                <w:b w:val="1"/>
                <w:bCs w:val="1"/>
                <w:color w:val="001641"/>
              </w:rPr>
              <w:t>2</w:t>
            </w:r>
          </w:p>
        </w:tc>
        <w:tc>
          <w:tcPr>
            <w:tcW w:w="4280" w:type="dxa"/>
            <w:vAlign w:val="bottom"/>
            <w:tcBorders>
              <w:top w:val="single" w:sz="8" w:color="BFA071"/>
            </w:tcBorders>
            <w:gridSpan w:val="2"/>
          </w:tcPr>
          <w:p>
            <w:pPr>
              <w:ind w:left="100"/>
              <w:spacing w:after="0"/>
              <w:rPr>
                <w:sz w:val="20"/>
                <w:szCs w:val="20"/>
                <w:color w:val="auto"/>
              </w:rPr>
            </w:pPr>
            <w:r>
              <w:rPr>
                <w:rFonts w:ascii="Arial" w:cs="Arial" w:eastAsia="Arial" w:hAnsi="Arial"/>
                <w:sz w:val="16"/>
                <w:szCs w:val="16"/>
                <w:color w:val="001641"/>
              </w:rPr>
              <w:t>Ratification of the appointment of Ernst &amp; Young as our</w:t>
            </w:r>
          </w:p>
        </w:tc>
        <w:tc>
          <w:tcPr>
            <w:tcW w:w="1420" w:type="dxa"/>
            <w:vAlign w:val="bottom"/>
            <w:tcBorders>
              <w:top w:val="single" w:sz="8" w:color="BFA071"/>
            </w:tcBorders>
            <w:shd w:val="clear" w:color="auto" w:fill="EBE1D2"/>
          </w:tcPr>
          <w:p>
            <w:pPr>
              <w:ind w:left="100"/>
              <w:spacing w:after="0"/>
              <w:rPr>
                <w:sz w:val="20"/>
                <w:szCs w:val="20"/>
                <w:color w:val="auto"/>
              </w:rPr>
            </w:pPr>
            <w:r>
              <w:rPr>
                <w:rFonts w:ascii="Arial" w:cs="Arial" w:eastAsia="Arial" w:hAnsi="Arial"/>
                <w:sz w:val="16"/>
                <w:szCs w:val="16"/>
                <w:b w:val="1"/>
                <w:bCs w:val="1"/>
                <w:color w:val="001641"/>
              </w:rPr>
              <w:t>FOR</w:t>
            </w:r>
          </w:p>
        </w:tc>
        <w:tc>
          <w:tcPr>
            <w:tcW w:w="1540" w:type="dxa"/>
            <w:vAlign w:val="bottom"/>
            <w:tcBorders>
              <w:top w:val="single" w:sz="8" w:color="BFA071"/>
            </w:tcBorders>
          </w:tcPr>
          <w:p>
            <w:pPr>
              <w:ind w:left="120"/>
              <w:spacing w:after="0"/>
              <w:rPr>
                <w:sz w:val="20"/>
                <w:szCs w:val="20"/>
                <w:color w:val="auto"/>
              </w:rPr>
            </w:pPr>
            <w:r>
              <w:rPr>
                <w:rFonts w:ascii="Arial" w:cs="Arial" w:eastAsia="Arial" w:hAnsi="Arial"/>
                <w:sz w:val="16"/>
                <w:szCs w:val="16"/>
                <w:color w:val="001641"/>
              </w:rPr>
              <w:t>Majority of votes</w:t>
            </w:r>
          </w:p>
        </w:tc>
        <w:tc>
          <w:tcPr>
            <w:tcW w:w="1260" w:type="dxa"/>
            <w:vAlign w:val="bottom"/>
            <w:tcBorders>
              <w:top w:val="single" w:sz="8" w:color="BFA071"/>
            </w:tcBorders>
            <w:gridSpan w:val="2"/>
            <w:shd w:val="clear" w:color="auto" w:fill="EBE1D2"/>
          </w:tcPr>
          <w:p>
            <w:pPr>
              <w:ind w:left="120"/>
              <w:spacing w:after="0"/>
              <w:rPr>
                <w:sz w:val="20"/>
                <w:szCs w:val="20"/>
                <w:color w:val="auto"/>
              </w:rPr>
            </w:pPr>
            <w:r>
              <w:rPr>
                <w:rFonts w:ascii="Arial" w:cs="Arial" w:eastAsia="Arial" w:hAnsi="Arial"/>
                <w:sz w:val="16"/>
                <w:szCs w:val="16"/>
                <w:color w:val="001641"/>
              </w:rPr>
              <w:t>Yes</w:t>
            </w:r>
          </w:p>
        </w:tc>
        <w:tc>
          <w:tcPr>
            <w:tcW w:w="74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80" w:type="dxa"/>
            <w:vAlign w:val="bottom"/>
            <w:shd w:val="clear" w:color="auto" w:fill="EBE1D2"/>
          </w:tcPr>
          <w:p>
            <w:pPr>
              <w:spacing w:after="0"/>
              <w:rPr>
                <w:sz w:val="16"/>
                <w:szCs w:val="16"/>
                <w:color w:val="auto"/>
              </w:rPr>
            </w:pPr>
          </w:p>
        </w:tc>
        <w:tc>
          <w:tcPr>
            <w:tcW w:w="780" w:type="dxa"/>
            <w:vAlign w:val="bottom"/>
            <w:shd w:val="clear" w:color="auto" w:fill="EBE1D2"/>
          </w:tcPr>
          <w:p>
            <w:pPr>
              <w:spacing w:after="0"/>
              <w:rPr>
                <w:sz w:val="16"/>
                <w:szCs w:val="16"/>
                <w:color w:val="auto"/>
              </w:rPr>
            </w:pPr>
          </w:p>
        </w:tc>
        <w:tc>
          <w:tcPr>
            <w:tcW w:w="4280" w:type="dxa"/>
            <w:vAlign w:val="bottom"/>
            <w:gridSpan w:val="2"/>
          </w:tcPr>
          <w:p>
            <w:pPr>
              <w:ind w:left="100"/>
              <w:spacing w:after="0"/>
              <w:rPr>
                <w:sz w:val="20"/>
                <w:szCs w:val="20"/>
                <w:color w:val="auto"/>
              </w:rPr>
            </w:pPr>
            <w:r>
              <w:rPr>
                <w:rFonts w:ascii="Arial" w:cs="Arial" w:eastAsia="Arial" w:hAnsi="Arial"/>
                <w:sz w:val="16"/>
                <w:szCs w:val="16"/>
                <w:color w:val="001641"/>
              </w:rPr>
              <w:t>independent registered public accounting firm for Fiscal</w:t>
            </w:r>
          </w:p>
        </w:tc>
        <w:tc>
          <w:tcPr>
            <w:tcW w:w="1420" w:type="dxa"/>
            <w:vAlign w:val="bottom"/>
            <w:shd w:val="clear" w:color="auto" w:fill="EBE1D2"/>
          </w:tcPr>
          <w:p>
            <w:pPr>
              <w:spacing w:after="0"/>
              <w:rPr>
                <w:sz w:val="16"/>
                <w:szCs w:val="16"/>
                <w:color w:val="auto"/>
              </w:rPr>
            </w:pPr>
          </w:p>
        </w:tc>
        <w:tc>
          <w:tcPr>
            <w:tcW w:w="1540" w:type="dxa"/>
            <w:vAlign w:val="bottom"/>
          </w:tcPr>
          <w:p>
            <w:pPr>
              <w:ind w:left="120"/>
              <w:spacing w:after="0"/>
              <w:rPr>
                <w:sz w:val="20"/>
                <w:szCs w:val="20"/>
                <w:color w:val="auto"/>
              </w:rPr>
            </w:pPr>
            <w:r>
              <w:rPr>
                <w:rFonts w:ascii="Arial" w:cs="Arial" w:eastAsia="Arial" w:hAnsi="Arial"/>
                <w:sz w:val="16"/>
                <w:szCs w:val="16"/>
                <w:color w:val="001641"/>
              </w:rPr>
              <w:t>cast</w:t>
            </w:r>
          </w:p>
        </w:tc>
        <w:tc>
          <w:tcPr>
            <w:tcW w:w="1080" w:type="dxa"/>
            <w:vAlign w:val="bottom"/>
            <w:shd w:val="clear" w:color="auto" w:fill="EBE1D2"/>
          </w:tcPr>
          <w:p>
            <w:pPr>
              <w:spacing w:after="0"/>
              <w:rPr>
                <w:sz w:val="16"/>
                <w:szCs w:val="16"/>
                <w:color w:val="auto"/>
              </w:rPr>
            </w:pPr>
          </w:p>
        </w:tc>
        <w:tc>
          <w:tcPr>
            <w:tcW w:w="180" w:type="dxa"/>
            <w:vAlign w:val="bottom"/>
            <w:shd w:val="clear" w:color="auto" w:fill="EBE1D2"/>
          </w:tcPr>
          <w:p>
            <w:pPr>
              <w:spacing w:after="0"/>
              <w:rPr>
                <w:sz w:val="16"/>
                <w:szCs w:val="16"/>
                <w:color w:val="auto"/>
              </w:rPr>
            </w:pPr>
          </w:p>
        </w:tc>
        <w:tc>
          <w:tcPr>
            <w:tcW w:w="740" w:type="dxa"/>
            <w:vAlign w:val="bottom"/>
          </w:tcPr>
          <w:p>
            <w:pPr>
              <w:spacing w:after="0"/>
              <w:rPr>
                <w:sz w:val="16"/>
                <w:szCs w:val="16"/>
                <w:color w:val="auto"/>
              </w:rPr>
            </w:pPr>
          </w:p>
        </w:tc>
      </w:tr>
      <w:tr>
        <w:trPr>
          <w:trHeight w:val="244"/>
        </w:trPr>
        <w:tc>
          <w:tcPr>
            <w:tcW w:w="920" w:type="dxa"/>
            <w:vAlign w:val="bottom"/>
          </w:tcPr>
          <w:p>
            <w:pPr>
              <w:spacing w:after="0"/>
              <w:rPr>
                <w:sz w:val="21"/>
                <w:szCs w:val="21"/>
                <w:color w:val="auto"/>
              </w:rPr>
            </w:pPr>
          </w:p>
        </w:tc>
        <w:tc>
          <w:tcPr>
            <w:tcW w:w="80" w:type="dxa"/>
            <w:vAlign w:val="bottom"/>
            <w:tcBorders>
              <w:bottom w:val="single" w:sz="8" w:color="EBE1D2"/>
            </w:tcBorders>
            <w:shd w:val="clear" w:color="auto" w:fill="EBE1D2"/>
          </w:tcPr>
          <w:p>
            <w:pPr>
              <w:spacing w:after="0"/>
              <w:rPr>
                <w:sz w:val="21"/>
                <w:szCs w:val="21"/>
                <w:color w:val="auto"/>
              </w:rPr>
            </w:pPr>
          </w:p>
        </w:tc>
        <w:tc>
          <w:tcPr>
            <w:tcW w:w="780" w:type="dxa"/>
            <w:vAlign w:val="bottom"/>
            <w:tcBorders>
              <w:bottom w:val="single" w:sz="8" w:color="EBE1D2"/>
            </w:tcBorders>
            <w:shd w:val="clear" w:color="auto" w:fill="EBE1D2"/>
          </w:tcPr>
          <w:p>
            <w:pPr>
              <w:spacing w:after="0"/>
              <w:rPr>
                <w:sz w:val="21"/>
                <w:szCs w:val="21"/>
                <w:color w:val="auto"/>
              </w:rPr>
            </w:pPr>
          </w:p>
        </w:tc>
        <w:tc>
          <w:tcPr>
            <w:tcW w:w="4280" w:type="dxa"/>
            <w:vAlign w:val="bottom"/>
            <w:gridSpan w:val="2"/>
          </w:tcPr>
          <w:p>
            <w:pPr>
              <w:ind w:left="100"/>
              <w:spacing w:after="0"/>
              <w:rPr>
                <w:sz w:val="20"/>
                <w:szCs w:val="20"/>
                <w:color w:val="auto"/>
              </w:rPr>
            </w:pPr>
            <w:r>
              <w:rPr>
                <w:rFonts w:ascii="Arial" w:cs="Arial" w:eastAsia="Arial" w:hAnsi="Arial"/>
                <w:sz w:val="16"/>
                <w:szCs w:val="16"/>
                <w:color w:val="001641"/>
              </w:rPr>
              <w:t>2027.</w:t>
            </w:r>
          </w:p>
        </w:tc>
        <w:tc>
          <w:tcPr>
            <w:tcW w:w="1420" w:type="dxa"/>
            <w:vAlign w:val="bottom"/>
            <w:tcBorders>
              <w:bottom w:val="single" w:sz="8" w:color="EBE1D2"/>
            </w:tcBorders>
            <w:shd w:val="clear" w:color="auto" w:fill="EBE1D2"/>
          </w:tcPr>
          <w:p>
            <w:pPr>
              <w:spacing w:after="0"/>
              <w:rPr>
                <w:sz w:val="21"/>
                <w:szCs w:val="21"/>
                <w:color w:val="auto"/>
              </w:rPr>
            </w:pPr>
          </w:p>
        </w:tc>
        <w:tc>
          <w:tcPr>
            <w:tcW w:w="1540" w:type="dxa"/>
            <w:vAlign w:val="bottom"/>
          </w:tcPr>
          <w:p>
            <w:pPr>
              <w:spacing w:after="0"/>
              <w:rPr>
                <w:sz w:val="21"/>
                <w:szCs w:val="21"/>
                <w:color w:val="auto"/>
              </w:rPr>
            </w:pPr>
          </w:p>
        </w:tc>
        <w:tc>
          <w:tcPr>
            <w:tcW w:w="1080" w:type="dxa"/>
            <w:vAlign w:val="bottom"/>
            <w:tcBorders>
              <w:bottom w:val="single" w:sz="8" w:color="EBE1D2"/>
            </w:tcBorders>
            <w:shd w:val="clear" w:color="auto" w:fill="EBE1D2"/>
          </w:tcPr>
          <w:p>
            <w:pPr>
              <w:spacing w:after="0"/>
              <w:rPr>
                <w:sz w:val="21"/>
                <w:szCs w:val="21"/>
                <w:color w:val="auto"/>
              </w:rPr>
            </w:pPr>
          </w:p>
        </w:tc>
        <w:tc>
          <w:tcPr>
            <w:tcW w:w="180" w:type="dxa"/>
            <w:vAlign w:val="bottom"/>
            <w:tcBorders>
              <w:bottom w:val="single" w:sz="8" w:color="EBE1D2"/>
            </w:tcBorders>
            <w:shd w:val="clear" w:color="auto" w:fill="EBE1D2"/>
          </w:tcPr>
          <w:p>
            <w:pPr>
              <w:spacing w:after="0"/>
              <w:rPr>
                <w:sz w:val="21"/>
                <w:szCs w:val="21"/>
                <w:color w:val="auto"/>
              </w:rPr>
            </w:pPr>
          </w:p>
        </w:tc>
        <w:tc>
          <w:tcPr>
            <w:tcW w:w="740" w:type="dxa"/>
            <w:vAlign w:val="bottom"/>
          </w:tcPr>
          <w:p>
            <w:pPr>
              <w:spacing w:after="0"/>
              <w:rPr>
                <w:sz w:val="21"/>
                <w:szCs w:val="21"/>
                <w:color w:val="auto"/>
              </w:rPr>
            </w:pPr>
          </w:p>
        </w:tc>
      </w:tr>
      <w:tr>
        <w:trPr>
          <w:trHeight w:val="195"/>
        </w:trPr>
        <w:tc>
          <w:tcPr>
            <w:tcW w:w="920" w:type="dxa"/>
            <w:vAlign w:val="bottom"/>
          </w:tcPr>
          <w:p>
            <w:pPr>
              <w:spacing w:after="0"/>
              <w:rPr>
                <w:sz w:val="16"/>
                <w:szCs w:val="16"/>
                <w:color w:val="auto"/>
              </w:rPr>
            </w:pPr>
          </w:p>
        </w:tc>
        <w:tc>
          <w:tcPr>
            <w:tcW w:w="80" w:type="dxa"/>
            <w:vAlign w:val="bottom"/>
            <w:tcBorders>
              <w:top w:val="single" w:sz="8" w:color="EBE1D2"/>
            </w:tcBorders>
            <w:shd w:val="clear" w:color="auto" w:fill="EBE1D2"/>
          </w:tcPr>
          <w:p>
            <w:pPr>
              <w:spacing w:after="0"/>
              <w:rPr>
                <w:sz w:val="16"/>
                <w:szCs w:val="16"/>
                <w:color w:val="auto"/>
              </w:rPr>
            </w:pPr>
          </w:p>
        </w:tc>
        <w:tc>
          <w:tcPr>
            <w:tcW w:w="780" w:type="dxa"/>
            <w:vAlign w:val="bottom"/>
            <w:tcBorders>
              <w:top w:val="single" w:sz="8" w:color="BFA071"/>
            </w:tcBorders>
            <w:shd w:val="clear" w:color="auto" w:fill="EBE1D2"/>
          </w:tcPr>
          <w:p>
            <w:pPr>
              <w:jc w:val="center"/>
              <w:ind w:right="3"/>
              <w:spacing w:after="0"/>
              <w:rPr>
                <w:sz w:val="20"/>
                <w:szCs w:val="20"/>
                <w:color w:val="auto"/>
              </w:rPr>
            </w:pPr>
            <w:r>
              <w:rPr>
                <w:rFonts w:ascii="Arial" w:cs="Arial" w:eastAsia="Arial" w:hAnsi="Arial"/>
                <w:sz w:val="16"/>
                <w:szCs w:val="16"/>
                <w:b w:val="1"/>
                <w:bCs w:val="1"/>
                <w:color w:val="001641"/>
              </w:rPr>
              <w:t>3</w:t>
            </w:r>
          </w:p>
        </w:tc>
        <w:tc>
          <w:tcPr>
            <w:tcW w:w="4280" w:type="dxa"/>
            <w:vAlign w:val="bottom"/>
            <w:tcBorders>
              <w:top w:val="single" w:sz="8" w:color="BFA071"/>
            </w:tcBorders>
            <w:gridSpan w:val="2"/>
          </w:tcPr>
          <w:p>
            <w:pPr>
              <w:ind w:left="100"/>
              <w:spacing w:after="0"/>
              <w:rPr>
                <w:sz w:val="20"/>
                <w:szCs w:val="20"/>
                <w:color w:val="auto"/>
              </w:rPr>
            </w:pPr>
            <w:r>
              <w:rPr>
                <w:rFonts w:ascii="Arial" w:cs="Arial" w:eastAsia="Arial" w:hAnsi="Arial"/>
                <w:sz w:val="16"/>
                <w:szCs w:val="16"/>
                <w:color w:val="001641"/>
              </w:rPr>
              <w:t>Approval, on an advisory basis, of the compensation of</w:t>
            </w:r>
          </w:p>
        </w:tc>
        <w:tc>
          <w:tcPr>
            <w:tcW w:w="1420" w:type="dxa"/>
            <w:vAlign w:val="bottom"/>
            <w:tcBorders>
              <w:top w:val="single" w:sz="8" w:color="BFA071"/>
            </w:tcBorders>
            <w:shd w:val="clear" w:color="auto" w:fill="EBE1D2"/>
          </w:tcPr>
          <w:p>
            <w:pPr>
              <w:ind w:left="100"/>
              <w:spacing w:after="0"/>
              <w:rPr>
                <w:sz w:val="20"/>
                <w:szCs w:val="20"/>
                <w:color w:val="auto"/>
              </w:rPr>
            </w:pPr>
            <w:r>
              <w:rPr>
                <w:rFonts w:ascii="Arial" w:cs="Arial" w:eastAsia="Arial" w:hAnsi="Arial"/>
                <w:sz w:val="16"/>
                <w:szCs w:val="16"/>
                <w:b w:val="1"/>
                <w:bCs w:val="1"/>
                <w:color w:val="001641"/>
              </w:rPr>
              <w:t>FOR</w:t>
            </w:r>
          </w:p>
        </w:tc>
        <w:tc>
          <w:tcPr>
            <w:tcW w:w="1540" w:type="dxa"/>
            <w:vAlign w:val="bottom"/>
            <w:tcBorders>
              <w:top w:val="single" w:sz="8" w:color="BFA071"/>
            </w:tcBorders>
          </w:tcPr>
          <w:p>
            <w:pPr>
              <w:ind w:left="120"/>
              <w:spacing w:after="0"/>
              <w:rPr>
                <w:sz w:val="20"/>
                <w:szCs w:val="20"/>
                <w:color w:val="auto"/>
              </w:rPr>
            </w:pPr>
            <w:r>
              <w:rPr>
                <w:rFonts w:ascii="Arial" w:cs="Arial" w:eastAsia="Arial" w:hAnsi="Arial"/>
                <w:sz w:val="16"/>
                <w:szCs w:val="16"/>
                <w:color w:val="001641"/>
              </w:rPr>
              <w:t>Majority of votes</w:t>
            </w:r>
          </w:p>
        </w:tc>
        <w:tc>
          <w:tcPr>
            <w:tcW w:w="1260" w:type="dxa"/>
            <w:vAlign w:val="bottom"/>
            <w:tcBorders>
              <w:top w:val="single" w:sz="8" w:color="BFA071"/>
            </w:tcBorders>
            <w:gridSpan w:val="2"/>
            <w:shd w:val="clear" w:color="auto" w:fill="EBE1D2"/>
          </w:tcPr>
          <w:p>
            <w:pPr>
              <w:ind w:left="120"/>
              <w:spacing w:after="0"/>
              <w:rPr>
                <w:sz w:val="20"/>
                <w:szCs w:val="20"/>
                <w:color w:val="auto"/>
              </w:rPr>
            </w:pPr>
            <w:r>
              <w:rPr>
                <w:rFonts w:ascii="Arial" w:cs="Arial" w:eastAsia="Arial" w:hAnsi="Arial"/>
                <w:sz w:val="16"/>
                <w:szCs w:val="16"/>
                <w:color w:val="001641"/>
              </w:rPr>
              <w:t>No</w:t>
            </w:r>
          </w:p>
        </w:tc>
        <w:tc>
          <w:tcPr>
            <w:tcW w:w="74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80" w:type="dxa"/>
            <w:vAlign w:val="bottom"/>
            <w:shd w:val="clear" w:color="auto" w:fill="EBE1D2"/>
          </w:tcPr>
          <w:p>
            <w:pPr>
              <w:spacing w:after="0"/>
              <w:rPr>
                <w:sz w:val="16"/>
                <w:szCs w:val="16"/>
                <w:color w:val="auto"/>
              </w:rPr>
            </w:pPr>
          </w:p>
        </w:tc>
        <w:tc>
          <w:tcPr>
            <w:tcW w:w="780" w:type="dxa"/>
            <w:vAlign w:val="bottom"/>
            <w:shd w:val="clear" w:color="auto" w:fill="EBE1D2"/>
          </w:tcPr>
          <w:p>
            <w:pPr>
              <w:spacing w:after="0"/>
              <w:rPr>
                <w:sz w:val="16"/>
                <w:szCs w:val="16"/>
                <w:color w:val="auto"/>
              </w:rPr>
            </w:pPr>
          </w:p>
        </w:tc>
        <w:tc>
          <w:tcPr>
            <w:tcW w:w="4280" w:type="dxa"/>
            <w:vAlign w:val="bottom"/>
            <w:gridSpan w:val="2"/>
          </w:tcPr>
          <w:p>
            <w:pPr>
              <w:ind w:left="100"/>
              <w:spacing w:after="0"/>
              <w:rPr>
                <w:sz w:val="20"/>
                <w:szCs w:val="20"/>
                <w:color w:val="auto"/>
              </w:rPr>
            </w:pPr>
            <w:r>
              <w:rPr>
                <w:rFonts w:ascii="Arial" w:cs="Arial" w:eastAsia="Arial" w:hAnsi="Arial"/>
                <w:sz w:val="16"/>
                <w:szCs w:val="16"/>
                <w:color w:val="001641"/>
              </w:rPr>
              <w:t>our named executive officers and our compensation</w:t>
            </w:r>
          </w:p>
        </w:tc>
        <w:tc>
          <w:tcPr>
            <w:tcW w:w="1420" w:type="dxa"/>
            <w:vAlign w:val="bottom"/>
            <w:shd w:val="clear" w:color="auto" w:fill="EBE1D2"/>
          </w:tcPr>
          <w:p>
            <w:pPr>
              <w:spacing w:after="0"/>
              <w:rPr>
                <w:sz w:val="16"/>
                <w:szCs w:val="16"/>
                <w:color w:val="auto"/>
              </w:rPr>
            </w:pPr>
          </w:p>
        </w:tc>
        <w:tc>
          <w:tcPr>
            <w:tcW w:w="1540" w:type="dxa"/>
            <w:vAlign w:val="bottom"/>
          </w:tcPr>
          <w:p>
            <w:pPr>
              <w:ind w:left="120"/>
              <w:spacing w:after="0"/>
              <w:rPr>
                <w:sz w:val="20"/>
                <w:szCs w:val="20"/>
                <w:color w:val="auto"/>
              </w:rPr>
            </w:pPr>
            <w:r>
              <w:rPr>
                <w:rFonts w:ascii="Arial" w:cs="Arial" w:eastAsia="Arial" w:hAnsi="Arial"/>
                <w:sz w:val="16"/>
                <w:szCs w:val="16"/>
                <w:color w:val="001641"/>
              </w:rPr>
              <w:t>cast</w:t>
            </w:r>
          </w:p>
        </w:tc>
        <w:tc>
          <w:tcPr>
            <w:tcW w:w="1080" w:type="dxa"/>
            <w:vAlign w:val="bottom"/>
            <w:shd w:val="clear" w:color="auto" w:fill="EBE1D2"/>
          </w:tcPr>
          <w:p>
            <w:pPr>
              <w:spacing w:after="0"/>
              <w:rPr>
                <w:sz w:val="16"/>
                <w:szCs w:val="16"/>
                <w:color w:val="auto"/>
              </w:rPr>
            </w:pPr>
          </w:p>
        </w:tc>
        <w:tc>
          <w:tcPr>
            <w:tcW w:w="180" w:type="dxa"/>
            <w:vAlign w:val="bottom"/>
            <w:shd w:val="clear" w:color="auto" w:fill="EBE1D2"/>
          </w:tcPr>
          <w:p>
            <w:pPr>
              <w:spacing w:after="0"/>
              <w:rPr>
                <w:sz w:val="16"/>
                <w:szCs w:val="16"/>
                <w:color w:val="auto"/>
              </w:rPr>
            </w:pPr>
          </w:p>
        </w:tc>
        <w:tc>
          <w:tcPr>
            <w:tcW w:w="740" w:type="dxa"/>
            <w:vAlign w:val="bottom"/>
          </w:tcPr>
          <w:p>
            <w:pPr>
              <w:spacing w:after="0"/>
              <w:rPr>
                <w:sz w:val="16"/>
                <w:szCs w:val="16"/>
                <w:color w:val="auto"/>
              </w:rPr>
            </w:pPr>
          </w:p>
        </w:tc>
      </w:tr>
      <w:tr>
        <w:trPr>
          <w:trHeight w:val="210"/>
        </w:trPr>
        <w:tc>
          <w:tcPr>
            <w:tcW w:w="920" w:type="dxa"/>
            <w:vAlign w:val="bottom"/>
          </w:tcPr>
          <w:p>
            <w:pPr>
              <w:spacing w:after="0"/>
              <w:rPr>
                <w:sz w:val="18"/>
                <w:szCs w:val="18"/>
                <w:color w:val="auto"/>
              </w:rPr>
            </w:pPr>
          </w:p>
        </w:tc>
        <w:tc>
          <w:tcPr>
            <w:tcW w:w="80" w:type="dxa"/>
            <w:vAlign w:val="bottom"/>
            <w:tcBorders>
              <w:bottom w:val="single" w:sz="8" w:color="001641"/>
            </w:tcBorders>
            <w:shd w:val="clear" w:color="auto" w:fill="EBE1D2"/>
          </w:tcPr>
          <w:p>
            <w:pPr>
              <w:spacing w:after="0"/>
              <w:rPr>
                <w:sz w:val="18"/>
                <w:szCs w:val="18"/>
                <w:color w:val="auto"/>
              </w:rPr>
            </w:pPr>
          </w:p>
        </w:tc>
        <w:tc>
          <w:tcPr>
            <w:tcW w:w="780" w:type="dxa"/>
            <w:vAlign w:val="bottom"/>
            <w:tcBorders>
              <w:bottom w:val="single" w:sz="8" w:color="001641"/>
            </w:tcBorders>
            <w:shd w:val="clear" w:color="auto" w:fill="EBE1D2"/>
          </w:tcPr>
          <w:p>
            <w:pPr>
              <w:spacing w:after="0"/>
              <w:rPr>
                <w:sz w:val="18"/>
                <w:szCs w:val="18"/>
                <w:color w:val="auto"/>
              </w:rPr>
            </w:pPr>
          </w:p>
        </w:tc>
        <w:tc>
          <w:tcPr>
            <w:tcW w:w="4280" w:type="dxa"/>
            <w:vAlign w:val="bottom"/>
            <w:tcBorders>
              <w:bottom w:val="single" w:sz="8" w:color="001641"/>
            </w:tcBorders>
            <w:gridSpan w:val="2"/>
          </w:tcPr>
          <w:p>
            <w:pPr>
              <w:ind w:left="100"/>
              <w:spacing w:after="0"/>
              <w:rPr>
                <w:sz w:val="20"/>
                <w:szCs w:val="20"/>
                <w:color w:val="auto"/>
              </w:rPr>
            </w:pPr>
            <w:r>
              <w:rPr>
                <w:rFonts w:ascii="Arial" w:cs="Arial" w:eastAsia="Arial" w:hAnsi="Arial"/>
                <w:sz w:val="16"/>
                <w:szCs w:val="16"/>
                <w:color w:val="001641"/>
              </w:rPr>
              <w:t>philosophy, policies and practices.</w:t>
            </w:r>
          </w:p>
        </w:tc>
        <w:tc>
          <w:tcPr>
            <w:tcW w:w="1420" w:type="dxa"/>
            <w:vAlign w:val="bottom"/>
            <w:tcBorders>
              <w:bottom w:val="single" w:sz="8" w:color="001641"/>
            </w:tcBorders>
            <w:shd w:val="clear" w:color="auto" w:fill="EBE1D2"/>
          </w:tcPr>
          <w:p>
            <w:pPr>
              <w:spacing w:after="0"/>
              <w:rPr>
                <w:sz w:val="18"/>
                <w:szCs w:val="18"/>
                <w:color w:val="auto"/>
              </w:rPr>
            </w:pPr>
          </w:p>
        </w:tc>
        <w:tc>
          <w:tcPr>
            <w:tcW w:w="1540" w:type="dxa"/>
            <w:vAlign w:val="bottom"/>
            <w:tcBorders>
              <w:bottom w:val="single" w:sz="8" w:color="001641"/>
            </w:tcBorders>
          </w:tcPr>
          <w:p>
            <w:pPr>
              <w:spacing w:after="0"/>
              <w:rPr>
                <w:sz w:val="18"/>
                <w:szCs w:val="18"/>
                <w:color w:val="auto"/>
              </w:rPr>
            </w:pPr>
          </w:p>
        </w:tc>
        <w:tc>
          <w:tcPr>
            <w:tcW w:w="1080" w:type="dxa"/>
            <w:vAlign w:val="bottom"/>
            <w:tcBorders>
              <w:bottom w:val="single" w:sz="8" w:color="001641"/>
            </w:tcBorders>
            <w:shd w:val="clear" w:color="auto" w:fill="EBE1D2"/>
          </w:tcPr>
          <w:p>
            <w:pPr>
              <w:spacing w:after="0"/>
              <w:rPr>
                <w:sz w:val="18"/>
                <w:szCs w:val="18"/>
                <w:color w:val="auto"/>
              </w:rPr>
            </w:pPr>
          </w:p>
        </w:tc>
        <w:tc>
          <w:tcPr>
            <w:tcW w:w="180" w:type="dxa"/>
            <w:vAlign w:val="bottom"/>
            <w:tcBorders>
              <w:bottom w:val="single" w:sz="8" w:color="001641"/>
            </w:tcBorders>
            <w:shd w:val="clear" w:color="auto" w:fill="EBE1D2"/>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140" w:type="dxa"/>
            <w:vAlign w:val="bottom"/>
            <w:tcBorders>
              <w:bottom w:val="single" w:sz="8" w:color="808080"/>
            </w:tcBorders>
            <w:gridSpan w:val="4"/>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424"/>
        </w:trPr>
        <w:tc>
          <w:tcPr>
            <w:tcW w:w="920" w:type="dxa"/>
            <w:vAlign w:val="bottom"/>
          </w:tcPr>
          <w:p>
            <w:pPr>
              <w:spacing w:after="0"/>
              <w:rPr>
                <w:sz w:val="24"/>
                <w:szCs w:val="24"/>
                <w:color w:val="auto"/>
              </w:rPr>
            </w:pPr>
          </w:p>
        </w:tc>
        <w:tc>
          <w:tcPr>
            <w:tcW w:w="5140" w:type="dxa"/>
            <w:vAlign w:val="bottom"/>
            <w:gridSpan w:val="4"/>
          </w:tcPr>
          <w:p>
            <w:pPr>
              <w:spacing w:after="0"/>
              <w:rPr>
                <w:sz w:val="20"/>
                <w:szCs w:val="20"/>
                <w:color w:val="auto"/>
              </w:rPr>
            </w:pPr>
            <w:r>
              <w:rPr>
                <w:rFonts w:ascii="Arial" w:cs="Arial" w:eastAsia="Arial" w:hAnsi="Arial"/>
                <w:sz w:val="14"/>
                <w:szCs w:val="14"/>
                <w:b w:val="1"/>
                <w:bCs w:val="1"/>
                <w:color w:val="001641"/>
              </w:rPr>
              <w:t xml:space="preserve">120 </w:t>
            </w:r>
            <w:r>
              <w:rPr>
                <w:rFonts w:ascii="Arial" w:cs="Arial" w:eastAsia="Arial" w:hAnsi="Arial"/>
                <w:sz w:val="14"/>
                <w:szCs w:val="14"/>
                <w:color w:val="808080"/>
              </w:rPr>
              <w:t>Ralph Lauren 2026 Proxy Statement</w:t>
            </w: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gridSpan w:val="2"/>
          </w:tcPr>
          <w:p>
            <w:pPr>
              <w:ind w:left="860"/>
              <w:spacing w:after="0"/>
              <w:rPr>
                <w:sz w:val="20"/>
                <w:szCs w:val="20"/>
                <w:color w:val="auto"/>
              </w:rPr>
            </w:pPr>
            <w:r>
              <w:rPr>
                <w:rFonts w:ascii="Arial" w:cs="Arial" w:eastAsia="Arial" w:hAnsi="Arial"/>
                <w:sz w:val="14"/>
                <w:szCs w:val="14"/>
                <w:color w:val="808080"/>
              </w:rPr>
              <w:t xml:space="preserve">    </w:t>
            </w:r>
          </w:p>
        </w:tc>
        <w:tc>
          <w:tcPr>
            <w:tcW w:w="740" w:type="dxa"/>
            <w:vAlign w:val="bottom"/>
          </w:tcPr>
          <w:p>
            <w:pPr>
              <w:spacing w:after="0"/>
              <w:rPr>
                <w:sz w:val="24"/>
                <w:szCs w:val="24"/>
                <w:color w:val="auto"/>
              </w:rPr>
            </w:pPr>
          </w:p>
        </w:tc>
      </w:tr>
      <w:tr>
        <w:trPr>
          <w:trHeight w:val="158"/>
        </w:trPr>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-256540</wp:posOffset>
            </wp:positionV>
            <wp:extent cx="128905" cy="11112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Questions and Answers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1641"/>
        </w:rPr>
        <w:t>How will broker non-votes and abstentions be counted?</w:t>
      </w:r>
    </w:p>
    <w:p>
      <w:pPr>
        <w:spacing w:after="0" w:line="79"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Broker non-votes and abstentions are counted for purposes of determining whether a quorum is present. Only “FOR” and “AGAINST” votes are counted for purposes of determining the votes cast in connection with each proposal. Therefore, broker non-votes and abstentions will not be counted as a vote “FOR” the election of directors in Proposal 1 and will have no effect on determining whether the affirmative vote constitutes a majority of the votes cast with respect to Proposal 3 and, in the case of abstentions, Proposal 2. Because brokers are entitled to vote on Proposal 2, we do not anticipate any broker non-votes with respect to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582930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261620</wp:posOffset>
            </wp:positionV>
            <wp:extent cx="128905" cy="11176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126365</wp:posOffset>
            </wp:positionV>
            <wp:extent cx="6995160" cy="171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282575</wp:posOffset>
            </wp:positionV>
            <wp:extent cx="582930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54"/>
          <w:szCs w:val="54"/>
          <w:color w:val="001641"/>
        </w:rPr>
        <w:t>Additional Matters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PROXY PROCEDURE AND EXPENSES OF SOLICITATION</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will retain an independent tabulator to receive and tabulate the proxies and independent inspectors of election to certify the results.</w:t>
      </w:r>
    </w:p>
    <w:p>
      <w:pPr>
        <w:spacing w:after="0" w:line="10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All expenses incurred in connection with the solicitation of proxies will be borne by us. We will reimburse brokers, fiduciaries, custodians and other nominees for their costs in forwarding proxy materials to beneficial owners of Common Stock held in their names.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Solicitation may be undertaken by mail, telephone, personal contact or other similar means by our directors, officers, and employees without additional compensation. In addition, we have engaged the firm of Okapi Partners to assist in the solicitation of proxies for the Meeting and will pay Okapi Partners a fee of approximately $20,000 plus reimbursement of out-of-pocket expenses. The address of Okapi Partners is 1212 Avenue of the Americas, 24th Floor, New York, New York 10036. If you need assistance in completing your proxy card or voting by telephone or on the Internet, or have questions regarding the 2026 Annual Meeting of Stockholders, please contact Okapi Partners at (877) 274-8654 or by email at info@okapipartners.com.</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STOCKHOLDER PROPOSALS FOR THE 2027 ANNUAL MEETING OF STOCKHOLDERS</w:t>
      </w:r>
    </w:p>
    <w:p>
      <w:pPr>
        <w:spacing w:after="0" w:line="139"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Stockholders intending to present a proposal at the 2027 Annual Meeting of Stockholders and have it included in our proxy statement for that meeting must submit the proposal in writing to Ralph Lauren Corporation, Attention: Corporate Secretary/Legal Department, 100 Metro Boulevard, Nutley, NJ 07110. We must receive such proposals no later than February 18, 2027. It is suggested that proposals be submitted by certified mail, and return receipt requested.</w:t>
      </w:r>
    </w:p>
    <w:p>
      <w:pPr>
        <w:spacing w:after="0" w:line="12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Stockholders intending to present a proposal at the 2027 Annual Meeting of Stockholders without inclusion of the proposal in our proxy statement, or to nominate a person for election as a director, must comply with the requirements set forth in our By-laws. The By-laws require, among other things, that a stockholder’s notice of such proposal or nomination be delivered personally or mailed to, and received at the office of the Company, addressed to the Corporate Secretary, by no earlier than 120 days and no later than 90 days before the first anniversary of the date of the prior year’s annual meeting of stockholders; provided, however, if (i) the annual meeting of stockholders is advanced by more than 30 days, or delayed by more than 60 days, from the first anniversary of the prior year’s annual meeting of stockholders or (ii) no annual meeting was held during the prior year, the notice must be received (x) no earlier than 120 days before such annual meeting and (y) no later than the later of 90 days before such annual meeting and the tenth day after the notice of such annual meeting was made.</w:t>
      </w:r>
    </w:p>
    <w:p>
      <w:pPr>
        <w:spacing w:after="0" w:line="13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 stockholder’s notice to us must include the information required under our By-laws, including a full description of such proposal (including all information that would be required in connection with such proposal under the SEC’s proxy rules if such proposal were the subject of a proxy solicitation and the written consent of each nominee for election to the Board named therein (if any) to serve if elected) and the name, address and number of shares of Common Stock held of record or beneficially as of the record date for such meeting by the person proposing to bring such proposal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001641"/>
        </w:rPr>
        <w:t xml:space="preserve">122 </w:t>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Additional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addition to satisfying the requirements under our By-laws, to comply with the universal proxy rules, stockholders intending to solicit proxies in support of director nominees other than the Board’s nominees must provide notice that sets forth the information required by Rule 14a-19 under the Exchange Act no later than May 1, 2027 and must comply with the additional requirements of Rule 14a-19.</w:t>
      </w:r>
    </w:p>
    <w:p>
      <w:pPr>
        <w:spacing w:after="0" w:line="12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Nothing in this section shall be interpreted or construed to require the inclusion of information about any stockholder proposal in our Proxy Statement.</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DELIVERY OF STOCKHOLDERS’ MATERIALS AND HOUSEHOLDING</w:t>
      </w:r>
    </w:p>
    <w:p>
      <w:pPr>
        <w:spacing w:after="0" w:line="153"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You can help us to save further printing and mailing expenses by consenting to receive notices and other materials electronically. If you are a stockholder of record, you may sign up for this service by checking the appropriate box on the accompanying proxy card. If you hold your shares through a bank, broker, brokerage firm, or other holder of record, contact the record holder for information regarding electronic delivery of materials. Your consent to electronic delivery will remain in effect until you revoke it. If you choose electronic delivery, you may incur costs, such as telephone and Internet access charges, for which you will be solely responsible.</w:t>
      </w:r>
    </w:p>
    <w:p>
      <w:pPr>
        <w:spacing w:after="0" w:line="128"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The SEC allows us to deliver a single copy of proxy materials to an address shared by two or more stockholders, unless the stockholders instruct us to the contrary. This delivery method, referred to as “householding,” can result in significant cost savings for us. We will promptly provide you another copy of these materials, without charge, upon written request to our Investor Relations Department, 650 Madison Avenue, New York, New York 10022. Our Investor Relations Department can be reached at (212) 813-7868.</w:t>
      </w:r>
    </w:p>
    <w:p>
      <w:pPr>
        <w:spacing w:after="0" w:line="12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Stockholders of record sharing an address who receive multiple copies of proxy materials and wish to receive a single copy of such materials in the future should submit their request to us in the same manner. If you are the beneficial owner, but not the record holder, of our shares and wish to receive only one copy of the Proxy Statement related materials in the future, you need to contact your bank, broker, brokerage firm or other nominee to request that only a single copy of each document be mailed to all stockholders at the shared address.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INSIDER TRADING POLICY</w:t>
      </w:r>
    </w:p>
    <w:p>
      <w:pPr>
        <w:spacing w:after="0" w:line="15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We have adopted an insider trading policy which governs the purchase, sale, and/or other dispositions of our securities by directors, officers and employees and other covered persons and is designed to promote compliance with insider trading laws, rules and regulations, and listing standards applicable to us.</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BFA071"/>
        </w:rPr>
        <w:t>OTHER BUSINESS</w:t>
      </w:r>
    </w:p>
    <w:p>
      <w:pPr>
        <w:spacing w:after="0" w:line="15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As of the date of this Proxy Statement, the Board knows of no matters other than those referred to in the accompanying Notice of Annual Meeting of Stockholders that may properly come before the meeting. If any stockholder proposal or other matter were to properly come before the meeting, including voting for the election of any person as a director in place of a nominee named herein who becomes unable to serve or for good cause will not serve or voting on a proposal omitted from this Proxy Statement pursuant to the rules of the SEC, all proxies received will be voted in accordance with the discretion of the proxy holders, unless a stockholder specifies otherwise in his or her proxy.</w:t>
      </w:r>
    </w:p>
    <w:p>
      <w:pPr>
        <w:spacing w:after="0" w:line="195"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form of proxy and the Proxy Statement have been approved by the Board and are being delivered to stockholders by its authority.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Ralph Lauren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Chairman and Chief Creative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582930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276225</wp:posOffset>
            </wp:positionV>
            <wp:extent cx="128905" cy="11176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126365</wp:posOffset>
            </wp:positionV>
            <wp:extent cx="6995160" cy="171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34" w:name="page135"/>
    <w:bookmarkEnd w:id="134"/>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582930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
        <w:spacing w:after="0"/>
        <w:rPr>
          <w:sz w:val="20"/>
          <w:szCs w:val="20"/>
          <w:color w:val="auto"/>
        </w:rPr>
      </w:pPr>
      <w:r>
        <w:rPr>
          <w:rFonts w:ascii="Times New Roman" w:cs="Times New Roman" w:eastAsia="Times New Roman" w:hAnsi="Times New Roman"/>
          <w:sz w:val="54"/>
          <w:szCs w:val="54"/>
          <w:color w:val="001641"/>
        </w:rPr>
        <w:t>Appendix 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BFA071"/>
        </w:rPr>
        <w:t>RALPH LAUREN CORPORATION DEFINITION OF “INDEPENDENT” DIRECTORS</w:t>
      </w:r>
    </w:p>
    <w:p>
      <w:pPr>
        <w:spacing w:after="0" w:line="153" w:lineRule="exact"/>
        <w:rPr>
          <w:sz w:val="20"/>
          <w:szCs w:val="20"/>
          <w:color w:val="auto"/>
        </w:rPr>
      </w:pPr>
    </w:p>
    <w:p>
      <w:pPr>
        <w:ind w:left="6" w:right="80"/>
        <w:spacing w:after="0" w:line="259" w:lineRule="auto"/>
        <w:rPr>
          <w:sz w:val="20"/>
          <w:szCs w:val="20"/>
          <w:color w:val="auto"/>
        </w:rPr>
      </w:pPr>
      <w:r>
        <w:rPr>
          <w:rFonts w:ascii="Arial" w:cs="Arial" w:eastAsia="Arial" w:hAnsi="Arial"/>
          <w:sz w:val="16"/>
          <w:szCs w:val="16"/>
          <w:color w:val="auto"/>
        </w:rPr>
        <w:t>The Board has established these guidelines to assist it in determining whether or not directors have a material relationship with us for purposes of determining independence under the NYSE Corporate Governance Rules. In each case, the Board will broadly consider all relevant facts and circumstances and shall apply the following standards (in accordance with the guidance, and subject to the exceptions provided by, the NYSE in its Commentary to its Corporate Governance Rules where applicable).</w:t>
      </w:r>
    </w:p>
    <w:p>
      <w:pPr>
        <w:spacing w:after="0" w:line="70" w:lineRule="exact"/>
        <w:rPr>
          <w:sz w:val="20"/>
          <w:szCs w:val="20"/>
          <w:color w:val="auto"/>
        </w:rPr>
      </w:pPr>
    </w:p>
    <w:p>
      <w:pPr>
        <w:ind w:left="346" w:hanging="346"/>
        <w:spacing w:after="0"/>
        <w:tabs>
          <w:tab w:leader="none" w:pos="346" w:val="left"/>
        </w:tabs>
        <w:numPr>
          <w:ilvl w:val="0"/>
          <w:numId w:val="103"/>
        </w:numPr>
        <w:rPr>
          <w:rFonts w:ascii="Arial" w:cs="Arial" w:eastAsia="Arial" w:hAnsi="Arial"/>
          <w:sz w:val="16"/>
          <w:szCs w:val="16"/>
          <w:b w:val="1"/>
          <w:bCs w:val="1"/>
          <w:color w:val="001641"/>
        </w:rPr>
      </w:pPr>
      <w:r>
        <w:rPr>
          <w:rFonts w:ascii="Arial" w:cs="Arial" w:eastAsia="Arial" w:hAnsi="Arial"/>
          <w:sz w:val="16"/>
          <w:szCs w:val="16"/>
          <w:b w:val="1"/>
          <w:bCs w:val="1"/>
          <w:color w:val="001641"/>
        </w:rPr>
        <w:t>Employment and Commercial Relationships Affecting Independence.</w:t>
      </w:r>
    </w:p>
    <w:p>
      <w:pPr>
        <w:spacing w:after="0" w:line="167" w:lineRule="exact"/>
        <w:rPr>
          <w:rFonts w:ascii="Arial" w:cs="Arial" w:eastAsia="Arial" w:hAnsi="Arial"/>
          <w:sz w:val="16"/>
          <w:szCs w:val="16"/>
          <w:b w:val="1"/>
          <w:bCs w:val="1"/>
          <w:color w:val="001641"/>
        </w:rPr>
      </w:pPr>
    </w:p>
    <w:p>
      <w:pPr>
        <w:ind w:left="366"/>
        <w:spacing w:after="0" w:line="248" w:lineRule="auto"/>
        <w:rPr>
          <w:rFonts w:ascii="Arial" w:cs="Arial" w:eastAsia="Arial" w:hAnsi="Arial"/>
          <w:sz w:val="16"/>
          <w:szCs w:val="16"/>
          <w:b w:val="1"/>
          <w:bCs w:val="1"/>
          <w:color w:val="001641"/>
        </w:rPr>
      </w:pPr>
      <w:r>
        <w:rPr>
          <w:rFonts w:ascii="Arial" w:cs="Arial" w:eastAsia="Arial" w:hAnsi="Arial"/>
          <w:sz w:val="16"/>
          <w:szCs w:val="16"/>
          <w:color w:val="auto"/>
        </w:rPr>
        <w:t>A director will not be independent if: (i) the director is, or has been within the last three years, an employee of the Company or any member of the Lauren Group; (ii) an immediate family member of the director is, or has been within the last three years, an executive officer of the Company; (iii) (A) the director or an immediate family member is a current partner of a firm that is the Company’s internal or external auditor; (B) the director is a current employee of such a firm; (C) the director has an immediate family member who is a current employee of such a firm and who participates in the firm’s audit, assurance or tax compliance (but not tax planning) practice; or (D) the director or an immediate family member was within the last three years (but is no longer) a partner or employee of such a firm and personally worked on the listed Company’s audit within that time; (iv) the director has received, or has an immediate family member who has received, during any 12 month period within the last three years, more than $120,000 in direct compensation from the Company or any member of the Lauren Group, other than (x) director and committee fees and pension or other forms of deferred compensation for prior service (provided such compensation is not contingent in any way on continued service) and (y) compensation received by an immediate family member for service as an employee of the Company (other than as an executive officer);</w:t>
      </w:r>
    </w:p>
    <w:p>
      <w:pPr>
        <w:spacing w:after="0" w:line="2" w:lineRule="exact"/>
        <w:rPr>
          <w:rFonts w:ascii="Arial" w:cs="Arial" w:eastAsia="Arial" w:hAnsi="Arial"/>
          <w:sz w:val="16"/>
          <w:szCs w:val="16"/>
          <w:b w:val="1"/>
          <w:bCs w:val="1"/>
          <w:color w:val="001641"/>
        </w:rPr>
      </w:pPr>
    </w:p>
    <w:p>
      <w:pPr>
        <w:ind w:left="366" w:right="180"/>
        <w:spacing w:after="0" w:line="250" w:lineRule="auto"/>
        <w:rPr>
          <w:rFonts w:ascii="Arial" w:cs="Arial" w:eastAsia="Arial" w:hAnsi="Arial"/>
          <w:sz w:val="16"/>
          <w:szCs w:val="16"/>
          <w:b w:val="1"/>
          <w:bCs w:val="1"/>
          <w:color w:val="001641"/>
        </w:rPr>
      </w:pPr>
      <w:r>
        <w:rPr>
          <w:rFonts w:ascii="Arial" w:cs="Arial" w:eastAsia="Arial" w:hAnsi="Arial"/>
          <w:sz w:val="16"/>
          <w:szCs w:val="16"/>
          <w:color w:val="auto"/>
        </w:rPr>
        <w:t>(v) the director or an immediate family member of the director is, or has been within the last three years, employed as an executive officer of another company where any of the Company’s present executive officers at the same time serves or served on that company’s compensation committee; or (vi) the director is a current employee, or an immediate family member of the director is a current executive officer, of a company that makes payments to, or receives payments from, the Company for property or services in an amount which, in any of the last three fiscal years, exceeds the greater of $1 million or 2% of such other company’s consolidated gross revenues.</w:t>
      </w:r>
    </w:p>
    <w:p>
      <w:pPr>
        <w:spacing w:after="0" w:line="211" w:lineRule="exact"/>
        <w:rPr>
          <w:sz w:val="20"/>
          <w:szCs w:val="20"/>
          <w:color w:val="auto"/>
        </w:rPr>
      </w:pPr>
    </w:p>
    <w:p>
      <w:pPr>
        <w:ind w:left="366"/>
        <w:spacing w:after="0"/>
        <w:rPr>
          <w:sz w:val="20"/>
          <w:szCs w:val="20"/>
          <w:color w:val="auto"/>
        </w:rPr>
      </w:pPr>
      <w:r>
        <w:rPr>
          <w:rFonts w:ascii="Arial" w:cs="Arial" w:eastAsia="Arial" w:hAnsi="Arial"/>
          <w:sz w:val="16"/>
          <w:szCs w:val="16"/>
          <w:color w:val="auto"/>
        </w:rPr>
        <w:t>In addition, a director will not be independent if his or her spouse, parent, sibling, or child is employed by us.</w:t>
      </w:r>
    </w:p>
    <w:p>
      <w:pPr>
        <w:spacing w:after="0" w:line="113" w:lineRule="exact"/>
        <w:rPr>
          <w:sz w:val="20"/>
          <w:szCs w:val="20"/>
          <w:color w:val="auto"/>
        </w:rPr>
      </w:pPr>
    </w:p>
    <w:p>
      <w:pPr>
        <w:ind w:left="346" w:hanging="346"/>
        <w:spacing w:after="0"/>
        <w:tabs>
          <w:tab w:leader="none" w:pos="346" w:val="left"/>
        </w:tabs>
        <w:numPr>
          <w:ilvl w:val="0"/>
          <w:numId w:val="104"/>
        </w:numPr>
        <w:rPr>
          <w:rFonts w:ascii="Arial" w:cs="Arial" w:eastAsia="Arial" w:hAnsi="Arial"/>
          <w:sz w:val="16"/>
          <w:szCs w:val="16"/>
          <w:b w:val="1"/>
          <w:bCs w:val="1"/>
          <w:color w:val="001641"/>
        </w:rPr>
      </w:pPr>
      <w:r>
        <w:rPr>
          <w:rFonts w:ascii="Arial" w:cs="Arial" w:eastAsia="Arial" w:hAnsi="Arial"/>
          <w:sz w:val="16"/>
          <w:szCs w:val="16"/>
          <w:b w:val="1"/>
          <w:bCs w:val="1"/>
          <w:color w:val="001641"/>
        </w:rPr>
        <w:t>Relationships Not Deemed to Impair Independence.</w:t>
      </w:r>
    </w:p>
    <w:p>
      <w:pPr>
        <w:spacing w:after="0" w:line="167" w:lineRule="exact"/>
        <w:rPr>
          <w:rFonts w:ascii="Arial" w:cs="Arial" w:eastAsia="Arial" w:hAnsi="Arial"/>
          <w:sz w:val="16"/>
          <w:szCs w:val="16"/>
          <w:b w:val="1"/>
          <w:bCs w:val="1"/>
          <w:color w:val="001641"/>
        </w:rPr>
      </w:pPr>
    </w:p>
    <w:p>
      <w:pPr>
        <w:ind w:left="366" w:right="260"/>
        <w:spacing w:after="0" w:line="286" w:lineRule="auto"/>
        <w:rPr>
          <w:rFonts w:ascii="Arial" w:cs="Arial" w:eastAsia="Arial" w:hAnsi="Arial"/>
          <w:sz w:val="16"/>
          <w:szCs w:val="16"/>
          <w:b w:val="1"/>
          <w:bCs w:val="1"/>
          <w:color w:val="001641"/>
        </w:rPr>
      </w:pPr>
      <w:r>
        <w:rPr>
          <w:rFonts w:ascii="Arial" w:cs="Arial" w:eastAsia="Arial" w:hAnsi="Arial"/>
          <w:sz w:val="16"/>
          <w:szCs w:val="16"/>
          <w:color w:val="auto"/>
        </w:rPr>
        <w:t>Subject to Section (1) above, the following relationships are not deemed to be material relationships that would impair a director’s independence.</w:t>
      </w:r>
    </w:p>
    <w:p>
      <w:pPr>
        <w:spacing w:after="0" w:line="182" w:lineRule="exact"/>
        <w:rPr>
          <w:rFonts w:ascii="Arial" w:cs="Arial" w:eastAsia="Arial" w:hAnsi="Arial"/>
          <w:sz w:val="16"/>
          <w:szCs w:val="16"/>
          <w:b w:val="1"/>
          <w:bCs w:val="1"/>
          <w:color w:val="001641"/>
        </w:rPr>
      </w:pPr>
    </w:p>
    <w:p>
      <w:pPr>
        <w:ind w:left="366"/>
        <w:spacing w:after="0"/>
        <w:rPr>
          <w:rFonts w:ascii="Arial" w:cs="Arial" w:eastAsia="Arial" w:hAnsi="Arial"/>
          <w:sz w:val="16"/>
          <w:szCs w:val="16"/>
          <w:b w:val="1"/>
          <w:bCs w:val="1"/>
          <w:color w:val="001641"/>
        </w:rPr>
      </w:pPr>
      <w:r>
        <w:rPr>
          <w:rFonts w:ascii="Arial" w:cs="Arial" w:eastAsia="Arial" w:hAnsi="Arial"/>
          <w:sz w:val="16"/>
          <w:szCs w:val="16"/>
          <w:i w:val="1"/>
          <w:iCs w:val="1"/>
          <w:color w:val="auto"/>
        </w:rPr>
        <w:t xml:space="preserve">Non-management Directors. </w:t>
      </w:r>
      <w:r>
        <w:rPr>
          <w:rFonts w:ascii="Arial" w:cs="Arial" w:eastAsia="Arial" w:hAnsi="Arial"/>
          <w:sz w:val="16"/>
          <w:szCs w:val="16"/>
          <w:color w:val="auto"/>
        </w:rPr>
        <w:t>The director is a non-management director of another company that does business with us.</w:t>
      </w:r>
    </w:p>
    <w:p>
      <w:pPr>
        <w:spacing w:after="0" w:line="113" w:lineRule="exact"/>
        <w:rPr>
          <w:rFonts w:ascii="Arial" w:cs="Arial" w:eastAsia="Arial" w:hAnsi="Arial"/>
          <w:sz w:val="16"/>
          <w:szCs w:val="16"/>
          <w:b w:val="1"/>
          <w:bCs w:val="1"/>
          <w:color w:val="001641"/>
        </w:rPr>
      </w:pPr>
    </w:p>
    <w:p>
      <w:pPr>
        <w:ind w:left="366" w:right="40"/>
        <w:spacing w:after="0" w:line="286" w:lineRule="auto"/>
        <w:rPr>
          <w:rFonts w:ascii="Arial" w:cs="Arial" w:eastAsia="Arial" w:hAnsi="Arial"/>
          <w:sz w:val="16"/>
          <w:szCs w:val="16"/>
          <w:b w:val="1"/>
          <w:bCs w:val="1"/>
          <w:color w:val="001641"/>
        </w:rPr>
      </w:pPr>
      <w:r>
        <w:rPr>
          <w:rFonts w:ascii="Arial" w:cs="Arial" w:eastAsia="Arial" w:hAnsi="Arial"/>
          <w:sz w:val="16"/>
          <w:szCs w:val="16"/>
          <w:i w:val="1"/>
          <w:iCs w:val="1"/>
          <w:color w:val="auto"/>
        </w:rPr>
        <w:t xml:space="preserve">Commercial Relationships. </w:t>
      </w:r>
      <w:r>
        <w:rPr>
          <w:rFonts w:ascii="Arial" w:cs="Arial" w:eastAsia="Arial" w:hAnsi="Arial"/>
          <w:sz w:val="16"/>
          <w:szCs w:val="16"/>
          <w:color w:val="auto"/>
        </w:rPr>
        <w:t>The director is an employee or executive officer, or an immediate family member of the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is an executive officer, of another company that does business with us; provided in either case that:</w:t>
      </w:r>
    </w:p>
    <w:p>
      <w:pPr>
        <w:spacing w:after="0" w:line="102" w:lineRule="exact"/>
        <w:rPr>
          <w:sz w:val="20"/>
          <w:szCs w:val="20"/>
          <w:color w:val="auto"/>
        </w:rPr>
      </w:pPr>
    </w:p>
    <w:p>
      <w:pPr>
        <w:ind w:left="546" w:right="100"/>
        <w:spacing w:after="0" w:line="286" w:lineRule="auto"/>
        <w:rPr>
          <w:sz w:val="20"/>
          <w:szCs w:val="20"/>
          <w:color w:val="auto"/>
        </w:rPr>
      </w:pPr>
      <w:r>
        <w:rPr>
          <w:rFonts w:ascii="Arial" w:cs="Arial" w:eastAsia="Arial" w:hAnsi="Arial"/>
          <w:sz w:val="16"/>
          <w:szCs w:val="16"/>
          <w:color w:val="auto"/>
        </w:rPr>
        <w:t>(i)  such business was entered into in the ordinary course of our business and on substantially the same terms as those prevailing at the time for comparable business with unaffiliated third parties;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66"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001641"/>
        </w:rPr>
        <w:t xml:space="preserve">124 </w:t>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125"/>
            <wp:effectExtent l="0" t="0" r="0" b="0"/>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8905" cy="111125"/>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135" w:name="page136"/>
    <w:bookmarkEnd w:id="13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left="546" w:right="40"/>
        <w:spacing w:after="0" w:line="286" w:lineRule="auto"/>
        <w:rPr>
          <w:sz w:val="20"/>
          <w:szCs w:val="20"/>
          <w:color w:val="auto"/>
        </w:rPr>
      </w:pPr>
      <w:r>
        <w:rPr>
          <w:rFonts w:ascii="Arial" w:cs="Arial" w:eastAsia="Arial" w:hAnsi="Arial"/>
          <w:sz w:val="16"/>
          <w:szCs w:val="16"/>
          <w:color w:val="auto"/>
        </w:rPr>
        <w:t>(ii)  termination of the relationship in the normal course of business would not reasonably be expected to have a material adverse effect on the financial condition, results of operations or business of the other company.</w:t>
      </w:r>
    </w:p>
    <w:p>
      <w:pPr>
        <w:spacing w:after="0" w:line="102" w:lineRule="exact"/>
        <w:rPr>
          <w:sz w:val="20"/>
          <w:szCs w:val="20"/>
          <w:color w:val="auto"/>
        </w:rPr>
      </w:pPr>
    </w:p>
    <w:p>
      <w:pPr>
        <w:ind w:left="366" w:right="20"/>
        <w:spacing w:after="0" w:line="256" w:lineRule="auto"/>
        <w:rPr>
          <w:sz w:val="20"/>
          <w:szCs w:val="20"/>
          <w:color w:val="auto"/>
        </w:rPr>
      </w:pPr>
      <w:r>
        <w:rPr>
          <w:rFonts w:ascii="Arial" w:cs="Arial" w:eastAsia="Arial" w:hAnsi="Arial"/>
          <w:sz w:val="16"/>
          <w:szCs w:val="16"/>
          <w:i w:val="1"/>
          <w:iCs w:val="1"/>
          <w:color w:val="auto"/>
        </w:rPr>
        <w:t xml:space="preserve">Tax-Exempt Organization Relationships. </w:t>
      </w:r>
      <w:r>
        <w:rPr>
          <w:rFonts w:ascii="Arial" w:cs="Arial" w:eastAsia="Arial" w:hAnsi="Arial"/>
          <w:sz w:val="16"/>
          <w:szCs w:val="16"/>
          <w:color w:val="auto"/>
        </w:rPr>
        <w:t>The director (or an immediate family member of the director) serves as a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or trustee of a tax-exempt organization, and the Company’s discretionary charitable contributions to the organization do not exceed the greater of $1 million or 2% of the organization’s aggregate annual charitable receipts during the organization’s preceding fiscal year. (Any automatic matching by the Company of employee charitable contributions are not included in the Company’s contributions for this purpose.)</w:t>
      </w:r>
    </w:p>
    <w:p>
      <w:pPr>
        <w:spacing w:after="0" w:line="72" w:lineRule="exact"/>
        <w:rPr>
          <w:sz w:val="20"/>
          <w:szCs w:val="20"/>
          <w:color w:val="auto"/>
        </w:rPr>
      </w:pPr>
    </w:p>
    <w:p>
      <w:pPr>
        <w:ind w:left="346" w:hanging="346"/>
        <w:spacing w:after="0"/>
        <w:tabs>
          <w:tab w:leader="none" w:pos="346" w:val="left"/>
        </w:tabs>
        <w:numPr>
          <w:ilvl w:val="0"/>
          <w:numId w:val="105"/>
        </w:numPr>
        <w:rPr>
          <w:rFonts w:ascii="Arial" w:cs="Arial" w:eastAsia="Arial" w:hAnsi="Arial"/>
          <w:sz w:val="16"/>
          <w:szCs w:val="16"/>
          <w:b w:val="1"/>
          <w:bCs w:val="1"/>
          <w:color w:val="001641"/>
        </w:rPr>
      </w:pPr>
      <w:r>
        <w:rPr>
          <w:rFonts w:ascii="Arial" w:cs="Arial" w:eastAsia="Arial" w:hAnsi="Arial"/>
          <w:sz w:val="16"/>
          <w:szCs w:val="16"/>
          <w:b w:val="1"/>
          <w:bCs w:val="1"/>
          <w:color w:val="001641"/>
        </w:rPr>
        <w:t>Disclosure.</w:t>
      </w:r>
    </w:p>
    <w:p>
      <w:pPr>
        <w:spacing w:after="0" w:line="167" w:lineRule="exact"/>
        <w:rPr>
          <w:rFonts w:ascii="Arial" w:cs="Arial" w:eastAsia="Arial" w:hAnsi="Arial"/>
          <w:sz w:val="16"/>
          <w:szCs w:val="16"/>
          <w:b w:val="1"/>
          <w:bCs w:val="1"/>
          <w:color w:val="001641"/>
        </w:rPr>
      </w:pPr>
    </w:p>
    <w:p>
      <w:pPr>
        <w:ind w:left="366" w:right="160"/>
        <w:spacing w:after="0" w:line="259" w:lineRule="auto"/>
        <w:rPr>
          <w:rFonts w:ascii="Arial" w:cs="Arial" w:eastAsia="Arial" w:hAnsi="Arial"/>
          <w:sz w:val="16"/>
          <w:szCs w:val="16"/>
          <w:b w:val="1"/>
          <w:bCs w:val="1"/>
          <w:color w:val="001641"/>
        </w:rPr>
      </w:pPr>
      <w:r>
        <w:rPr>
          <w:rFonts w:ascii="Arial" w:cs="Arial" w:eastAsia="Arial" w:hAnsi="Arial"/>
          <w:sz w:val="16"/>
          <w:szCs w:val="16"/>
          <w:color w:val="auto"/>
        </w:rPr>
        <w:t>For relationships that are either not covered by, or do not satisfy, these guidelines, the determination of whether the relationship is material or not, and therefore whether the director would be independent or not, shall be made by the directors satisfying all the independence guidelines set forth above. We will explain in our next proxy statement thereafter the basis for any Board determination that any such relationship was immaterial.</w:t>
      </w:r>
    </w:p>
    <w:p>
      <w:pPr>
        <w:spacing w:after="0" w:line="69" w:lineRule="exact"/>
        <w:rPr>
          <w:rFonts w:ascii="Arial" w:cs="Arial" w:eastAsia="Arial" w:hAnsi="Arial"/>
          <w:sz w:val="16"/>
          <w:szCs w:val="16"/>
          <w:b w:val="1"/>
          <w:bCs w:val="1"/>
          <w:color w:val="001641"/>
        </w:rPr>
      </w:pPr>
    </w:p>
    <w:p>
      <w:pPr>
        <w:ind w:left="346" w:hanging="346"/>
        <w:spacing w:after="0"/>
        <w:tabs>
          <w:tab w:leader="none" w:pos="346" w:val="left"/>
        </w:tabs>
        <w:numPr>
          <w:ilvl w:val="0"/>
          <w:numId w:val="105"/>
        </w:numPr>
        <w:rPr>
          <w:rFonts w:ascii="Arial" w:cs="Arial" w:eastAsia="Arial" w:hAnsi="Arial"/>
          <w:sz w:val="16"/>
          <w:szCs w:val="16"/>
          <w:b w:val="1"/>
          <w:bCs w:val="1"/>
          <w:color w:val="001641"/>
        </w:rPr>
      </w:pPr>
      <w:r>
        <w:rPr>
          <w:rFonts w:ascii="Arial" w:cs="Arial" w:eastAsia="Arial" w:hAnsi="Arial"/>
          <w:sz w:val="16"/>
          <w:szCs w:val="16"/>
          <w:b w:val="1"/>
          <w:bCs w:val="1"/>
          <w:color w:val="001641"/>
        </w:rPr>
        <w:t>Definitions.</w:t>
      </w:r>
    </w:p>
    <w:p>
      <w:pPr>
        <w:spacing w:after="0" w:line="167" w:lineRule="exact"/>
        <w:rPr>
          <w:rFonts w:ascii="Arial" w:cs="Arial" w:eastAsia="Arial" w:hAnsi="Arial"/>
          <w:sz w:val="16"/>
          <w:szCs w:val="16"/>
          <w:b w:val="1"/>
          <w:bCs w:val="1"/>
          <w:color w:val="001641"/>
        </w:rPr>
      </w:pPr>
    </w:p>
    <w:p>
      <w:pPr>
        <w:ind w:left="366" w:right="20"/>
        <w:spacing w:after="0" w:line="256" w:lineRule="auto"/>
        <w:rPr>
          <w:rFonts w:ascii="Arial" w:cs="Arial" w:eastAsia="Arial" w:hAnsi="Arial"/>
          <w:sz w:val="16"/>
          <w:szCs w:val="16"/>
          <w:b w:val="1"/>
          <w:bCs w:val="1"/>
          <w:color w:val="001641"/>
        </w:rPr>
      </w:pPr>
      <w:r>
        <w:rPr>
          <w:rFonts w:ascii="Arial" w:cs="Arial" w:eastAsia="Arial" w:hAnsi="Arial"/>
          <w:sz w:val="16"/>
          <w:szCs w:val="16"/>
          <w:color w:val="auto"/>
        </w:rPr>
        <w:t>For purposes of these guidelines, the (i) term “immediate family member” shall have the meaning ascribed to it by the NYSE Corporate Governance Rules (including the Commentary thereto), (ii) the term “the Company” includes any entity in our consolidated group, (iii) the “Lauren Group” consists of Ralph Lauren, any member of his immediate family or any entity controlled by Ralph Lauren or members of his immediate family, and (iv) the term “executive officer” has the same meaning specified for the term “officer” in Rule 16a-1(f)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58293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260350</wp:posOffset>
            </wp:positionV>
            <wp:extent cx="128905" cy="11112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118110</wp:posOffset>
            </wp:positionV>
            <wp:extent cx="6995160" cy="171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36" w:name="page137"/>
    <w:bookmarkEnd w:id="136"/>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282575</wp:posOffset>
            </wp:positionV>
            <wp:extent cx="582930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54"/>
          <w:szCs w:val="54"/>
          <w:color w:val="001641"/>
        </w:rPr>
        <w:t>Appendix B</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BFA071"/>
        </w:rPr>
        <w:t>RECONCILIATION OF CERTAIN NON-U.S. GAAP FINANCIAL MEASURES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tables reconcile certain financial measures disclosed within this Proxy Statement for the fiscal periods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920" w:type="dxa"/>
            <w:vAlign w:val="bottom"/>
          </w:tcPr>
          <w:p>
            <w:pPr>
              <w:spacing w:after="0"/>
              <w:rPr>
                <w:sz w:val="24"/>
                <w:szCs w:val="24"/>
                <w:color w:val="auto"/>
              </w:rPr>
            </w:pPr>
          </w:p>
        </w:tc>
        <w:tc>
          <w:tcPr>
            <w:tcW w:w="4040" w:type="dxa"/>
            <w:vAlign w:val="bottom"/>
            <w:shd w:val="clear" w:color="auto" w:fill="001641"/>
          </w:tcPr>
          <w:p>
            <w:pPr>
              <w:spacing w:after="0"/>
              <w:rPr>
                <w:sz w:val="24"/>
                <w:szCs w:val="24"/>
                <w:color w:val="auto"/>
              </w:rPr>
            </w:pPr>
          </w:p>
        </w:tc>
        <w:tc>
          <w:tcPr>
            <w:tcW w:w="840" w:type="dxa"/>
            <w:vAlign w:val="bottom"/>
            <w:shd w:val="clear" w:color="auto" w:fill="001641"/>
          </w:tcPr>
          <w:p>
            <w:pPr>
              <w:spacing w:after="0"/>
              <w:rPr>
                <w:sz w:val="24"/>
                <w:szCs w:val="24"/>
                <w:color w:val="auto"/>
              </w:rPr>
            </w:pPr>
          </w:p>
        </w:tc>
        <w:tc>
          <w:tcPr>
            <w:tcW w:w="880" w:type="dxa"/>
            <w:vAlign w:val="bottom"/>
            <w:shd w:val="clear" w:color="auto" w:fill="001641"/>
          </w:tcPr>
          <w:p>
            <w:pPr>
              <w:spacing w:after="0"/>
              <w:rPr>
                <w:sz w:val="24"/>
                <w:szCs w:val="24"/>
                <w:color w:val="auto"/>
              </w:rPr>
            </w:pPr>
          </w:p>
        </w:tc>
        <w:tc>
          <w:tcPr>
            <w:tcW w:w="1780" w:type="dxa"/>
            <w:vAlign w:val="bottom"/>
            <w:gridSpan w:val="3"/>
            <w:shd w:val="clear" w:color="auto" w:fill="001641"/>
          </w:tcPr>
          <w:p>
            <w:pPr>
              <w:jc w:val="center"/>
              <w:ind w:right="8"/>
              <w:spacing w:after="0"/>
              <w:rPr>
                <w:sz w:val="20"/>
                <w:szCs w:val="20"/>
                <w:color w:val="auto"/>
              </w:rPr>
            </w:pPr>
            <w:r>
              <w:rPr>
                <w:rFonts w:ascii="Arial" w:cs="Arial" w:eastAsia="Arial" w:hAnsi="Arial"/>
                <w:sz w:val="14"/>
                <w:szCs w:val="14"/>
                <w:b w:val="1"/>
                <w:bCs w:val="1"/>
                <w:color w:val="FFFFFF"/>
              </w:rPr>
              <w:t>Fiscal Year Ended</w:t>
            </w:r>
          </w:p>
        </w:tc>
        <w:tc>
          <w:tcPr>
            <w:tcW w:w="720" w:type="dxa"/>
            <w:vAlign w:val="bottom"/>
            <w:shd w:val="clear" w:color="auto" w:fill="001641"/>
          </w:tcPr>
          <w:p>
            <w:pPr>
              <w:spacing w:after="0"/>
              <w:rPr>
                <w:sz w:val="24"/>
                <w:szCs w:val="24"/>
                <w:color w:val="auto"/>
              </w:rPr>
            </w:pPr>
          </w:p>
        </w:tc>
        <w:tc>
          <w:tcPr>
            <w:tcW w:w="920" w:type="dxa"/>
            <w:vAlign w:val="bottom"/>
            <w:tcBorders>
              <w:right w:val="single" w:sz="8" w:color="001641"/>
            </w:tcBorders>
            <w:shd w:val="clear" w:color="auto" w:fill="001641"/>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4040" w:type="dxa"/>
            <w:vAlign w:val="bottom"/>
            <w:shd w:val="clear" w:color="auto" w:fill="001641"/>
          </w:tcPr>
          <w:p>
            <w:pPr>
              <w:spacing w:after="0"/>
              <w:rPr>
                <w:sz w:val="21"/>
                <w:szCs w:val="21"/>
                <w:color w:val="auto"/>
              </w:rPr>
            </w:pPr>
          </w:p>
        </w:tc>
        <w:tc>
          <w:tcPr>
            <w:tcW w:w="840" w:type="dxa"/>
            <w:vAlign w:val="bottom"/>
            <w:shd w:val="clear" w:color="auto" w:fill="001641"/>
          </w:tcPr>
          <w:p>
            <w:pPr>
              <w:spacing w:after="0"/>
              <w:rPr>
                <w:sz w:val="21"/>
                <w:szCs w:val="21"/>
                <w:color w:val="auto"/>
              </w:rPr>
            </w:pPr>
          </w:p>
        </w:tc>
        <w:tc>
          <w:tcPr>
            <w:tcW w:w="880" w:type="dxa"/>
            <w:vAlign w:val="bottom"/>
            <w:shd w:val="clear" w:color="auto" w:fill="001641"/>
          </w:tcPr>
          <w:p>
            <w:pPr>
              <w:spacing w:after="0"/>
              <w:rPr>
                <w:sz w:val="21"/>
                <w:szCs w:val="21"/>
                <w:color w:val="auto"/>
              </w:rPr>
            </w:pPr>
          </w:p>
        </w:tc>
        <w:tc>
          <w:tcPr>
            <w:tcW w:w="320" w:type="dxa"/>
            <w:vAlign w:val="bottom"/>
            <w:shd w:val="clear" w:color="auto" w:fill="001641"/>
          </w:tcPr>
          <w:p>
            <w:pPr>
              <w:spacing w:after="0"/>
              <w:rPr>
                <w:sz w:val="21"/>
                <w:szCs w:val="21"/>
                <w:color w:val="auto"/>
              </w:rPr>
            </w:pPr>
          </w:p>
        </w:tc>
        <w:tc>
          <w:tcPr>
            <w:tcW w:w="1460" w:type="dxa"/>
            <w:vAlign w:val="bottom"/>
            <w:gridSpan w:val="2"/>
            <w:shd w:val="clear" w:color="auto" w:fill="001641"/>
          </w:tcPr>
          <w:p>
            <w:pPr>
              <w:jc w:val="center"/>
              <w:ind w:right="328"/>
              <w:spacing w:after="0"/>
              <w:rPr>
                <w:sz w:val="20"/>
                <w:szCs w:val="20"/>
                <w:color w:val="auto"/>
              </w:rPr>
            </w:pPr>
            <w:r>
              <w:rPr>
                <w:rFonts w:ascii="Arial" w:cs="Arial" w:eastAsia="Arial" w:hAnsi="Arial"/>
                <w:sz w:val="14"/>
                <w:szCs w:val="14"/>
                <w:b w:val="1"/>
                <w:bCs w:val="1"/>
                <w:color w:val="FFFFFF"/>
              </w:rPr>
              <w:t>March 28, 2026</w:t>
            </w:r>
          </w:p>
        </w:tc>
        <w:tc>
          <w:tcPr>
            <w:tcW w:w="720" w:type="dxa"/>
            <w:vAlign w:val="bottom"/>
            <w:shd w:val="clear" w:color="auto" w:fill="001641"/>
          </w:tcPr>
          <w:p>
            <w:pPr>
              <w:spacing w:after="0"/>
              <w:rPr>
                <w:sz w:val="21"/>
                <w:szCs w:val="21"/>
                <w:color w:val="auto"/>
              </w:rPr>
            </w:pPr>
          </w:p>
        </w:tc>
        <w:tc>
          <w:tcPr>
            <w:tcW w:w="920" w:type="dxa"/>
            <w:vAlign w:val="bottom"/>
            <w:tcBorders>
              <w:right w:val="single" w:sz="8" w:color="001641"/>
            </w:tcBorders>
            <w:shd w:val="clear" w:color="auto" w:fill="001641"/>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040" w:type="dxa"/>
            <w:vAlign w:val="bottom"/>
            <w:shd w:val="clear" w:color="auto" w:fill="001641"/>
          </w:tcPr>
          <w:p>
            <w:pPr>
              <w:spacing w:after="0"/>
              <w:rPr>
                <w:sz w:val="18"/>
                <w:szCs w:val="18"/>
                <w:color w:val="auto"/>
              </w:rPr>
            </w:pPr>
          </w:p>
        </w:tc>
        <w:tc>
          <w:tcPr>
            <w:tcW w:w="84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Operating</w:t>
            </w:r>
          </w:p>
        </w:tc>
        <w:tc>
          <w:tcPr>
            <w:tcW w:w="880" w:type="dxa"/>
            <w:vAlign w:val="bottom"/>
            <w:shd w:val="clear" w:color="auto" w:fill="001641"/>
          </w:tcPr>
          <w:p>
            <w:pPr>
              <w:jc w:val="right"/>
              <w:ind w:right="8"/>
              <w:spacing w:after="0"/>
              <w:rPr>
                <w:sz w:val="20"/>
                <w:szCs w:val="20"/>
                <w:color w:val="auto"/>
              </w:rPr>
            </w:pPr>
            <w:r>
              <w:rPr>
                <w:rFonts w:ascii="Arial" w:cs="Arial" w:eastAsia="Arial" w:hAnsi="Arial"/>
                <w:sz w:val="14"/>
                <w:szCs w:val="14"/>
                <w:b w:val="1"/>
                <w:bCs w:val="1"/>
                <w:color w:val="FFFFFF"/>
              </w:rPr>
              <w:t>Operating</w:t>
            </w:r>
          </w:p>
        </w:tc>
        <w:tc>
          <w:tcPr>
            <w:tcW w:w="320" w:type="dxa"/>
            <w:vAlign w:val="bottom"/>
            <w:shd w:val="clear" w:color="auto" w:fill="001641"/>
          </w:tcPr>
          <w:p>
            <w:pPr>
              <w:spacing w:after="0"/>
              <w:rPr>
                <w:sz w:val="18"/>
                <w:szCs w:val="18"/>
                <w:color w:val="auto"/>
              </w:rPr>
            </w:pPr>
          </w:p>
        </w:tc>
        <w:tc>
          <w:tcPr>
            <w:tcW w:w="560" w:type="dxa"/>
            <w:vAlign w:val="bottom"/>
            <w:shd w:val="clear" w:color="auto" w:fill="001641"/>
          </w:tcPr>
          <w:p>
            <w:pPr>
              <w:spacing w:after="0"/>
              <w:rPr>
                <w:sz w:val="18"/>
                <w:szCs w:val="18"/>
                <w:color w:val="auto"/>
              </w:rPr>
            </w:pPr>
          </w:p>
        </w:tc>
        <w:tc>
          <w:tcPr>
            <w:tcW w:w="900" w:type="dxa"/>
            <w:vAlign w:val="bottom"/>
            <w:shd w:val="clear" w:color="auto" w:fill="001641"/>
          </w:tcPr>
          <w:p>
            <w:pPr>
              <w:spacing w:after="0"/>
              <w:rPr>
                <w:sz w:val="18"/>
                <w:szCs w:val="18"/>
                <w:color w:val="auto"/>
              </w:rPr>
            </w:pPr>
          </w:p>
        </w:tc>
        <w:tc>
          <w:tcPr>
            <w:tcW w:w="720" w:type="dxa"/>
            <w:vAlign w:val="bottom"/>
            <w:vMerge w:val="restart"/>
            <w:shd w:val="clear" w:color="auto" w:fill="001641"/>
          </w:tcPr>
          <w:p>
            <w:pPr>
              <w:jc w:val="right"/>
              <w:ind w:right="89"/>
              <w:spacing w:after="0"/>
              <w:rPr>
                <w:sz w:val="20"/>
                <w:szCs w:val="20"/>
                <w:color w:val="auto"/>
              </w:rPr>
            </w:pPr>
            <w:r>
              <w:rPr>
                <w:rFonts w:ascii="Arial" w:cs="Arial" w:eastAsia="Arial" w:hAnsi="Arial"/>
                <w:sz w:val="28"/>
                <w:szCs w:val="28"/>
                <w:b w:val="1"/>
                <w:bCs w:val="1"/>
                <w:color w:val="FFFFFF"/>
                <w:vertAlign w:val="subscript"/>
              </w:rPr>
              <w:t>P&amp;E</w:t>
            </w:r>
            <w:r>
              <w:rPr>
                <w:rFonts w:ascii="Arial" w:cs="Arial" w:eastAsia="Arial" w:hAnsi="Arial"/>
                <w:sz w:val="12"/>
                <w:szCs w:val="12"/>
                <w:b w:val="1"/>
                <w:bCs w:val="1"/>
                <w:color w:val="FFFFFF"/>
              </w:rPr>
              <w:t>(1)</w:t>
            </w:r>
          </w:p>
        </w:tc>
        <w:tc>
          <w:tcPr>
            <w:tcW w:w="920" w:type="dxa"/>
            <w:vAlign w:val="bottom"/>
            <w:tcBorders>
              <w:right w:val="single" w:sz="8" w:color="001641"/>
            </w:tcBorders>
            <w:vMerge w:val="restart"/>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ROIC %</w:t>
            </w:r>
            <w:r>
              <w:rPr>
                <w:rFonts w:ascii="Arial" w:cs="Arial" w:eastAsia="Arial" w:hAnsi="Arial"/>
                <w:sz w:val="23"/>
                <w:szCs w:val="23"/>
                <w:b w:val="1"/>
                <w:bCs w:val="1"/>
                <w:color w:val="FFFFFF"/>
                <w:vertAlign w:val="superscript"/>
              </w:rPr>
              <w:t>(2)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920" w:type="dxa"/>
            <w:vAlign w:val="bottom"/>
          </w:tcPr>
          <w:p>
            <w:pPr>
              <w:spacing w:after="0"/>
              <w:rPr>
                <w:sz w:val="19"/>
                <w:szCs w:val="19"/>
                <w:color w:val="auto"/>
              </w:rPr>
            </w:pPr>
          </w:p>
        </w:tc>
        <w:tc>
          <w:tcPr>
            <w:tcW w:w="4040" w:type="dxa"/>
            <w:vAlign w:val="bottom"/>
            <w:shd w:val="clear" w:color="auto" w:fill="001641"/>
          </w:tcPr>
          <w:p>
            <w:pPr>
              <w:spacing w:after="0"/>
              <w:rPr>
                <w:sz w:val="19"/>
                <w:szCs w:val="19"/>
                <w:color w:val="auto"/>
              </w:rPr>
            </w:pPr>
          </w:p>
        </w:tc>
        <w:tc>
          <w:tcPr>
            <w:tcW w:w="84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Income</w:t>
            </w:r>
          </w:p>
        </w:tc>
        <w:tc>
          <w:tcPr>
            <w:tcW w:w="880" w:type="dxa"/>
            <w:vAlign w:val="bottom"/>
            <w:shd w:val="clear" w:color="auto" w:fill="001641"/>
          </w:tcPr>
          <w:p>
            <w:pPr>
              <w:jc w:val="right"/>
              <w:ind w:right="128"/>
              <w:spacing w:after="0"/>
              <w:rPr>
                <w:sz w:val="20"/>
                <w:szCs w:val="20"/>
                <w:color w:val="auto"/>
              </w:rPr>
            </w:pPr>
            <w:r>
              <w:rPr>
                <w:rFonts w:ascii="Arial" w:cs="Arial" w:eastAsia="Arial" w:hAnsi="Arial"/>
                <w:sz w:val="14"/>
                <w:szCs w:val="14"/>
                <w:b w:val="1"/>
                <w:bCs w:val="1"/>
                <w:color w:val="FFFFFF"/>
              </w:rPr>
              <w:t>Margin</w:t>
            </w:r>
          </w:p>
        </w:tc>
        <w:tc>
          <w:tcPr>
            <w:tcW w:w="1780" w:type="dxa"/>
            <w:vAlign w:val="bottom"/>
            <w:gridSpan w:val="3"/>
            <w:shd w:val="clear" w:color="auto" w:fill="001641"/>
          </w:tcPr>
          <w:p>
            <w:pPr>
              <w:jc w:val="center"/>
              <w:ind w:right="8"/>
              <w:spacing w:after="0"/>
              <w:rPr>
                <w:sz w:val="20"/>
                <w:szCs w:val="20"/>
                <w:color w:val="auto"/>
              </w:rPr>
            </w:pPr>
            <w:r>
              <w:rPr>
                <w:rFonts w:ascii="Arial" w:cs="Arial" w:eastAsia="Arial" w:hAnsi="Arial"/>
                <w:sz w:val="14"/>
                <w:szCs w:val="14"/>
                <w:b w:val="1"/>
                <w:bCs w:val="1"/>
                <w:color w:val="FFFFFF"/>
              </w:rPr>
              <w:t>Net Income Inventories</w:t>
            </w:r>
          </w:p>
        </w:tc>
        <w:tc>
          <w:tcPr>
            <w:tcW w:w="720" w:type="dxa"/>
            <w:vAlign w:val="bottom"/>
            <w:vMerge w:val="continue"/>
            <w:shd w:val="clear" w:color="auto" w:fill="001641"/>
          </w:tcPr>
          <w:p>
            <w:pPr>
              <w:spacing w:after="0"/>
              <w:rPr>
                <w:sz w:val="19"/>
                <w:szCs w:val="19"/>
                <w:color w:val="auto"/>
              </w:rPr>
            </w:pPr>
          </w:p>
        </w:tc>
        <w:tc>
          <w:tcPr>
            <w:tcW w:w="920" w:type="dxa"/>
            <w:vAlign w:val="bottom"/>
            <w:tcBorders>
              <w:right w:val="single" w:sz="8" w:color="001641"/>
            </w:tcBorders>
            <w:vMerge w:val="continue"/>
            <w:shd w:val="clear" w:color="auto" w:fill="001641"/>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4040" w:type="dxa"/>
            <w:vAlign w:val="bottom"/>
            <w:shd w:val="clear" w:color="auto" w:fill="001641"/>
          </w:tcPr>
          <w:p>
            <w:pPr>
              <w:spacing w:after="0"/>
              <w:rPr>
                <w:sz w:val="19"/>
                <w:szCs w:val="19"/>
                <w:color w:val="auto"/>
              </w:rPr>
            </w:pPr>
          </w:p>
        </w:tc>
        <w:tc>
          <w:tcPr>
            <w:tcW w:w="84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(millions)</w:t>
            </w:r>
          </w:p>
        </w:tc>
        <w:tc>
          <w:tcPr>
            <w:tcW w:w="880" w:type="dxa"/>
            <w:vAlign w:val="bottom"/>
            <w:shd w:val="clear" w:color="auto" w:fill="001641"/>
          </w:tcPr>
          <w:p>
            <w:pPr>
              <w:spacing w:after="0"/>
              <w:rPr>
                <w:sz w:val="19"/>
                <w:szCs w:val="19"/>
                <w:color w:val="auto"/>
              </w:rPr>
            </w:pPr>
          </w:p>
        </w:tc>
        <w:tc>
          <w:tcPr>
            <w:tcW w:w="320" w:type="dxa"/>
            <w:vAlign w:val="bottom"/>
            <w:shd w:val="clear" w:color="auto" w:fill="001641"/>
          </w:tcPr>
          <w:p>
            <w:pPr>
              <w:spacing w:after="0"/>
              <w:rPr>
                <w:sz w:val="19"/>
                <w:szCs w:val="19"/>
                <w:color w:val="auto"/>
              </w:rPr>
            </w:pPr>
          </w:p>
        </w:tc>
        <w:tc>
          <w:tcPr>
            <w:tcW w:w="560" w:type="dxa"/>
            <w:vAlign w:val="bottom"/>
            <w:shd w:val="clear" w:color="auto" w:fill="001641"/>
          </w:tcPr>
          <w:p>
            <w:pPr>
              <w:spacing w:after="0"/>
              <w:rPr>
                <w:sz w:val="19"/>
                <w:szCs w:val="19"/>
                <w:color w:val="auto"/>
              </w:rPr>
            </w:pPr>
          </w:p>
        </w:tc>
        <w:tc>
          <w:tcPr>
            <w:tcW w:w="900" w:type="dxa"/>
            <w:vAlign w:val="bottom"/>
            <w:shd w:val="clear" w:color="auto" w:fill="001641"/>
          </w:tcPr>
          <w:p>
            <w:pPr>
              <w:jc w:val="right"/>
              <w:ind w:right="128"/>
              <w:spacing w:after="0"/>
              <w:rPr>
                <w:sz w:val="20"/>
                <w:szCs w:val="20"/>
                <w:color w:val="auto"/>
              </w:rPr>
            </w:pPr>
            <w:r>
              <w:rPr>
                <w:rFonts w:ascii="Arial" w:cs="Arial" w:eastAsia="Arial" w:hAnsi="Arial"/>
                <w:sz w:val="14"/>
                <w:szCs w:val="14"/>
                <w:b w:val="1"/>
                <w:bCs w:val="1"/>
                <w:color w:val="FFFFFF"/>
              </w:rPr>
              <w:t>(millions)</w:t>
            </w:r>
          </w:p>
        </w:tc>
        <w:tc>
          <w:tcPr>
            <w:tcW w:w="720" w:type="dxa"/>
            <w:vAlign w:val="bottom"/>
            <w:shd w:val="clear" w:color="auto" w:fill="001641"/>
          </w:tcPr>
          <w:p>
            <w:pPr>
              <w:spacing w:after="0"/>
              <w:rPr>
                <w:sz w:val="19"/>
                <w:szCs w:val="19"/>
                <w:color w:val="auto"/>
              </w:rPr>
            </w:pPr>
          </w:p>
        </w:tc>
        <w:tc>
          <w:tcPr>
            <w:tcW w:w="920" w:type="dxa"/>
            <w:vAlign w:val="bottom"/>
            <w:tcBorders>
              <w:right w:val="single" w:sz="8" w:color="001641"/>
            </w:tcBorders>
            <w:shd w:val="clear" w:color="auto" w:fill="001641"/>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4040" w:type="dxa"/>
            <w:vAlign w:val="bottom"/>
          </w:tcPr>
          <w:p>
            <w:pPr>
              <w:ind w:left="60"/>
              <w:spacing w:after="0"/>
              <w:rPr>
                <w:sz w:val="20"/>
                <w:szCs w:val="20"/>
                <w:color w:val="auto"/>
              </w:rPr>
            </w:pPr>
            <w:r>
              <w:rPr>
                <w:rFonts w:ascii="Arial" w:cs="Arial" w:eastAsia="Arial" w:hAnsi="Arial"/>
                <w:sz w:val="14"/>
                <w:szCs w:val="14"/>
                <w:color w:val="001641"/>
              </w:rPr>
              <w:t>As reported</w:t>
            </w:r>
          </w:p>
        </w:tc>
        <w:tc>
          <w:tcPr>
            <w:tcW w:w="840" w:type="dxa"/>
            <w:vAlign w:val="bottom"/>
          </w:tcPr>
          <w:p>
            <w:pPr>
              <w:jc w:val="right"/>
              <w:spacing w:after="0"/>
              <w:rPr>
                <w:sz w:val="20"/>
                <w:szCs w:val="20"/>
                <w:color w:val="auto"/>
              </w:rPr>
            </w:pPr>
            <w:r>
              <w:rPr>
                <w:rFonts w:ascii="Arial" w:cs="Arial" w:eastAsia="Arial" w:hAnsi="Arial"/>
                <w:sz w:val="14"/>
                <w:szCs w:val="14"/>
                <w:color w:val="001641"/>
              </w:rPr>
              <w:t>$1,179.2</w:t>
            </w:r>
          </w:p>
        </w:tc>
        <w:tc>
          <w:tcPr>
            <w:tcW w:w="880" w:type="dxa"/>
            <w:vAlign w:val="bottom"/>
          </w:tcPr>
          <w:p>
            <w:pPr>
              <w:jc w:val="right"/>
              <w:spacing w:after="0"/>
              <w:rPr>
                <w:sz w:val="20"/>
                <w:szCs w:val="20"/>
                <w:color w:val="auto"/>
              </w:rPr>
            </w:pPr>
            <w:r>
              <w:rPr>
                <w:rFonts w:ascii="Arial" w:cs="Arial" w:eastAsia="Arial" w:hAnsi="Arial"/>
                <w:sz w:val="14"/>
                <w:szCs w:val="14"/>
                <w:color w:val="001641"/>
              </w:rPr>
              <w:t>14.5%</w:t>
            </w:r>
          </w:p>
        </w:tc>
        <w:tc>
          <w:tcPr>
            <w:tcW w:w="320" w:type="dxa"/>
            <w:vAlign w:val="bottom"/>
          </w:tcPr>
          <w:p>
            <w:pPr>
              <w:jc w:val="right"/>
              <w:spacing w:after="0"/>
              <w:rPr>
                <w:sz w:val="20"/>
                <w:szCs w:val="20"/>
                <w:color w:val="auto"/>
              </w:rPr>
            </w:pPr>
            <w:r>
              <w:rPr>
                <w:rFonts w:ascii="Arial" w:cs="Arial" w:eastAsia="Arial" w:hAnsi="Arial"/>
                <w:sz w:val="14"/>
                <w:szCs w:val="14"/>
                <w:color w:val="001641"/>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001641"/>
              </w:rPr>
              <w:t>941.1</w:t>
            </w:r>
          </w:p>
        </w:tc>
        <w:tc>
          <w:tcPr>
            <w:tcW w:w="900" w:type="dxa"/>
            <w:vAlign w:val="bottom"/>
          </w:tcPr>
          <w:p>
            <w:pPr>
              <w:jc w:val="right"/>
              <w:ind w:right="48"/>
              <w:spacing w:after="0"/>
              <w:rPr>
                <w:sz w:val="20"/>
                <w:szCs w:val="20"/>
                <w:color w:val="auto"/>
              </w:rPr>
            </w:pPr>
            <w:r>
              <w:rPr>
                <w:rFonts w:ascii="Arial" w:cs="Arial" w:eastAsia="Arial" w:hAnsi="Arial"/>
                <w:sz w:val="14"/>
                <w:szCs w:val="14"/>
                <w:color w:val="001641"/>
              </w:rPr>
              <w:t>$1,014.3</w:t>
            </w:r>
          </w:p>
        </w:tc>
        <w:tc>
          <w:tcPr>
            <w:tcW w:w="720" w:type="dxa"/>
            <w:vAlign w:val="bottom"/>
          </w:tcPr>
          <w:p>
            <w:pPr>
              <w:jc w:val="right"/>
              <w:spacing w:after="0"/>
              <w:rPr>
                <w:sz w:val="20"/>
                <w:szCs w:val="20"/>
                <w:color w:val="auto"/>
              </w:rPr>
            </w:pPr>
            <w:r>
              <w:rPr>
                <w:rFonts w:ascii="Arial" w:cs="Arial" w:eastAsia="Arial" w:hAnsi="Arial"/>
                <w:sz w:val="14"/>
                <w:szCs w:val="14"/>
                <w:color w:val="001641"/>
              </w:rPr>
              <w:t>$1,070.6</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4040" w:type="dxa"/>
            <w:vAlign w:val="bottom"/>
            <w:tcBorders>
              <w:bottom w:val="single" w:sz="8" w:color="BFA071"/>
            </w:tcBorders>
          </w:tcPr>
          <w:p>
            <w:pPr>
              <w:spacing w:after="0" w:line="20" w:lineRule="exact"/>
              <w:rPr>
                <w:sz w:val="1"/>
                <w:szCs w:val="1"/>
                <w:color w:val="auto"/>
              </w:rPr>
            </w:pPr>
          </w:p>
        </w:tc>
        <w:tc>
          <w:tcPr>
            <w:tcW w:w="8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320" w:type="dxa"/>
            <w:vAlign w:val="bottom"/>
            <w:tcBorders>
              <w:bottom w:val="single" w:sz="8" w:color="BFA071"/>
            </w:tcBorders>
          </w:tcPr>
          <w:p>
            <w:pPr>
              <w:spacing w:after="0" w:line="20" w:lineRule="exact"/>
              <w:rPr>
                <w:sz w:val="1"/>
                <w:szCs w:val="1"/>
                <w:color w:val="auto"/>
              </w:rPr>
            </w:pPr>
          </w:p>
        </w:tc>
        <w:tc>
          <w:tcPr>
            <w:tcW w:w="56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72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040" w:type="dxa"/>
            <w:vAlign w:val="bottom"/>
            <w:tcBorders>
              <w:bottom w:val="single" w:sz="8" w:color="BFA071"/>
            </w:tcBorders>
          </w:tcPr>
          <w:p>
            <w:pPr>
              <w:ind w:left="60"/>
              <w:spacing w:after="0" w:line="250" w:lineRule="exact"/>
              <w:rPr>
                <w:sz w:val="20"/>
                <w:szCs w:val="20"/>
                <w:color w:val="auto"/>
              </w:rPr>
            </w:pPr>
            <w:r>
              <w:rPr>
                <w:rFonts w:ascii="Arial" w:cs="Arial" w:eastAsia="Arial" w:hAnsi="Arial"/>
                <w:sz w:val="14"/>
                <w:szCs w:val="14"/>
                <w:color w:val="001641"/>
              </w:rPr>
              <w:t>Adjustments:</w:t>
            </w:r>
            <w:r>
              <w:rPr>
                <w:rFonts w:ascii="Arial" w:cs="Arial" w:eastAsia="Arial" w:hAnsi="Arial"/>
                <w:sz w:val="23"/>
                <w:szCs w:val="23"/>
                <w:color w:val="001641"/>
                <w:vertAlign w:val="superscript"/>
              </w:rPr>
              <w:t>(3)</w:t>
            </w:r>
          </w:p>
        </w:tc>
        <w:tc>
          <w:tcPr>
            <w:tcW w:w="840" w:type="dxa"/>
            <w:vAlign w:val="bottom"/>
            <w:tcBorders>
              <w:bottom w:val="single" w:sz="8" w:color="BFA071"/>
            </w:tcBorders>
          </w:tcPr>
          <w:p>
            <w:pPr>
              <w:spacing w:after="0"/>
              <w:rPr>
                <w:sz w:val="21"/>
                <w:szCs w:val="21"/>
                <w:color w:val="auto"/>
              </w:rPr>
            </w:pPr>
          </w:p>
        </w:tc>
        <w:tc>
          <w:tcPr>
            <w:tcW w:w="880" w:type="dxa"/>
            <w:vAlign w:val="bottom"/>
            <w:tcBorders>
              <w:bottom w:val="single" w:sz="8" w:color="BFA071"/>
            </w:tcBorders>
          </w:tcPr>
          <w:p>
            <w:pPr>
              <w:spacing w:after="0"/>
              <w:rPr>
                <w:sz w:val="21"/>
                <w:szCs w:val="21"/>
                <w:color w:val="auto"/>
              </w:rPr>
            </w:pPr>
          </w:p>
        </w:tc>
        <w:tc>
          <w:tcPr>
            <w:tcW w:w="320" w:type="dxa"/>
            <w:vAlign w:val="bottom"/>
            <w:tcBorders>
              <w:bottom w:val="single" w:sz="8" w:color="BFA071"/>
            </w:tcBorders>
          </w:tcPr>
          <w:p>
            <w:pPr>
              <w:spacing w:after="0"/>
              <w:rPr>
                <w:sz w:val="21"/>
                <w:szCs w:val="21"/>
                <w:color w:val="auto"/>
              </w:rPr>
            </w:pPr>
          </w:p>
        </w:tc>
        <w:tc>
          <w:tcPr>
            <w:tcW w:w="560" w:type="dxa"/>
            <w:vAlign w:val="bottom"/>
            <w:tcBorders>
              <w:bottom w:val="single" w:sz="8" w:color="BFA071"/>
            </w:tcBorders>
          </w:tcPr>
          <w:p>
            <w:pPr>
              <w:spacing w:after="0"/>
              <w:rPr>
                <w:sz w:val="21"/>
                <w:szCs w:val="21"/>
                <w:color w:val="auto"/>
              </w:rPr>
            </w:pPr>
          </w:p>
        </w:tc>
        <w:tc>
          <w:tcPr>
            <w:tcW w:w="900" w:type="dxa"/>
            <w:vAlign w:val="bottom"/>
            <w:tcBorders>
              <w:bottom w:val="single" w:sz="8" w:color="BFA071"/>
            </w:tcBorders>
          </w:tcPr>
          <w:p>
            <w:pPr>
              <w:spacing w:after="0"/>
              <w:rPr>
                <w:sz w:val="21"/>
                <w:szCs w:val="21"/>
                <w:color w:val="auto"/>
              </w:rPr>
            </w:pPr>
          </w:p>
        </w:tc>
        <w:tc>
          <w:tcPr>
            <w:tcW w:w="720" w:type="dxa"/>
            <w:vAlign w:val="bottom"/>
            <w:tcBorders>
              <w:bottom w:val="single" w:sz="8" w:color="BFA071"/>
            </w:tcBorders>
          </w:tcPr>
          <w:p>
            <w:pPr>
              <w:spacing w:after="0"/>
              <w:rPr>
                <w:sz w:val="21"/>
                <w:szCs w:val="21"/>
                <w:color w:val="auto"/>
              </w:rPr>
            </w:pPr>
          </w:p>
        </w:tc>
        <w:tc>
          <w:tcPr>
            <w:tcW w:w="920" w:type="dxa"/>
            <w:vAlign w:val="bottom"/>
            <w:tcBorders>
              <w:bottom w:val="single" w:sz="8" w:color="BFA071"/>
            </w:tcBorders>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4040" w:type="dxa"/>
            <w:vAlign w:val="bottom"/>
          </w:tcPr>
          <w:p>
            <w:pPr>
              <w:ind w:left="240"/>
              <w:spacing w:after="0"/>
              <w:rPr>
                <w:sz w:val="20"/>
                <w:szCs w:val="20"/>
                <w:color w:val="auto"/>
              </w:rPr>
            </w:pPr>
            <w:r>
              <w:rPr>
                <w:rFonts w:ascii="Arial" w:cs="Arial" w:eastAsia="Arial" w:hAnsi="Arial"/>
                <w:sz w:val="14"/>
                <w:szCs w:val="14"/>
                <w:color w:val="001641"/>
              </w:rPr>
              <w:t>Next Generation Transformation project charges</w:t>
            </w:r>
          </w:p>
        </w:tc>
        <w:tc>
          <w:tcPr>
            <w:tcW w:w="840" w:type="dxa"/>
            <w:vAlign w:val="bottom"/>
          </w:tcPr>
          <w:p>
            <w:pPr>
              <w:jc w:val="right"/>
              <w:spacing w:after="0"/>
              <w:rPr>
                <w:sz w:val="20"/>
                <w:szCs w:val="20"/>
                <w:color w:val="auto"/>
              </w:rPr>
            </w:pPr>
            <w:r>
              <w:rPr>
                <w:rFonts w:ascii="Arial" w:cs="Arial" w:eastAsia="Arial" w:hAnsi="Arial"/>
                <w:sz w:val="14"/>
                <w:szCs w:val="14"/>
                <w:color w:val="001641"/>
              </w:rPr>
              <w:t>83.9</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001641"/>
              </w:rPr>
              <w:t>83.9</w:t>
            </w:r>
          </w:p>
        </w:tc>
        <w:tc>
          <w:tcPr>
            <w:tcW w:w="900" w:type="dxa"/>
            <w:vAlign w:val="bottom"/>
          </w:tcPr>
          <w:p>
            <w:pPr>
              <w:jc w:val="right"/>
              <w:ind w:right="48"/>
              <w:spacing w:after="0"/>
              <w:rPr>
                <w:sz w:val="20"/>
                <w:szCs w:val="20"/>
                <w:color w:val="auto"/>
              </w:rPr>
            </w:pPr>
            <w:r>
              <w:rPr>
                <w:rFonts w:ascii="Arial" w:cs="Arial" w:eastAsia="Arial" w:hAnsi="Arial"/>
                <w:sz w:val="14"/>
                <w:szCs w:val="14"/>
                <w:color w:val="001641"/>
              </w:rPr>
              <w:t>—</w:t>
            </w:r>
          </w:p>
        </w:tc>
        <w:tc>
          <w:tcPr>
            <w:tcW w:w="720" w:type="dxa"/>
            <w:vAlign w:val="bottom"/>
          </w:tcPr>
          <w:p>
            <w:pPr>
              <w:jc w:val="right"/>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4040" w:type="dxa"/>
            <w:vAlign w:val="bottom"/>
            <w:tcBorders>
              <w:bottom w:val="single" w:sz="8" w:color="BFA071"/>
            </w:tcBorders>
          </w:tcPr>
          <w:p>
            <w:pPr>
              <w:spacing w:after="0" w:line="20" w:lineRule="exact"/>
              <w:rPr>
                <w:sz w:val="1"/>
                <w:szCs w:val="1"/>
                <w:color w:val="auto"/>
              </w:rPr>
            </w:pPr>
          </w:p>
        </w:tc>
        <w:tc>
          <w:tcPr>
            <w:tcW w:w="8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320" w:type="dxa"/>
            <w:vAlign w:val="bottom"/>
            <w:tcBorders>
              <w:bottom w:val="single" w:sz="8" w:color="BFA071"/>
            </w:tcBorders>
          </w:tcPr>
          <w:p>
            <w:pPr>
              <w:spacing w:after="0" w:line="20" w:lineRule="exact"/>
              <w:rPr>
                <w:sz w:val="1"/>
                <w:szCs w:val="1"/>
                <w:color w:val="auto"/>
              </w:rPr>
            </w:pPr>
          </w:p>
        </w:tc>
        <w:tc>
          <w:tcPr>
            <w:tcW w:w="56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72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4040" w:type="dxa"/>
            <w:vAlign w:val="bottom"/>
          </w:tcPr>
          <w:p>
            <w:pPr>
              <w:ind w:left="240"/>
              <w:spacing w:after="0"/>
              <w:rPr>
                <w:sz w:val="20"/>
                <w:szCs w:val="20"/>
                <w:color w:val="auto"/>
              </w:rPr>
            </w:pPr>
            <w:r>
              <w:rPr>
                <w:rFonts w:ascii="Arial" w:cs="Arial" w:eastAsia="Arial" w:hAnsi="Arial"/>
                <w:sz w:val="14"/>
                <w:szCs w:val="14"/>
                <w:color w:val="001641"/>
              </w:rPr>
              <w:t>Restructuring plan charges, net</w:t>
            </w:r>
          </w:p>
        </w:tc>
        <w:tc>
          <w:tcPr>
            <w:tcW w:w="840" w:type="dxa"/>
            <w:vAlign w:val="bottom"/>
          </w:tcPr>
          <w:p>
            <w:pPr>
              <w:jc w:val="right"/>
              <w:spacing w:after="0"/>
              <w:rPr>
                <w:sz w:val="20"/>
                <w:szCs w:val="20"/>
                <w:color w:val="auto"/>
              </w:rPr>
            </w:pPr>
            <w:r>
              <w:rPr>
                <w:rFonts w:ascii="Arial" w:cs="Arial" w:eastAsia="Arial" w:hAnsi="Arial"/>
                <w:sz w:val="14"/>
                <w:szCs w:val="14"/>
                <w:color w:val="001641"/>
              </w:rPr>
              <w:t>25.9</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001641"/>
              </w:rPr>
              <w:t>25.9</w:t>
            </w:r>
          </w:p>
        </w:tc>
        <w:tc>
          <w:tcPr>
            <w:tcW w:w="900" w:type="dxa"/>
            <w:vAlign w:val="bottom"/>
          </w:tcPr>
          <w:p>
            <w:pPr>
              <w:jc w:val="right"/>
              <w:ind w:right="48"/>
              <w:spacing w:after="0"/>
              <w:rPr>
                <w:sz w:val="20"/>
                <w:szCs w:val="20"/>
                <w:color w:val="auto"/>
              </w:rPr>
            </w:pPr>
            <w:r>
              <w:rPr>
                <w:rFonts w:ascii="Arial" w:cs="Arial" w:eastAsia="Arial" w:hAnsi="Arial"/>
                <w:sz w:val="14"/>
                <w:szCs w:val="14"/>
                <w:color w:val="001641"/>
              </w:rPr>
              <w:t>—</w:t>
            </w:r>
          </w:p>
        </w:tc>
        <w:tc>
          <w:tcPr>
            <w:tcW w:w="720" w:type="dxa"/>
            <w:vAlign w:val="bottom"/>
          </w:tcPr>
          <w:p>
            <w:pPr>
              <w:jc w:val="right"/>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4040" w:type="dxa"/>
            <w:vAlign w:val="bottom"/>
            <w:tcBorders>
              <w:bottom w:val="single" w:sz="8" w:color="BFA071"/>
            </w:tcBorders>
          </w:tcPr>
          <w:p>
            <w:pPr>
              <w:spacing w:after="0" w:line="20" w:lineRule="exact"/>
              <w:rPr>
                <w:sz w:val="1"/>
                <w:szCs w:val="1"/>
                <w:color w:val="auto"/>
              </w:rPr>
            </w:pPr>
          </w:p>
        </w:tc>
        <w:tc>
          <w:tcPr>
            <w:tcW w:w="8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320" w:type="dxa"/>
            <w:vAlign w:val="bottom"/>
            <w:tcBorders>
              <w:bottom w:val="single" w:sz="8" w:color="BFA071"/>
            </w:tcBorders>
          </w:tcPr>
          <w:p>
            <w:pPr>
              <w:spacing w:after="0" w:line="20" w:lineRule="exact"/>
              <w:rPr>
                <w:sz w:val="1"/>
                <w:szCs w:val="1"/>
                <w:color w:val="auto"/>
              </w:rPr>
            </w:pPr>
          </w:p>
        </w:tc>
        <w:tc>
          <w:tcPr>
            <w:tcW w:w="56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72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040" w:type="dxa"/>
            <w:vAlign w:val="bottom"/>
          </w:tcPr>
          <w:p>
            <w:pPr>
              <w:ind w:left="240"/>
              <w:spacing w:after="0"/>
              <w:rPr>
                <w:sz w:val="20"/>
                <w:szCs w:val="20"/>
                <w:color w:val="auto"/>
              </w:rPr>
            </w:pPr>
            <w:r>
              <w:rPr>
                <w:rFonts w:ascii="Arial" w:cs="Arial" w:eastAsia="Arial" w:hAnsi="Arial"/>
                <w:sz w:val="14"/>
                <w:szCs w:val="14"/>
                <w:color w:val="001641"/>
              </w:rPr>
              <w:t>Charitable donations related to Interchange Case</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4040" w:type="dxa"/>
            <w:vAlign w:val="bottom"/>
          </w:tcPr>
          <w:p>
            <w:pPr>
              <w:ind w:left="240"/>
              <w:spacing w:after="0"/>
              <w:rPr>
                <w:sz w:val="20"/>
                <w:szCs w:val="20"/>
                <w:color w:val="auto"/>
              </w:rPr>
            </w:pPr>
            <w:r>
              <w:rPr>
                <w:rFonts w:ascii="Arial" w:cs="Arial" w:eastAsia="Arial" w:hAnsi="Arial"/>
                <w:sz w:val="14"/>
                <w:szCs w:val="14"/>
                <w:color w:val="001641"/>
              </w:rPr>
              <w:t>Settlements</w:t>
            </w:r>
          </w:p>
        </w:tc>
        <w:tc>
          <w:tcPr>
            <w:tcW w:w="840" w:type="dxa"/>
            <w:vAlign w:val="bottom"/>
          </w:tcPr>
          <w:p>
            <w:pPr>
              <w:jc w:val="right"/>
              <w:spacing w:after="0"/>
              <w:rPr>
                <w:sz w:val="20"/>
                <w:szCs w:val="20"/>
                <w:color w:val="auto"/>
              </w:rPr>
            </w:pPr>
            <w:r>
              <w:rPr>
                <w:rFonts w:ascii="Arial" w:cs="Arial" w:eastAsia="Arial" w:hAnsi="Arial"/>
                <w:sz w:val="14"/>
                <w:szCs w:val="14"/>
                <w:color w:val="001641"/>
              </w:rPr>
              <w:t>24.2</w:t>
            </w: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001641"/>
              </w:rPr>
              <w:t>24.2</w:t>
            </w:r>
          </w:p>
        </w:tc>
        <w:tc>
          <w:tcPr>
            <w:tcW w:w="900" w:type="dxa"/>
            <w:vAlign w:val="bottom"/>
          </w:tcPr>
          <w:p>
            <w:pPr>
              <w:jc w:val="right"/>
              <w:ind w:right="48"/>
              <w:spacing w:after="0"/>
              <w:rPr>
                <w:sz w:val="20"/>
                <w:szCs w:val="20"/>
                <w:color w:val="auto"/>
              </w:rPr>
            </w:pPr>
            <w:r>
              <w:rPr>
                <w:rFonts w:ascii="Arial" w:cs="Arial" w:eastAsia="Arial" w:hAnsi="Arial"/>
                <w:sz w:val="14"/>
                <w:szCs w:val="14"/>
                <w:color w:val="001641"/>
              </w:rPr>
              <w:t>—</w:t>
            </w:r>
          </w:p>
        </w:tc>
        <w:tc>
          <w:tcPr>
            <w:tcW w:w="720" w:type="dxa"/>
            <w:vAlign w:val="bottom"/>
          </w:tcPr>
          <w:p>
            <w:pPr>
              <w:jc w:val="right"/>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4040" w:type="dxa"/>
            <w:vAlign w:val="bottom"/>
            <w:tcBorders>
              <w:bottom w:val="single" w:sz="8" w:color="BFA071"/>
            </w:tcBorders>
          </w:tcPr>
          <w:p>
            <w:pPr>
              <w:spacing w:after="0" w:line="20" w:lineRule="exact"/>
              <w:rPr>
                <w:sz w:val="1"/>
                <w:szCs w:val="1"/>
                <w:color w:val="auto"/>
              </w:rPr>
            </w:pPr>
          </w:p>
        </w:tc>
        <w:tc>
          <w:tcPr>
            <w:tcW w:w="8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320" w:type="dxa"/>
            <w:vAlign w:val="bottom"/>
            <w:tcBorders>
              <w:bottom w:val="single" w:sz="8" w:color="BFA071"/>
            </w:tcBorders>
          </w:tcPr>
          <w:p>
            <w:pPr>
              <w:spacing w:after="0" w:line="20" w:lineRule="exact"/>
              <w:rPr>
                <w:sz w:val="1"/>
                <w:szCs w:val="1"/>
                <w:color w:val="auto"/>
              </w:rPr>
            </w:pPr>
          </w:p>
        </w:tc>
        <w:tc>
          <w:tcPr>
            <w:tcW w:w="56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72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4040" w:type="dxa"/>
            <w:vAlign w:val="bottom"/>
          </w:tcPr>
          <w:p>
            <w:pPr>
              <w:ind w:left="240"/>
              <w:spacing w:after="0"/>
              <w:rPr>
                <w:sz w:val="20"/>
                <w:szCs w:val="20"/>
                <w:color w:val="auto"/>
              </w:rPr>
            </w:pPr>
            <w:r>
              <w:rPr>
                <w:rFonts w:ascii="Arial" w:cs="Arial" w:eastAsia="Arial" w:hAnsi="Arial"/>
                <w:sz w:val="14"/>
                <w:szCs w:val="14"/>
                <w:color w:val="001641"/>
              </w:rPr>
              <w:t>Proceeds from Interchange Case Settlements</w:t>
            </w:r>
          </w:p>
        </w:tc>
        <w:tc>
          <w:tcPr>
            <w:tcW w:w="840" w:type="dxa"/>
            <w:vAlign w:val="bottom"/>
          </w:tcPr>
          <w:p>
            <w:pPr>
              <w:jc w:val="right"/>
              <w:spacing w:after="0"/>
              <w:rPr>
                <w:sz w:val="20"/>
                <w:szCs w:val="20"/>
                <w:color w:val="auto"/>
              </w:rPr>
            </w:pPr>
            <w:r>
              <w:rPr>
                <w:rFonts w:ascii="Arial" w:cs="Arial" w:eastAsia="Arial" w:hAnsi="Arial"/>
                <w:sz w:val="14"/>
                <w:szCs w:val="14"/>
                <w:color w:val="001641"/>
              </w:rPr>
              <w:t>(24.2)</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001641"/>
              </w:rPr>
              <w:t>(24.2)</w:t>
            </w:r>
          </w:p>
        </w:tc>
        <w:tc>
          <w:tcPr>
            <w:tcW w:w="900" w:type="dxa"/>
            <w:vAlign w:val="bottom"/>
          </w:tcPr>
          <w:p>
            <w:pPr>
              <w:jc w:val="right"/>
              <w:ind w:right="48"/>
              <w:spacing w:after="0"/>
              <w:rPr>
                <w:sz w:val="20"/>
                <w:szCs w:val="20"/>
                <w:color w:val="auto"/>
              </w:rPr>
            </w:pPr>
            <w:r>
              <w:rPr>
                <w:rFonts w:ascii="Arial" w:cs="Arial" w:eastAsia="Arial" w:hAnsi="Arial"/>
                <w:sz w:val="14"/>
                <w:szCs w:val="14"/>
                <w:color w:val="001641"/>
              </w:rPr>
              <w:t>—</w:t>
            </w:r>
          </w:p>
        </w:tc>
        <w:tc>
          <w:tcPr>
            <w:tcW w:w="720" w:type="dxa"/>
            <w:vAlign w:val="bottom"/>
          </w:tcPr>
          <w:p>
            <w:pPr>
              <w:jc w:val="right"/>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4040" w:type="dxa"/>
            <w:vAlign w:val="bottom"/>
            <w:tcBorders>
              <w:bottom w:val="single" w:sz="8" w:color="BFA071"/>
            </w:tcBorders>
          </w:tcPr>
          <w:p>
            <w:pPr>
              <w:spacing w:after="0" w:line="20" w:lineRule="exact"/>
              <w:rPr>
                <w:sz w:val="1"/>
                <w:szCs w:val="1"/>
                <w:color w:val="auto"/>
              </w:rPr>
            </w:pPr>
          </w:p>
        </w:tc>
        <w:tc>
          <w:tcPr>
            <w:tcW w:w="8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320" w:type="dxa"/>
            <w:vAlign w:val="bottom"/>
            <w:tcBorders>
              <w:bottom w:val="single" w:sz="8" w:color="BFA071"/>
            </w:tcBorders>
          </w:tcPr>
          <w:p>
            <w:pPr>
              <w:spacing w:after="0" w:line="20" w:lineRule="exact"/>
              <w:rPr>
                <w:sz w:val="1"/>
                <w:szCs w:val="1"/>
                <w:color w:val="auto"/>
              </w:rPr>
            </w:pPr>
          </w:p>
        </w:tc>
        <w:tc>
          <w:tcPr>
            <w:tcW w:w="56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72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4040" w:type="dxa"/>
            <w:vAlign w:val="bottom"/>
          </w:tcPr>
          <w:p>
            <w:pPr>
              <w:ind w:left="240"/>
              <w:spacing w:after="0"/>
              <w:rPr>
                <w:sz w:val="20"/>
                <w:szCs w:val="20"/>
                <w:color w:val="auto"/>
              </w:rPr>
            </w:pPr>
            <w:r>
              <w:rPr>
                <w:rFonts w:ascii="Arial" w:cs="Arial" w:eastAsia="Arial" w:hAnsi="Arial"/>
                <w:sz w:val="14"/>
                <w:szCs w:val="14"/>
                <w:color w:val="001641"/>
              </w:rPr>
              <w:t>Cease-use rent and occupancy expenses</w:t>
            </w:r>
          </w:p>
        </w:tc>
        <w:tc>
          <w:tcPr>
            <w:tcW w:w="840" w:type="dxa"/>
            <w:vAlign w:val="bottom"/>
          </w:tcPr>
          <w:p>
            <w:pPr>
              <w:jc w:val="right"/>
              <w:spacing w:after="0"/>
              <w:rPr>
                <w:sz w:val="20"/>
                <w:szCs w:val="20"/>
                <w:color w:val="auto"/>
              </w:rPr>
            </w:pPr>
            <w:r>
              <w:rPr>
                <w:rFonts w:ascii="Arial" w:cs="Arial" w:eastAsia="Arial" w:hAnsi="Arial"/>
                <w:sz w:val="14"/>
                <w:szCs w:val="14"/>
                <w:color w:val="001641"/>
              </w:rPr>
              <w:t>8.3</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001641"/>
              </w:rPr>
              <w:t>8.3</w:t>
            </w:r>
          </w:p>
        </w:tc>
        <w:tc>
          <w:tcPr>
            <w:tcW w:w="900" w:type="dxa"/>
            <w:vAlign w:val="bottom"/>
          </w:tcPr>
          <w:p>
            <w:pPr>
              <w:jc w:val="right"/>
              <w:ind w:right="48"/>
              <w:spacing w:after="0"/>
              <w:rPr>
                <w:sz w:val="20"/>
                <w:szCs w:val="20"/>
                <w:color w:val="auto"/>
              </w:rPr>
            </w:pPr>
            <w:r>
              <w:rPr>
                <w:rFonts w:ascii="Arial" w:cs="Arial" w:eastAsia="Arial" w:hAnsi="Arial"/>
                <w:sz w:val="14"/>
                <w:szCs w:val="14"/>
                <w:color w:val="001641"/>
              </w:rPr>
              <w:t>—</w:t>
            </w:r>
          </w:p>
        </w:tc>
        <w:tc>
          <w:tcPr>
            <w:tcW w:w="720" w:type="dxa"/>
            <w:vAlign w:val="bottom"/>
          </w:tcPr>
          <w:p>
            <w:pPr>
              <w:jc w:val="right"/>
              <w:spacing w:after="0"/>
              <w:rPr>
                <w:sz w:val="20"/>
                <w:szCs w:val="20"/>
                <w:color w:val="auto"/>
              </w:rPr>
            </w:pPr>
            <w:r>
              <w:rPr>
                <w:rFonts w:ascii="Arial" w:cs="Arial" w:eastAsia="Arial" w:hAnsi="Arial"/>
                <w:sz w:val="14"/>
                <w:szCs w:val="14"/>
                <w:color w:val="001641"/>
              </w:rPr>
              <w:t>2.6</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4040" w:type="dxa"/>
            <w:vAlign w:val="bottom"/>
            <w:tcBorders>
              <w:bottom w:val="single" w:sz="8" w:color="BFA071"/>
            </w:tcBorders>
          </w:tcPr>
          <w:p>
            <w:pPr>
              <w:spacing w:after="0" w:line="20" w:lineRule="exact"/>
              <w:rPr>
                <w:sz w:val="1"/>
                <w:szCs w:val="1"/>
                <w:color w:val="auto"/>
              </w:rPr>
            </w:pPr>
          </w:p>
        </w:tc>
        <w:tc>
          <w:tcPr>
            <w:tcW w:w="8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320" w:type="dxa"/>
            <w:vAlign w:val="bottom"/>
            <w:tcBorders>
              <w:bottom w:val="single" w:sz="8" w:color="BFA071"/>
            </w:tcBorders>
          </w:tcPr>
          <w:p>
            <w:pPr>
              <w:spacing w:after="0" w:line="20" w:lineRule="exact"/>
              <w:rPr>
                <w:sz w:val="1"/>
                <w:szCs w:val="1"/>
                <w:color w:val="auto"/>
              </w:rPr>
            </w:pPr>
          </w:p>
        </w:tc>
        <w:tc>
          <w:tcPr>
            <w:tcW w:w="56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72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4040" w:type="dxa"/>
            <w:vAlign w:val="bottom"/>
          </w:tcPr>
          <w:p>
            <w:pPr>
              <w:ind w:left="240"/>
              <w:spacing w:after="0"/>
              <w:rPr>
                <w:sz w:val="20"/>
                <w:szCs w:val="20"/>
                <w:color w:val="auto"/>
              </w:rPr>
            </w:pPr>
            <w:r>
              <w:rPr>
                <w:rFonts w:ascii="Arial" w:cs="Arial" w:eastAsia="Arial" w:hAnsi="Arial"/>
                <w:sz w:val="14"/>
                <w:szCs w:val="14"/>
                <w:color w:val="001641"/>
              </w:rPr>
              <w:t>Charitable donation related to Club Monaco sale</w:t>
            </w:r>
          </w:p>
        </w:tc>
        <w:tc>
          <w:tcPr>
            <w:tcW w:w="840" w:type="dxa"/>
            <w:vAlign w:val="bottom"/>
          </w:tcPr>
          <w:p>
            <w:pPr>
              <w:jc w:val="right"/>
              <w:spacing w:after="0"/>
              <w:rPr>
                <w:sz w:val="20"/>
                <w:szCs w:val="20"/>
                <w:color w:val="auto"/>
              </w:rPr>
            </w:pPr>
            <w:r>
              <w:rPr>
                <w:rFonts w:ascii="Arial" w:cs="Arial" w:eastAsia="Arial" w:hAnsi="Arial"/>
                <w:sz w:val="14"/>
                <w:szCs w:val="14"/>
                <w:color w:val="001641"/>
              </w:rPr>
              <w:t>2.1</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001641"/>
              </w:rPr>
              <w:t>2.1</w:t>
            </w:r>
          </w:p>
        </w:tc>
        <w:tc>
          <w:tcPr>
            <w:tcW w:w="900" w:type="dxa"/>
            <w:vAlign w:val="bottom"/>
          </w:tcPr>
          <w:p>
            <w:pPr>
              <w:jc w:val="right"/>
              <w:ind w:right="48"/>
              <w:spacing w:after="0"/>
              <w:rPr>
                <w:sz w:val="20"/>
                <w:szCs w:val="20"/>
                <w:color w:val="auto"/>
              </w:rPr>
            </w:pPr>
            <w:r>
              <w:rPr>
                <w:rFonts w:ascii="Arial" w:cs="Arial" w:eastAsia="Arial" w:hAnsi="Arial"/>
                <w:sz w:val="14"/>
                <w:szCs w:val="14"/>
                <w:color w:val="001641"/>
              </w:rPr>
              <w:t>—</w:t>
            </w:r>
          </w:p>
        </w:tc>
        <w:tc>
          <w:tcPr>
            <w:tcW w:w="720" w:type="dxa"/>
            <w:vAlign w:val="bottom"/>
          </w:tcPr>
          <w:p>
            <w:pPr>
              <w:jc w:val="right"/>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4040" w:type="dxa"/>
            <w:vAlign w:val="bottom"/>
            <w:tcBorders>
              <w:bottom w:val="single" w:sz="8" w:color="BFA071"/>
            </w:tcBorders>
          </w:tcPr>
          <w:p>
            <w:pPr>
              <w:spacing w:after="0" w:line="20" w:lineRule="exact"/>
              <w:rPr>
                <w:sz w:val="1"/>
                <w:szCs w:val="1"/>
                <w:color w:val="auto"/>
              </w:rPr>
            </w:pPr>
          </w:p>
        </w:tc>
        <w:tc>
          <w:tcPr>
            <w:tcW w:w="8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320" w:type="dxa"/>
            <w:vAlign w:val="bottom"/>
            <w:tcBorders>
              <w:bottom w:val="single" w:sz="8" w:color="BFA071"/>
            </w:tcBorders>
          </w:tcPr>
          <w:p>
            <w:pPr>
              <w:spacing w:after="0" w:line="20" w:lineRule="exact"/>
              <w:rPr>
                <w:sz w:val="1"/>
                <w:szCs w:val="1"/>
                <w:color w:val="auto"/>
              </w:rPr>
            </w:pPr>
          </w:p>
        </w:tc>
        <w:tc>
          <w:tcPr>
            <w:tcW w:w="56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72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4040" w:type="dxa"/>
            <w:vAlign w:val="bottom"/>
          </w:tcPr>
          <w:p>
            <w:pPr>
              <w:ind w:left="240"/>
              <w:spacing w:after="0"/>
              <w:rPr>
                <w:sz w:val="20"/>
                <w:szCs w:val="20"/>
                <w:color w:val="auto"/>
              </w:rPr>
            </w:pPr>
            <w:r>
              <w:rPr>
                <w:rFonts w:ascii="Arial" w:cs="Arial" w:eastAsia="Arial" w:hAnsi="Arial"/>
                <w:sz w:val="14"/>
                <w:szCs w:val="14"/>
                <w:color w:val="001641"/>
              </w:rPr>
              <w:t>Club Monaco sale consideration from Regent, L.P.</w:t>
            </w:r>
          </w:p>
        </w:tc>
        <w:tc>
          <w:tcPr>
            <w:tcW w:w="840" w:type="dxa"/>
            <w:vAlign w:val="bottom"/>
          </w:tcPr>
          <w:p>
            <w:pPr>
              <w:jc w:val="right"/>
              <w:spacing w:after="0"/>
              <w:rPr>
                <w:sz w:val="20"/>
                <w:szCs w:val="20"/>
                <w:color w:val="auto"/>
              </w:rPr>
            </w:pPr>
            <w:r>
              <w:rPr>
                <w:rFonts w:ascii="Arial" w:cs="Arial" w:eastAsia="Arial" w:hAnsi="Arial"/>
                <w:sz w:val="14"/>
                <w:szCs w:val="14"/>
                <w:color w:val="001641"/>
              </w:rPr>
              <w:t>(2.1)</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001641"/>
              </w:rPr>
              <w:t>(2.1)</w:t>
            </w:r>
          </w:p>
        </w:tc>
        <w:tc>
          <w:tcPr>
            <w:tcW w:w="900" w:type="dxa"/>
            <w:vAlign w:val="bottom"/>
          </w:tcPr>
          <w:p>
            <w:pPr>
              <w:jc w:val="right"/>
              <w:ind w:right="48"/>
              <w:spacing w:after="0"/>
              <w:rPr>
                <w:sz w:val="20"/>
                <w:szCs w:val="20"/>
                <w:color w:val="auto"/>
              </w:rPr>
            </w:pPr>
            <w:r>
              <w:rPr>
                <w:rFonts w:ascii="Arial" w:cs="Arial" w:eastAsia="Arial" w:hAnsi="Arial"/>
                <w:sz w:val="14"/>
                <w:szCs w:val="14"/>
                <w:color w:val="001641"/>
              </w:rPr>
              <w:t>—</w:t>
            </w:r>
          </w:p>
        </w:tc>
        <w:tc>
          <w:tcPr>
            <w:tcW w:w="720" w:type="dxa"/>
            <w:vAlign w:val="bottom"/>
          </w:tcPr>
          <w:p>
            <w:pPr>
              <w:jc w:val="right"/>
              <w:spacing w:after="0"/>
              <w:rPr>
                <w:sz w:val="20"/>
                <w:szCs w:val="20"/>
                <w:color w:val="auto"/>
              </w:rPr>
            </w:pPr>
            <w:r>
              <w:rPr>
                <w:rFonts w:ascii="Arial" w:cs="Arial" w:eastAsia="Arial" w:hAnsi="Arial"/>
                <w:sz w:val="14"/>
                <w:szCs w:val="14"/>
                <w:color w:val="001641"/>
              </w:rPr>
              <w:t>—</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4040" w:type="dxa"/>
            <w:vAlign w:val="bottom"/>
            <w:tcBorders>
              <w:bottom w:val="single" w:sz="8" w:color="BFA071"/>
            </w:tcBorders>
          </w:tcPr>
          <w:p>
            <w:pPr>
              <w:spacing w:after="0" w:line="20" w:lineRule="exact"/>
              <w:rPr>
                <w:sz w:val="1"/>
                <w:szCs w:val="1"/>
                <w:color w:val="auto"/>
              </w:rPr>
            </w:pPr>
          </w:p>
        </w:tc>
        <w:tc>
          <w:tcPr>
            <w:tcW w:w="8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320" w:type="dxa"/>
            <w:vAlign w:val="bottom"/>
            <w:tcBorders>
              <w:bottom w:val="single" w:sz="8" w:color="BFA071"/>
            </w:tcBorders>
          </w:tcPr>
          <w:p>
            <w:pPr>
              <w:spacing w:after="0" w:line="20" w:lineRule="exact"/>
              <w:rPr>
                <w:sz w:val="1"/>
                <w:szCs w:val="1"/>
                <w:color w:val="auto"/>
              </w:rPr>
            </w:pPr>
          </w:p>
        </w:tc>
        <w:tc>
          <w:tcPr>
            <w:tcW w:w="56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72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040" w:type="dxa"/>
            <w:vAlign w:val="bottom"/>
            <w:tcBorders>
              <w:bottom w:val="single" w:sz="8" w:color="BFA071"/>
            </w:tcBorders>
          </w:tcPr>
          <w:p>
            <w:pPr>
              <w:ind w:left="240"/>
              <w:spacing w:after="0" w:line="250" w:lineRule="exact"/>
              <w:rPr>
                <w:sz w:val="20"/>
                <w:szCs w:val="20"/>
                <w:color w:val="auto"/>
              </w:rPr>
            </w:pPr>
            <w:r>
              <w:rPr>
                <w:rFonts w:ascii="Arial" w:cs="Arial" w:eastAsia="Arial" w:hAnsi="Arial"/>
                <w:sz w:val="14"/>
                <w:szCs w:val="14"/>
                <w:color w:val="001641"/>
              </w:rPr>
              <w:t>Tax effects of operating income adjustments</w:t>
            </w:r>
            <w:r>
              <w:rPr>
                <w:rFonts w:ascii="Arial" w:cs="Arial" w:eastAsia="Arial" w:hAnsi="Arial"/>
                <w:sz w:val="23"/>
                <w:szCs w:val="23"/>
                <w:color w:val="001641"/>
                <w:vertAlign w:val="superscript"/>
              </w:rPr>
              <w:t>(4)</w:t>
            </w:r>
          </w:p>
        </w:tc>
        <w:tc>
          <w:tcPr>
            <w:tcW w:w="840" w:type="dxa"/>
            <w:vAlign w:val="bottom"/>
            <w:tcBorders>
              <w:bottom w:val="single" w:sz="8" w:color="BFA071"/>
            </w:tcBorders>
          </w:tcPr>
          <w:p>
            <w:pPr>
              <w:jc w:val="right"/>
              <w:spacing w:after="0"/>
              <w:rPr>
                <w:sz w:val="20"/>
                <w:szCs w:val="20"/>
                <w:color w:val="auto"/>
              </w:rPr>
            </w:pPr>
            <w:r>
              <w:rPr>
                <w:rFonts w:ascii="Arial" w:cs="Arial" w:eastAsia="Arial" w:hAnsi="Arial"/>
                <w:sz w:val="14"/>
                <w:szCs w:val="14"/>
                <w:color w:val="001641"/>
              </w:rPr>
              <w:t>—</w:t>
            </w:r>
          </w:p>
        </w:tc>
        <w:tc>
          <w:tcPr>
            <w:tcW w:w="880" w:type="dxa"/>
            <w:vAlign w:val="bottom"/>
            <w:tcBorders>
              <w:bottom w:val="single" w:sz="8" w:color="BFA071"/>
            </w:tcBorders>
          </w:tcPr>
          <w:p>
            <w:pPr>
              <w:spacing w:after="0"/>
              <w:rPr>
                <w:sz w:val="21"/>
                <w:szCs w:val="21"/>
                <w:color w:val="auto"/>
              </w:rPr>
            </w:pPr>
          </w:p>
        </w:tc>
        <w:tc>
          <w:tcPr>
            <w:tcW w:w="320" w:type="dxa"/>
            <w:vAlign w:val="bottom"/>
            <w:tcBorders>
              <w:bottom w:val="single" w:sz="8" w:color="BFA071"/>
            </w:tcBorders>
          </w:tcPr>
          <w:p>
            <w:pPr>
              <w:spacing w:after="0"/>
              <w:rPr>
                <w:sz w:val="21"/>
                <w:szCs w:val="21"/>
                <w:color w:val="auto"/>
              </w:rPr>
            </w:pPr>
          </w:p>
        </w:tc>
        <w:tc>
          <w:tcPr>
            <w:tcW w:w="560" w:type="dxa"/>
            <w:vAlign w:val="bottom"/>
            <w:tcBorders>
              <w:bottom w:val="single" w:sz="8" w:color="BFA071"/>
            </w:tcBorders>
          </w:tcPr>
          <w:p>
            <w:pPr>
              <w:jc w:val="right"/>
              <w:spacing w:after="0"/>
              <w:rPr>
                <w:sz w:val="20"/>
                <w:szCs w:val="20"/>
                <w:color w:val="auto"/>
              </w:rPr>
            </w:pPr>
            <w:r>
              <w:rPr>
                <w:rFonts w:ascii="Arial" w:cs="Arial" w:eastAsia="Arial" w:hAnsi="Arial"/>
                <w:sz w:val="14"/>
                <w:szCs w:val="14"/>
                <w:color w:val="001641"/>
              </w:rPr>
              <w:t>(26.0)</w:t>
            </w:r>
          </w:p>
        </w:tc>
        <w:tc>
          <w:tcPr>
            <w:tcW w:w="900" w:type="dxa"/>
            <w:vAlign w:val="bottom"/>
            <w:tcBorders>
              <w:bottom w:val="single" w:sz="8" w:color="BFA071"/>
            </w:tcBorders>
          </w:tcPr>
          <w:p>
            <w:pPr>
              <w:jc w:val="right"/>
              <w:ind w:right="48"/>
              <w:spacing w:after="0"/>
              <w:rPr>
                <w:sz w:val="20"/>
                <w:szCs w:val="20"/>
                <w:color w:val="auto"/>
              </w:rPr>
            </w:pPr>
            <w:r>
              <w:rPr>
                <w:rFonts w:ascii="Arial" w:cs="Arial" w:eastAsia="Arial" w:hAnsi="Arial"/>
                <w:sz w:val="14"/>
                <w:szCs w:val="14"/>
                <w:color w:val="001641"/>
              </w:rPr>
              <w:t>—</w:t>
            </w:r>
          </w:p>
        </w:tc>
        <w:tc>
          <w:tcPr>
            <w:tcW w:w="720" w:type="dxa"/>
            <w:vAlign w:val="bottom"/>
            <w:tcBorders>
              <w:bottom w:val="single" w:sz="8" w:color="BFA071"/>
            </w:tcBorders>
          </w:tcPr>
          <w:p>
            <w:pPr>
              <w:jc w:val="right"/>
              <w:spacing w:after="0"/>
              <w:rPr>
                <w:sz w:val="20"/>
                <w:szCs w:val="20"/>
                <w:color w:val="auto"/>
              </w:rPr>
            </w:pPr>
            <w:r>
              <w:rPr>
                <w:rFonts w:ascii="Arial" w:cs="Arial" w:eastAsia="Arial" w:hAnsi="Arial"/>
                <w:sz w:val="14"/>
                <w:szCs w:val="14"/>
                <w:color w:val="001641"/>
              </w:rPr>
              <w:t>—</w:t>
            </w:r>
          </w:p>
        </w:tc>
        <w:tc>
          <w:tcPr>
            <w:tcW w:w="920" w:type="dxa"/>
            <w:vAlign w:val="bottom"/>
            <w:tcBorders>
              <w:bottom w:val="single" w:sz="8" w:color="BFA071"/>
            </w:tcBorders>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4040" w:type="dxa"/>
            <w:vAlign w:val="bottom"/>
          </w:tcPr>
          <w:p>
            <w:pPr>
              <w:ind w:left="60"/>
              <w:spacing w:after="0"/>
              <w:rPr>
                <w:sz w:val="20"/>
                <w:szCs w:val="20"/>
                <w:color w:val="auto"/>
              </w:rPr>
            </w:pPr>
            <w:r>
              <w:rPr>
                <w:rFonts w:ascii="Arial" w:cs="Arial" w:eastAsia="Arial" w:hAnsi="Arial"/>
                <w:sz w:val="14"/>
                <w:szCs w:val="14"/>
                <w:color w:val="001641"/>
              </w:rPr>
              <w:t>As adjusted in reported currency</w:t>
            </w:r>
          </w:p>
        </w:tc>
        <w:tc>
          <w:tcPr>
            <w:tcW w:w="840" w:type="dxa"/>
            <w:vAlign w:val="bottom"/>
          </w:tcPr>
          <w:p>
            <w:pPr>
              <w:jc w:val="right"/>
              <w:spacing w:after="0"/>
              <w:rPr>
                <w:sz w:val="20"/>
                <w:szCs w:val="20"/>
                <w:color w:val="auto"/>
              </w:rPr>
            </w:pPr>
            <w:r>
              <w:rPr>
                <w:rFonts w:ascii="Arial" w:cs="Arial" w:eastAsia="Arial" w:hAnsi="Arial"/>
                <w:sz w:val="14"/>
                <w:szCs w:val="14"/>
                <w:color w:val="001641"/>
              </w:rPr>
              <w:t>$1,297.3</w:t>
            </w:r>
          </w:p>
        </w:tc>
        <w:tc>
          <w:tcPr>
            <w:tcW w:w="880" w:type="dxa"/>
            <w:vAlign w:val="bottom"/>
          </w:tcPr>
          <w:p>
            <w:pPr>
              <w:jc w:val="right"/>
              <w:spacing w:after="0"/>
              <w:rPr>
                <w:sz w:val="20"/>
                <w:szCs w:val="20"/>
                <w:color w:val="auto"/>
              </w:rPr>
            </w:pPr>
            <w:r>
              <w:rPr>
                <w:rFonts w:ascii="Arial" w:cs="Arial" w:eastAsia="Arial" w:hAnsi="Arial"/>
                <w:sz w:val="14"/>
                <w:szCs w:val="14"/>
                <w:color w:val="001641"/>
              </w:rPr>
              <w:t>16.0%</w:t>
            </w:r>
          </w:p>
        </w:tc>
        <w:tc>
          <w:tcPr>
            <w:tcW w:w="880" w:type="dxa"/>
            <w:vAlign w:val="bottom"/>
            <w:gridSpan w:val="2"/>
          </w:tcPr>
          <w:p>
            <w:pPr>
              <w:jc w:val="right"/>
              <w:ind w:right="28"/>
              <w:spacing w:after="0"/>
              <w:rPr>
                <w:sz w:val="20"/>
                <w:szCs w:val="20"/>
                <w:color w:val="auto"/>
              </w:rPr>
            </w:pPr>
            <w:r>
              <w:rPr>
                <w:rFonts w:ascii="Arial" w:cs="Arial" w:eastAsia="Arial" w:hAnsi="Arial"/>
                <w:sz w:val="14"/>
                <w:szCs w:val="14"/>
                <w:color w:val="001641"/>
              </w:rPr>
              <w:t>$1,033.2</w:t>
            </w:r>
          </w:p>
        </w:tc>
        <w:tc>
          <w:tcPr>
            <w:tcW w:w="900" w:type="dxa"/>
            <w:vAlign w:val="bottom"/>
          </w:tcPr>
          <w:p>
            <w:pPr>
              <w:jc w:val="right"/>
              <w:ind w:right="48"/>
              <w:spacing w:after="0"/>
              <w:rPr>
                <w:sz w:val="20"/>
                <w:szCs w:val="20"/>
                <w:color w:val="auto"/>
              </w:rPr>
            </w:pPr>
            <w:r>
              <w:rPr>
                <w:rFonts w:ascii="Arial" w:cs="Arial" w:eastAsia="Arial" w:hAnsi="Arial"/>
                <w:sz w:val="14"/>
                <w:szCs w:val="14"/>
                <w:color w:val="001641"/>
              </w:rPr>
              <w:t>$1,014.3</w:t>
            </w:r>
          </w:p>
        </w:tc>
        <w:tc>
          <w:tcPr>
            <w:tcW w:w="720" w:type="dxa"/>
            <w:vAlign w:val="bottom"/>
          </w:tcPr>
          <w:p>
            <w:pPr>
              <w:jc w:val="right"/>
              <w:spacing w:after="0"/>
              <w:rPr>
                <w:sz w:val="20"/>
                <w:szCs w:val="20"/>
                <w:color w:val="auto"/>
              </w:rPr>
            </w:pPr>
            <w:r>
              <w:rPr>
                <w:rFonts w:ascii="Arial" w:cs="Arial" w:eastAsia="Arial" w:hAnsi="Arial"/>
                <w:sz w:val="14"/>
                <w:szCs w:val="14"/>
                <w:color w:val="001641"/>
              </w:rPr>
              <w:t>$1,073.2</w:t>
            </w:r>
          </w:p>
        </w:tc>
        <w:tc>
          <w:tcPr>
            <w:tcW w:w="920" w:type="dxa"/>
            <w:vAlign w:val="bottom"/>
          </w:tcPr>
          <w:p>
            <w:pPr>
              <w:jc w:val="right"/>
              <w:spacing w:after="0"/>
              <w:rPr>
                <w:sz w:val="20"/>
                <w:szCs w:val="20"/>
                <w:color w:val="auto"/>
              </w:rPr>
            </w:pPr>
            <w:r>
              <w:rPr>
                <w:rFonts w:ascii="Arial" w:cs="Arial" w:eastAsia="Arial" w:hAnsi="Arial"/>
                <w:sz w:val="14"/>
                <w:szCs w:val="14"/>
                <w:color w:val="001641"/>
              </w:rPr>
              <w:t>49.5%</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4040" w:type="dxa"/>
            <w:vAlign w:val="bottom"/>
            <w:tcBorders>
              <w:bottom w:val="single" w:sz="8" w:color="BFA071"/>
            </w:tcBorders>
          </w:tcPr>
          <w:p>
            <w:pPr>
              <w:spacing w:after="0" w:line="20" w:lineRule="exact"/>
              <w:rPr>
                <w:sz w:val="1"/>
                <w:szCs w:val="1"/>
                <w:color w:val="auto"/>
              </w:rPr>
            </w:pPr>
          </w:p>
        </w:tc>
        <w:tc>
          <w:tcPr>
            <w:tcW w:w="8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320" w:type="dxa"/>
            <w:vAlign w:val="bottom"/>
            <w:tcBorders>
              <w:bottom w:val="single" w:sz="8" w:color="BFA071"/>
            </w:tcBorders>
          </w:tcPr>
          <w:p>
            <w:pPr>
              <w:spacing w:after="0" w:line="20" w:lineRule="exact"/>
              <w:rPr>
                <w:sz w:val="1"/>
                <w:szCs w:val="1"/>
                <w:color w:val="auto"/>
              </w:rPr>
            </w:pPr>
          </w:p>
        </w:tc>
        <w:tc>
          <w:tcPr>
            <w:tcW w:w="56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72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4040" w:type="dxa"/>
            <w:vAlign w:val="bottom"/>
          </w:tcPr>
          <w:p>
            <w:pPr>
              <w:ind w:left="60"/>
              <w:spacing w:after="0"/>
              <w:rPr>
                <w:sz w:val="20"/>
                <w:szCs w:val="20"/>
                <w:color w:val="auto"/>
              </w:rPr>
            </w:pPr>
            <w:r>
              <w:rPr>
                <w:rFonts w:ascii="Arial" w:cs="Arial" w:eastAsia="Arial" w:hAnsi="Arial"/>
                <w:sz w:val="14"/>
                <w:szCs w:val="14"/>
                <w:color w:val="001641"/>
              </w:rPr>
              <w:t>Foreign currency impact</w:t>
            </w:r>
          </w:p>
        </w:tc>
        <w:tc>
          <w:tcPr>
            <w:tcW w:w="840" w:type="dxa"/>
            <w:vAlign w:val="bottom"/>
          </w:tcPr>
          <w:p>
            <w:pPr>
              <w:jc w:val="right"/>
              <w:spacing w:after="0"/>
              <w:rPr>
                <w:sz w:val="20"/>
                <w:szCs w:val="20"/>
                <w:color w:val="auto"/>
              </w:rPr>
            </w:pPr>
            <w:r>
              <w:rPr>
                <w:rFonts w:ascii="Arial" w:cs="Arial" w:eastAsia="Arial" w:hAnsi="Arial"/>
                <w:sz w:val="14"/>
                <w:szCs w:val="14"/>
                <w:color w:val="001641"/>
              </w:rPr>
              <w:t>(81.8)</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4040" w:type="dxa"/>
            <w:vAlign w:val="bottom"/>
            <w:tcBorders>
              <w:bottom w:val="single" w:sz="8" w:color="BFA071"/>
            </w:tcBorders>
          </w:tcPr>
          <w:p>
            <w:pPr>
              <w:spacing w:after="0" w:line="20" w:lineRule="exact"/>
              <w:rPr>
                <w:sz w:val="1"/>
                <w:szCs w:val="1"/>
                <w:color w:val="auto"/>
              </w:rPr>
            </w:pPr>
          </w:p>
        </w:tc>
        <w:tc>
          <w:tcPr>
            <w:tcW w:w="8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320" w:type="dxa"/>
            <w:vAlign w:val="bottom"/>
            <w:tcBorders>
              <w:bottom w:val="single" w:sz="8" w:color="BFA071"/>
            </w:tcBorders>
          </w:tcPr>
          <w:p>
            <w:pPr>
              <w:spacing w:after="0" w:line="20" w:lineRule="exact"/>
              <w:rPr>
                <w:sz w:val="1"/>
                <w:szCs w:val="1"/>
                <w:color w:val="auto"/>
              </w:rPr>
            </w:pPr>
          </w:p>
        </w:tc>
        <w:tc>
          <w:tcPr>
            <w:tcW w:w="56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72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4040" w:type="dxa"/>
            <w:vAlign w:val="bottom"/>
          </w:tcPr>
          <w:p>
            <w:pPr>
              <w:ind w:left="60"/>
              <w:spacing w:after="0"/>
              <w:rPr>
                <w:sz w:val="20"/>
                <w:szCs w:val="20"/>
                <w:color w:val="auto"/>
              </w:rPr>
            </w:pPr>
            <w:r>
              <w:rPr>
                <w:rFonts w:ascii="Arial" w:cs="Arial" w:eastAsia="Arial" w:hAnsi="Arial"/>
                <w:sz w:val="14"/>
                <w:szCs w:val="14"/>
                <w:color w:val="001641"/>
              </w:rPr>
              <w:t>As adjusted in constant currency</w:t>
            </w:r>
          </w:p>
        </w:tc>
        <w:tc>
          <w:tcPr>
            <w:tcW w:w="840" w:type="dxa"/>
            <w:vAlign w:val="bottom"/>
          </w:tcPr>
          <w:p>
            <w:pPr>
              <w:jc w:val="right"/>
              <w:spacing w:after="0"/>
              <w:rPr>
                <w:sz w:val="20"/>
                <w:szCs w:val="20"/>
                <w:color w:val="auto"/>
              </w:rPr>
            </w:pPr>
            <w:r>
              <w:rPr>
                <w:rFonts w:ascii="Arial" w:cs="Arial" w:eastAsia="Arial" w:hAnsi="Arial"/>
                <w:sz w:val="14"/>
                <w:szCs w:val="14"/>
                <w:color w:val="001641"/>
              </w:rPr>
              <w:t>$1,215.5</w:t>
            </w:r>
          </w:p>
        </w:tc>
        <w:tc>
          <w:tcPr>
            <w:tcW w:w="880" w:type="dxa"/>
            <w:vAlign w:val="bottom"/>
          </w:tcPr>
          <w:p>
            <w:pPr>
              <w:jc w:val="right"/>
              <w:spacing w:after="0"/>
              <w:rPr>
                <w:sz w:val="20"/>
                <w:szCs w:val="20"/>
                <w:color w:val="auto"/>
              </w:rPr>
            </w:pPr>
            <w:r>
              <w:rPr>
                <w:rFonts w:ascii="Arial" w:cs="Arial" w:eastAsia="Arial" w:hAnsi="Arial"/>
                <w:sz w:val="14"/>
                <w:szCs w:val="14"/>
                <w:color w:val="001641"/>
              </w:rPr>
              <w:t>15.4%</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4040" w:type="dxa"/>
            <w:vAlign w:val="bottom"/>
            <w:tcBorders>
              <w:bottom w:val="single" w:sz="8" w:color="BFA071"/>
            </w:tcBorders>
          </w:tcPr>
          <w:p>
            <w:pPr>
              <w:spacing w:after="0" w:line="20" w:lineRule="exact"/>
              <w:rPr>
                <w:sz w:val="1"/>
                <w:szCs w:val="1"/>
                <w:color w:val="auto"/>
              </w:rPr>
            </w:pPr>
          </w:p>
        </w:tc>
        <w:tc>
          <w:tcPr>
            <w:tcW w:w="8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320" w:type="dxa"/>
            <w:vAlign w:val="bottom"/>
            <w:tcBorders>
              <w:bottom w:val="single" w:sz="8" w:color="BFA071"/>
            </w:tcBorders>
          </w:tcPr>
          <w:p>
            <w:pPr>
              <w:spacing w:after="0" w:line="20" w:lineRule="exact"/>
              <w:rPr>
                <w:sz w:val="1"/>
                <w:szCs w:val="1"/>
                <w:color w:val="auto"/>
              </w:rPr>
            </w:pPr>
          </w:p>
        </w:tc>
        <w:tc>
          <w:tcPr>
            <w:tcW w:w="56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72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4040" w:type="dxa"/>
            <w:vAlign w:val="bottom"/>
          </w:tcPr>
          <w:p>
            <w:pPr>
              <w:ind w:left="60"/>
              <w:spacing w:after="0"/>
              <w:rPr>
                <w:sz w:val="20"/>
                <w:szCs w:val="20"/>
                <w:color w:val="auto"/>
              </w:rPr>
            </w:pPr>
            <w:r>
              <w:rPr>
                <w:rFonts w:ascii="Arial" w:cs="Arial" w:eastAsia="Arial" w:hAnsi="Arial"/>
                <w:sz w:val="14"/>
                <w:szCs w:val="14"/>
                <w:color w:val="001641"/>
              </w:rPr>
              <w:t>Additional adjustments approved by Talent Committee:</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4040" w:type="dxa"/>
            <w:vAlign w:val="bottom"/>
            <w:tcBorders>
              <w:bottom w:val="single" w:sz="8" w:color="BFA071"/>
            </w:tcBorders>
          </w:tcPr>
          <w:p>
            <w:pPr>
              <w:spacing w:after="0" w:line="20" w:lineRule="exact"/>
              <w:rPr>
                <w:sz w:val="1"/>
                <w:szCs w:val="1"/>
                <w:color w:val="auto"/>
              </w:rPr>
            </w:pPr>
          </w:p>
        </w:tc>
        <w:tc>
          <w:tcPr>
            <w:tcW w:w="8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320" w:type="dxa"/>
            <w:vAlign w:val="bottom"/>
            <w:tcBorders>
              <w:bottom w:val="single" w:sz="8" w:color="BFA071"/>
            </w:tcBorders>
          </w:tcPr>
          <w:p>
            <w:pPr>
              <w:spacing w:after="0" w:line="20" w:lineRule="exact"/>
              <w:rPr>
                <w:sz w:val="1"/>
                <w:szCs w:val="1"/>
                <w:color w:val="auto"/>
              </w:rPr>
            </w:pPr>
          </w:p>
        </w:tc>
        <w:tc>
          <w:tcPr>
            <w:tcW w:w="56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720" w:type="dxa"/>
            <w:vAlign w:val="bottom"/>
            <w:tcBorders>
              <w:bottom w:val="single" w:sz="8" w:color="BFA071"/>
            </w:tcBorders>
          </w:tcPr>
          <w:p>
            <w:pPr>
              <w:spacing w:after="0" w:line="20" w:lineRule="exact"/>
              <w:rPr>
                <w:sz w:val="1"/>
                <w:szCs w:val="1"/>
                <w:color w:val="auto"/>
              </w:rPr>
            </w:pPr>
          </w:p>
        </w:tc>
        <w:tc>
          <w:tcPr>
            <w:tcW w:w="92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040" w:type="dxa"/>
            <w:vAlign w:val="bottom"/>
            <w:tcBorders>
              <w:bottom w:val="single" w:sz="8" w:color="BFA071"/>
            </w:tcBorders>
          </w:tcPr>
          <w:p>
            <w:pPr>
              <w:ind w:left="240"/>
              <w:spacing w:after="0" w:line="250" w:lineRule="exact"/>
              <w:rPr>
                <w:sz w:val="20"/>
                <w:szCs w:val="20"/>
                <w:color w:val="auto"/>
              </w:rPr>
            </w:pPr>
            <w:r>
              <w:rPr>
                <w:rFonts w:ascii="Arial" w:cs="Arial" w:eastAsia="Arial" w:hAnsi="Arial"/>
                <w:sz w:val="14"/>
                <w:szCs w:val="14"/>
                <w:color w:val="001641"/>
              </w:rPr>
              <w:t>Strategic goal modifier in constant currency</w:t>
            </w:r>
            <w:r>
              <w:rPr>
                <w:rFonts w:ascii="Arial" w:cs="Arial" w:eastAsia="Arial" w:hAnsi="Arial"/>
                <w:sz w:val="23"/>
                <w:szCs w:val="23"/>
                <w:color w:val="001641"/>
                <w:vertAlign w:val="superscript"/>
              </w:rPr>
              <w:t>(5)</w:t>
            </w:r>
          </w:p>
        </w:tc>
        <w:tc>
          <w:tcPr>
            <w:tcW w:w="840" w:type="dxa"/>
            <w:vAlign w:val="bottom"/>
            <w:tcBorders>
              <w:bottom w:val="single" w:sz="8" w:color="BFA071"/>
            </w:tcBorders>
          </w:tcPr>
          <w:p>
            <w:pPr>
              <w:jc w:val="right"/>
              <w:spacing w:after="0"/>
              <w:rPr>
                <w:sz w:val="20"/>
                <w:szCs w:val="20"/>
                <w:color w:val="auto"/>
              </w:rPr>
            </w:pPr>
            <w:r>
              <w:rPr>
                <w:rFonts w:ascii="Arial" w:cs="Arial" w:eastAsia="Arial" w:hAnsi="Arial"/>
                <w:sz w:val="14"/>
                <w:szCs w:val="14"/>
                <w:color w:val="001641"/>
              </w:rPr>
              <w:t>10.7</w:t>
            </w:r>
          </w:p>
        </w:tc>
        <w:tc>
          <w:tcPr>
            <w:tcW w:w="880" w:type="dxa"/>
            <w:vAlign w:val="bottom"/>
            <w:tcBorders>
              <w:bottom w:val="single" w:sz="8" w:color="BFA071"/>
            </w:tcBorders>
          </w:tcPr>
          <w:p>
            <w:pPr>
              <w:spacing w:after="0"/>
              <w:rPr>
                <w:sz w:val="21"/>
                <w:szCs w:val="21"/>
                <w:color w:val="auto"/>
              </w:rPr>
            </w:pPr>
          </w:p>
        </w:tc>
        <w:tc>
          <w:tcPr>
            <w:tcW w:w="320" w:type="dxa"/>
            <w:vAlign w:val="bottom"/>
            <w:tcBorders>
              <w:bottom w:val="single" w:sz="8" w:color="BFA071"/>
            </w:tcBorders>
          </w:tcPr>
          <w:p>
            <w:pPr>
              <w:spacing w:after="0"/>
              <w:rPr>
                <w:sz w:val="21"/>
                <w:szCs w:val="21"/>
                <w:color w:val="auto"/>
              </w:rPr>
            </w:pPr>
          </w:p>
        </w:tc>
        <w:tc>
          <w:tcPr>
            <w:tcW w:w="560" w:type="dxa"/>
            <w:vAlign w:val="bottom"/>
            <w:tcBorders>
              <w:bottom w:val="single" w:sz="8" w:color="BFA071"/>
            </w:tcBorders>
          </w:tcPr>
          <w:p>
            <w:pPr>
              <w:spacing w:after="0"/>
              <w:rPr>
                <w:sz w:val="21"/>
                <w:szCs w:val="21"/>
                <w:color w:val="auto"/>
              </w:rPr>
            </w:pPr>
          </w:p>
        </w:tc>
        <w:tc>
          <w:tcPr>
            <w:tcW w:w="900" w:type="dxa"/>
            <w:vAlign w:val="bottom"/>
            <w:tcBorders>
              <w:bottom w:val="single" w:sz="8" w:color="BFA071"/>
            </w:tcBorders>
          </w:tcPr>
          <w:p>
            <w:pPr>
              <w:spacing w:after="0"/>
              <w:rPr>
                <w:sz w:val="21"/>
                <w:szCs w:val="21"/>
                <w:color w:val="auto"/>
              </w:rPr>
            </w:pPr>
          </w:p>
        </w:tc>
        <w:tc>
          <w:tcPr>
            <w:tcW w:w="720" w:type="dxa"/>
            <w:vAlign w:val="bottom"/>
            <w:tcBorders>
              <w:bottom w:val="single" w:sz="8" w:color="BFA071"/>
            </w:tcBorders>
          </w:tcPr>
          <w:p>
            <w:pPr>
              <w:spacing w:after="0"/>
              <w:rPr>
                <w:sz w:val="21"/>
                <w:szCs w:val="21"/>
                <w:color w:val="auto"/>
              </w:rPr>
            </w:pPr>
          </w:p>
        </w:tc>
        <w:tc>
          <w:tcPr>
            <w:tcW w:w="920" w:type="dxa"/>
            <w:vAlign w:val="bottom"/>
            <w:tcBorders>
              <w:bottom w:val="single" w:sz="8" w:color="BFA071"/>
            </w:tcBorders>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040" w:type="dxa"/>
            <w:vAlign w:val="bottom"/>
            <w:tcBorders>
              <w:bottom w:val="single" w:sz="8" w:color="001641"/>
            </w:tcBorders>
          </w:tcPr>
          <w:p>
            <w:pPr>
              <w:ind w:left="60"/>
              <w:spacing w:after="0"/>
              <w:rPr>
                <w:sz w:val="20"/>
                <w:szCs w:val="20"/>
                <w:color w:val="auto"/>
              </w:rPr>
            </w:pPr>
            <w:r>
              <w:rPr>
                <w:rFonts w:ascii="Arial" w:cs="Arial" w:eastAsia="Arial" w:hAnsi="Arial"/>
                <w:sz w:val="14"/>
                <w:szCs w:val="14"/>
                <w:color w:val="001641"/>
              </w:rPr>
              <w:t>As adjusted in constant currency before strategic goal modifier</w:t>
            </w:r>
          </w:p>
        </w:tc>
        <w:tc>
          <w:tcPr>
            <w:tcW w:w="840" w:type="dxa"/>
            <w:vAlign w:val="bottom"/>
            <w:tcBorders>
              <w:bottom w:val="single" w:sz="8" w:color="001641"/>
            </w:tcBorders>
          </w:tcPr>
          <w:p>
            <w:pPr>
              <w:jc w:val="right"/>
              <w:spacing w:after="0"/>
              <w:rPr>
                <w:sz w:val="20"/>
                <w:szCs w:val="20"/>
                <w:color w:val="auto"/>
              </w:rPr>
            </w:pPr>
            <w:r>
              <w:rPr>
                <w:rFonts w:ascii="Arial" w:cs="Arial" w:eastAsia="Arial" w:hAnsi="Arial"/>
                <w:sz w:val="14"/>
                <w:szCs w:val="14"/>
                <w:color w:val="001641"/>
              </w:rPr>
              <w:t>$1,226.2</w:t>
            </w:r>
          </w:p>
        </w:tc>
        <w:tc>
          <w:tcPr>
            <w:tcW w:w="880" w:type="dxa"/>
            <w:vAlign w:val="bottom"/>
            <w:tcBorders>
              <w:bottom w:val="single" w:sz="8" w:color="001641"/>
            </w:tcBorders>
          </w:tcPr>
          <w:p>
            <w:pPr>
              <w:jc w:val="right"/>
              <w:spacing w:after="0"/>
              <w:rPr>
                <w:sz w:val="20"/>
                <w:szCs w:val="20"/>
                <w:color w:val="auto"/>
              </w:rPr>
            </w:pPr>
            <w:r>
              <w:rPr>
                <w:rFonts w:ascii="Arial" w:cs="Arial" w:eastAsia="Arial" w:hAnsi="Arial"/>
                <w:sz w:val="14"/>
                <w:szCs w:val="14"/>
                <w:color w:val="001641"/>
              </w:rPr>
              <w:t>15.5%</w:t>
            </w:r>
          </w:p>
        </w:tc>
        <w:tc>
          <w:tcPr>
            <w:tcW w:w="320" w:type="dxa"/>
            <w:vAlign w:val="bottom"/>
            <w:tcBorders>
              <w:bottom w:val="single" w:sz="8" w:color="001641"/>
            </w:tcBorders>
          </w:tcPr>
          <w:p>
            <w:pPr>
              <w:spacing w:after="0"/>
              <w:rPr>
                <w:sz w:val="17"/>
                <w:szCs w:val="17"/>
                <w:color w:val="auto"/>
              </w:rPr>
            </w:pPr>
          </w:p>
        </w:tc>
        <w:tc>
          <w:tcPr>
            <w:tcW w:w="560" w:type="dxa"/>
            <w:vAlign w:val="bottom"/>
            <w:tcBorders>
              <w:bottom w:val="single" w:sz="8" w:color="001641"/>
            </w:tcBorders>
          </w:tcPr>
          <w:p>
            <w:pPr>
              <w:spacing w:after="0"/>
              <w:rPr>
                <w:sz w:val="17"/>
                <w:szCs w:val="17"/>
                <w:color w:val="auto"/>
              </w:rPr>
            </w:pPr>
          </w:p>
        </w:tc>
        <w:tc>
          <w:tcPr>
            <w:tcW w:w="900" w:type="dxa"/>
            <w:vAlign w:val="bottom"/>
            <w:tcBorders>
              <w:bottom w:val="single" w:sz="8" w:color="001641"/>
            </w:tcBorders>
          </w:tcPr>
          <w:p>
            <w:pPr>
              <w:spacing w:after="0"/>
              <w:rPr>
                <w:sz w:val="17"/>
                <w:szCs w:val="17"/>
                <w:color w:val="auto"/>
              </w:rPr>
            </w:pPr>
          </w:p>
        </w:tc>
        <w:tc>
          <w:tcPr>
            <w:tcW w:w="720" w:type="dxa"/>
            <w:vAlign w:val="bottom"/>
            <w:tcBorders>
              <w:bottom w:val="single" w:sz="8" w:color="001641"/>
            </w:tcBorders>
          </w:tcPr>
          <w:p>
            <w:pPr>
              <w:spacing w:after="0"/>
              <w:rPr>
                <w:sz w:val="17"/>
                <w:szCs w:val="17"/>
                <w:color w:val="auto"/>
              </w:rPr>
            </w:pPr>
          </w:p>
        </w:tc>
        <w:tc>
          <w:tcPr>
            <w:tcW w:w="920" w:type="dxa"/>
            <w:vAlign w:val="bottom"/>
            <w:tcBorders>
              <w:bottom w:val="single" w:sz="8" w:color="001641"/>
            </w:tcBorders>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04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92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4"/>
                <w:szCs w:val="14"/>
                <w:b w:val="1"/>
                <w:bCs w:val="1"/>
                <w:color w:val="001641"/>
              </w:rPr>
              <w:t xml:space="preserve">126 </w:t>
            </w:r>
            <w:r>
              <w:rPr>
                <w:rFonts w:ascii="Arial" w:cs="Arial" w:eastAsia="Arial" w:hAnsi="Arial"/>
                <w:sz w:val="14"/>
                <w:szCs w:val="14"/>
                <w:color w:val="808080"/>
              </w:rPr>
              <w:t>Ralph Lauren 2026 Proxy Statement</w:t>
            </w: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808080"/>
              </w:rPr>
              <w:t xml:space="preserve">    </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-3573780</wp:posOffset>
            </wp:positionV>
            <wp:extent cx="322326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-3316605</wp:posOffset>
            </wp:positionV>
            <wp:extent cx="322326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-265430</wp:posOffset>
            </wp:positionV>
            <wp:extent cx="128905" cy="11176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3660" w:type="dxa"/>
            <w:vAlign w:val="bottom"/>
            <w:shd w:val="clear" w:color="auto" w:fill="001641"/>
          </w:tcPr>
          <w:p>
            <w:pPr>
              <w:spacing w:after="0"/>
              <w:rPr>
                <w:sz w:val="24"/>
                <w:szCs w:val="24"/>
                <w:color w:val="auto"/>
              </w:rPr>
            </w:pPr>
          </w:p>
        </w:tc>
        <w:tc>
          <w:tcPr>
            <w:tcW w:w="480" w:type="dxa"/>
            <w:vAlign w:val="bottom"/>
            <w:shd w:val="clear" w:color="auto" w:fill="001641"/>
          </w:tcPr>
          <w:p>
            <w:pPr>
              <w:spacing w:after="0"/>
              <w:rPr>
                <w:sz w:val="24"/>
                <w:szCs w:val="24"/>
                <w:color w:val="auto"/>
              </w:rPr>
            </w:pPr>
          </w:p>
        </w:tc>
        <w:tc>
          <w:tcPr>
            <w:tcW w:w="480" w:type="dxa"/>
            <w:vAlign w:val="bottom"/>
            <w:shd w:val="clear" w:color="auto" w:fill="001641"/>
          </w:tcPr>
          <w:p>
            <w:pPr>
              <w:spacing w:after="0"/>
              <w:rPr>
                <w:sz w:val="24"/>
                <w:szCs w:val="24"/>
                <w:color w:val="auto"/>
              </w:rPr>
            </w:pPr>
          </w:p>
        </w:tc>
        <w:tc>
          <w:tcPr>
            <w:tcW w:w="940" w:type="dxa"/>
            <w:vAlign w:val="bottom"/>
            <w:shd w:val="clear" w:color="auto" w:fill="001641"/>
          </w:tcPr>
          <w:p>
            <w:pPr>
              <w:spacing w:after="0"/>
              <w:rPr>
                <w:sz w:val="24"/>
                <w:szCs w:val="24"/>
                <w:color w:val="auto"/>
              </w:rPr>
            </w:pPr>
          </w:p>
        </w:tc>
        <w:tc>
          <w:tcPr>
            <w:tcW w:w="1780" w:type="dxa"/>
            <w:vAlign w:val="bottom"/>
            <w:gridSpan w:val="2"/>
            <w:shd w:val="clear" w:color="auto" w:fill="001641"/>
          </w:tcPr>
          <w:p>
            <w:pPr>
              <w:jc w:val="right"/>
              <w:ind w:right="228"/>
              <w:spacing w:after="0"/>
              <w:rPr>
                <w:sz w:val="20"/>
                <w:szCs w:val="20"/>
                <w:color w:val="auto"/>
              </w:rPr>
            </w:pPr>
            <w:r>
              <w:rPr>
                <w:rFonts w:ascii="Arial" w:cs="Arial" w:eastAsia="Arial" w:hAnsi="Arial"/>
                <w:sz w:val="14"/>
                <w:szCs w:val="14"/>
                <w:b w:val="1"/>
                <w:bCs w:val="1"/>
                <w:color w:val="FFFFFF"/>
              </w:rPr>
              <w:t>Fiscal Year Ended</w:t>
            </w:r>
          </w:p>
        </w:tc>
        <w:tc>
          <w:tcPr>
            <w:tcW w:w="60" w:type="dxa"/>
            <w:vAlign w:val="bottom"/>
            <w:shd w:val="clear" w:color="auto" w:fill="001641"/>
          </w:tcPr>
          <w:p>
            <w:pPr>
              <w:spacing w:after="0"/>
              <w:rPr>
                <w:sz w:val="24"/>
                <w:szCs w:val="24"/>
                <w:color w:val="auto"/>
              </w:rPr>
            </w:pPr>
          </w:p>
        </w:tc>
        <w:tc>
          <w:tcPr>
            <w:tcW w:w="740" w:type="dxa"/>
            <w:vAlign w:val="bottom"/>
            <w:shd w:val="clear" w:color="auto" w:fill="001641"/>
          </w:tcPr>
          <w:p>
            <w:pPr>
              <w:spacing w:after="0"/>
              <w:rPr>
                <w:sz w:val="24"/>
                <w:szCs w:val="24"/>
                <w:color w:val="auto"/>
              </w:rPr>
            </w:pPr>
          </w:p>
        </w:tc>
        <w:tc>
          <w:tcPr>
            <w:tcW w:w="60" w:type="dxa"/>
            <w:vAlign w:val="bottom"/>
            <w:shd w:val="clear" w:color="auto" w:fill="001641"/>
          </w:tcPr>
          <w:p>
            <w:pPr>
              <w:spacing w:after="0"/>
              <w:rPr>
                <w:sz w:val="24"/>
                <w:szCs w:val="24"/>
                <w:color w:val="auto"/>
              </w:rPr>
            </w:pPr>
          </w:p>
        </w:tc>
        <w:tc>
          <w:tcPr>
            <w:tcW w:w="880" w:type="dxa"/>
            <w:vAlign w:val="bottom"/>
            <w:shd w:val="clear" w:color="auto" w:fill="001641"/>
          </w:tcPr>
          <w:p>
            <w:pPr>
              <w:spacing w:after="0"/>
              <w:rPr>
                <w:sz w:val="24"/>
                <w:szCs w:val="24"/>
                <w:color w:val="auto"/>
              </w:rPr>
            </w:pPr>
          </w:p>
        </w:tc>
        <w:tc>
          <w:tcPr>
            <w:tcW w:w="100" w:type="dxa"/>
            <w:vAlign w:val="bottom"/>
            <w:shd w:val="clear" w:color="auto" w:fill="001641"/>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001641"/>
          </w:tcPr>
          <w:p>
            <w:pPr>
              <w:spacing w:after="0"/>
              <w:rPr>
                <w:sz w:val="21"/>
                <w:szCs w:val="21"/>
                <w:color w:val="auto"/>
              </w:rPr>
            </w:pPr>
          </w:p>
        </w:tc>
        <w:tc>
          <w:tcPr>
            <w:tcW w:w="480" w:type="dxa"/>
            <w:vAlign w:val="bottom"/>
            <w:shd w:val="clear" w:color="auto" w:fill="001641"/>
          </w:tcPr>
          <w:p>
            <w:pPr>
              <w:spacing w:after="0"/>
              <w:rPr>
                <w:sz w:val="21"/>
                <w:szCs w:val="21"/>
                <w:color w:val="auto"/>
              </w:rPr>
            </w:pPr>
          </w:p>
        </w:tc>
        <w:tc>
          <w:tcPr>
            <w:tcW w:w="480" w:type="dxa"/>
            <w:vAlign w:val="bottom"/>
            <w:shd w:val="clear" w:color="auto" w:fill="001641"/>
          </w:tcPr>
          <w:p>
            <w:pPr>
              <w:spacing w:after="0"/>
              <w:rPr>
                <w:sz w:val="21"/>
                <w:szCs w:val="21"/>
                <w:color w:val="auto"/>
              </w:rPr>
            </w:pPr>
          </w:p>
        </w:tc>
        <w:tc>
          <w:tcPr>
            <w:tcW w:w="940" w:type="dxa"/>
            <w:vAlign w:val="bottom"/>
            <w:shd w:val="clear" w:color="auto" w:fill="001641"/>
          </w:tcPr>
          <w:p>
            <w:pPr>
              <w:spacing w:after="0"/>
              <w:rPr>
                <w:sz w:val="21"/>
                <w:szCs w:val="21"/>
                <w:color w:val="auto"/>
              </w:rPr>
            </w:pPr>
          </w:p>
        </w:tc>
        <w:tc>
          <w:tcPr>
            <w:tcW w:w="1780" w:type="dxa"/>
            <w:vAlign w:val="bottom"/>
            <w:gridSpan w:val="2"/>
            <w:shd w:val="clear" w:color="auto" w:fill="001641"/>
          </w:tcPr>
          <w:p>
            <w:pPr>
              <w:jc w:val="right"/>
              <w:ind w:right="328"/>
              <w:spacing w:after="0"/>
              <w:rPr>
                <w:sz w:val="20"/>
                <w:szCs w:val="20"/>
                <w:color w:val="auto"/>
              </w:rPr>
            </w:pPr>
            <w:r>
              <w:rPr>
                <w:rFonts w:ascii="Arial" w:cs="Arial" w:eastAsia="Arial" w:hAnsi="Arial"/>
                <w:sz w:val="14"/>
                <w:szCs w:val="14"/>
                <w:b w:val="1"/>
                <w:bCs w:val="1"/>
                <w:color w:val="FFFFFF"/>
              </w:rPr>
              <w:t>March 29, 2025</w:t>
            </w:r>
          </w:p>
        </w:tc>
        <w:tc>
          <w:tcPr>
            <w:tcW w:w="60" w:type="dxa"/>
            <w:vAlign w:val="bottom"/>
            <w:shd w:val="clear" w:color="auto" w:fill="001641"/>
          </w:tcPr>
          <w:p>
            <w:pPr>
              <w:spacing w:after="0"/>
              <w:rPr>
                <w:sz w:val="21"/>
                <w:szCs w:val="21"/>
                <w:color w:val="auto"/>
              </w:rPr>
            </w:pPr>
          </w:p>
        </w:tc>
        <w:tc>
          <w:tcPr>
            <w:tcW w:w="740" w:type="dxa"/>
            <w:vAlign w:val="bottom"/>
            <w:shd w:val="clear" w:color="auto" w:fill="001641"/>
          </w:tcPr>
          <w:p>
            <w:pPr>
              <w:spacing w:after="0"/>
              <w:rPr>
                <w:sz w:val="21"/>
                <w:szCs w:val="21"/>
                <w:color w:val="auto"/>
              </w:rPr>
            </w:pPr>
          </w:p>
        </w:tc>
        <w:tc>
          <w:tcPr>
            <w:tcW w:w="60" w:type="dxa"/>
            <w:vAlign w:val="bottom"/>
            <w:shd w:val="clear" w:color="auto" w:fill="001641"/>
          </w:tcPr>
          <w:p>
            <w:pPr>
              <w:spacing w:after="0"/>
              <w:rPr>
                <w:sz w:val="21"/>
                <w:szCs w:val="21"/>
                <w:color w:val="auto"/>
              </w:rPr>
            </w:pPr>
          </w:p>
        </w:tc>
        <w:tc>
          <w:tcPr>
            <w:tcW w:w="880" w:type="dxa"/>
            <w:vAlign w:val="bottom"/>
            <w:shd w:val="clear" w:color="auto" w:fill="001641"/>
          </w:tcPr>
          <w:p>
            <w:pPr>
              <w:spacing w:after="0"/>
              <w:rPr>
                <w:sz w:val="21"/>
                <w:szCs w:val="21"/>
                <w:color w:val="auto"/>
              </w:rPr>
            </w:pPr>
          </w:p>
        </w:tc>
        <w:tc>
          <w:tcPr>
            <w:tcW w:w="100" w:type="dxa"/>
            <w:vAlign w:val="bottom"/>
            <w:shd w:val="clear" w:color="auto" w:fill="001641"/>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001641"/>
          </w:tcPr>
          <w:p>
            <w:pPr>
              <w:spacing w:after="0"/>
              <w:rPr>
                <w:sz w:val="18"/>
                <w:szCs w:val="18"/>
                <w:color w:val="auto"/>
              </w:rPr>
            </w:pPr>
          </w:p>
        </w:tc>
        <w:tc>
          <w:tcPr>
            <w:tcW w:w="960" w:type="dxa"/>
            <w:vAlign w:val="bottom"/>
            <w:gridSpan w:val="2"/>
            <w:shd w:val="clear" w:color="auto" w:fill="001641"/>
          </w:tcPr>
          <w:p>
            <w:pPr>
              <w:jc w:val="center"/>
              <w:ind w:left="48"/>
              <w:spacing w:after="0"/>
              <w:rPr>
                <w:sz w:val="20"/>
                <w:szCs w:val="20"/>
                <w:color w:val="auto"/>
              </w:rPr>
            </w:pPr>
            <w:r>
              <w:rPr>
                <w:rFonts w:ascii="Arial" w:cs="Arial" w:eastAsia="Arial" w:hAnsi="Arial"/>
                <w:sz w:val="14"/>
                <w:szCs w:val="14"/>
                <w:b w:val="1"/>
                <w:bCs w:val="1"/>
                <w:color w:val="FFFFFF"/>
              </w:rPr>
              <w:t>Operating</w:t>
            </w:r>
          </w:p>
        </w:tc>
        <w:tc>
          <w:tcPr>
            <w:tcW w:w="940" w:type="dxa"/>
            <w:vAlign w:val="bottom"/>
            <w:shd w:val="clear" w:color="auto" w:fill="001641"/>
          </w:tcPr>
          <w:p>
            <w:pPr>
              <w:jc w:val="right"/>
              <w:ind w:right="28"/>
              <w:spacing w:after="0"/>
              <w:rPr>
                <w:sz w:val="20"/>
                <w:szCs w:val="20"/>
                <w:color w:val="auto"/>
              </w:rPr>
            </w:pPr>
            <w:r>
              <w:rPr>
                <w:rFonts w:ascii="Arial" w:cs="Arial" w:eastAsia="Arial" w:hAnsi="Arial"/>
                <w:sz w:val="14"/>
                <w:szCs w:val="14"/>
                <w:b w:val="1"/>
                <w:bCs w:val="1"/>
                <w:color w:val="FFFFFF"/>
              </w:rPr>
              <w:t>Operating</w:t>
            </w:r>
          </w:p>
        </w:tc>
        <w:tc>
          <w:tcPr>
            <w:tcW w:w="900" w:type="dxa"/>
            <w:vAlign w:val="bottom"/>
            <w:shd w:val="clear" w:color="auto" w:fill="001641"/>
          </w:tcPr>
          <w:p>
            <w:pPr>
              <w:spacing w:after="0"/>
              <w:rPr>
                <w:sz w:val="18"/>
                <w:szCs w:val="18"/>
                <w:color w:val="auto"/>
              </w:rPr>
            </w:pPr>
          </w:p>
        </w:tc>
        <w:tc>
          <w:tcPr>
            <w:tcW w:w="880" w:type="dxa"/>
            <w:vAlign w:val="bottom"/>
            <w:shd w:val="clear" w:color="auto" w:fill="001641"/>
          </w:tcPr>
          <w:p>
            <w:pPr>
              <w:spacing w:after="0"/>
              <w:rPr>
                <w:sz w:val="18"/>
                <w:szCs w:val="18"/>
                <w:color w:val="auto"/>
              </w:rPr>
            </w:pPr>
          </w:p>
        </w:tc>
        <w:tc>
          <w:tcPr>
            <w:tcW w:w="60" w:type="dxa"/>
            <w:vAlign w:val="bottom"/>
            <w:shd w:val="clear" w:color="auto" w:fill="001641"/>
          </w:tcPr>
          <w:p>
            <w:pPr>
              <w:spacing w:after="0"/>
              <w:rPr>
                <w:sz w:val="18"/>
                <w:szCs w:val="18"/>
                <w:color w:val="auto"/>
              </w:rPr>
            </w:pPr>
          </w:p>
        </w:tc>
        <w:tc>
          <w:tcPr>
            <w:tcW w:w="740" w:type="dxa"/>
            <w:vAlign w:val="bottom"/>
            <w:vMerge w:val="restart"/>
            <w:shd w:val="clear" w:color="auto" w:fill="001641"/>
          </w:tcPr>
          <w:p>
            <w:pPr>
              <w:jc w:val="right"/>
              <w:ind w:right="50"/>
              <w:spacing w:after="0"/>
              <w:rPr>
                <w:sz w:val="20"/>
                <w:szCs w:val="20"/>
                <w:color w:val="auto"/>
              </w:rPr>
            </w:pPr>
            <w:r>
              <w:rPr>
                <w:rFonts w:ascii="Arial" w:cs="Arial" w:eastAsia="Arial" w:hAnsi="Arial"/>
                <w:sz w:val="28"/>
                <w:szCs w:val="28"/>
                <w:b w:val="1"/>
                <w:bCs w:val="1"/>
                <w:color w:val="FFFFFF"/>
                <w:vertAlign w:val="subscript"/>
              </w:rPr>
              <w:t>P&amp;E</w:t>
            </w:r>
            <w:r>
              <w:rPr>
                <w:rFonts w:ascii="Arial" w:cs="Arial" w:eastAsia="Arial" w:hAnsi="Arial"/>
                <w:sz w:val="12"/>
                <w:szCs w:val="12"/>
                <w:b w:val="1"/>
                <w:bCs w:val="1"/>
                <w:color w:val="FFFFFF"/>
              </w:rPr>
              <w:t>(1)</w:t>
            </w:r>
          </w:p>
        </w:tc>
        <w:tc>
          <w:tcPr>
            <w:tcW w:w="60" w:type="dxa"/>
            <w:vAlign w:val="bottom"/>
            <w:shd w:val="clear" w:color="auto" w:fill="001641"/>
          </w:tcPr>
          <w:p>
            <w:pPr>
              <w:spacing w:after="0"/>
              <w:rPr>
                <w:sz w:val="18"/>
                <w:szCs w:val="18"/>
                <w:color w:val="auto"/>
              </w:rPr>
            </w:pPr>
          </w:p>
        </w:tc>
        <w:tc>
          <w:tcPr>
            <w:tcW w:w="880" w:type="dxa"/>
            <w:vAlign w:val="bottom"/>
            <w:vMerge w:val="restart"/>
            <w:shd w:val="clear" w:color="auto" w:fill="001641"/>
          </w:tcPr>
          <w:p>
            <w:pPr>
              <w:jc w:val="right"/>
              <w:ind w:right="8"/>
              <w:spacing w:after="0"/>
              <w:rPr>
                <w:sz w:val="20"/>
                <w:szCs w:val="20"/>
                <w:color w:val="auto"/>
              </w:rPr>
            </w:pPr>
            <w:r>
              <w:rPr>
                <w:rFonts w:ascii="Arial" w:cs="Arial" w:eastAsia="Arial" w:hAnsi="Arial"/>
                <w:sz w:val="14"/>
                <w:szCs w:val="14"/>
                <w:b w:val="1"/>
                <w:bCs w:val="1"/>
                <w:color w:val="FFFFFF"/>
              </w:rPr>
              <w:t>ROIC %</w:t>
            </w:r>
            <w:r>
              <w:rPr>
                <w:rFonts w:ascii="Arial" w:cs="Arial" w:eastAsia="Arial" w:hAnsi="Arial"/>
                <w:sz w:val="23"/>
                <w:szCs w:val="23"/>
                <w:b w:val="1"/>
                <w:bCs w:val="1"/>
                <w:color w:val="FFFFFF"/>
                <w:vertAlign w:val="superscript"/>
              </w:rPr>
              <w:t>(2)</w:t>
            </w:r>
          </w:p>
        </w:tc>
        <w:tc>
          <w:tcPr>
            <w:tcW w:w="100" w:type="dxa"/>
            <w:vAlign w:val="bottom"/>
            <w:shd w:val="clear" w:color="auto" w:fill="001641"/>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60" w:type="dxa"/>
            <w:vAlign w:val="bottom"/>
            <w:shd w:val="clear" w:color="auto" w:fill="001641"/>
          </w:tcPr>
          <w:p>
            <w:pPr>
              <w:spacing w:after="0"/>
              <w:rPr>
                <w:sz w:val="19"/>
                <w:szCs w:val="19"/>
                <w:color w:val="auto"/>
              </w:rPr>
            </w:pPr>
          </w:p>
        </w:tc>
        <w:tc>
          <w:tcPr>
            <w:tcW w:w="960" w:type="dxa"/>
            <w:vAlign w:val="bottom"/>
            <w:gridSpan w:val="2"/>
            <w:shd w:val="clear" w:color="auto" w:fill="001641"/>
          </w:tcPr>
          <w:p>
            <w:pPr>
              <w:jc w:val="center"/>
              <w:ind w:left="28"/>
              <w:spacing w:after="0"/>
              <w:rPr>
                <w:sz w:val="20"/>
                <w:szCs w:val="20"/>
                <w:color w:val="auto"/>
              </w:rPr>
            </w:pPr>
            <w:r>
              <w:rPr>
                <w:rFonts w:ascii="Arial" w:cs="Arial" w:eastAsia="Arial" w:hAnsi="Arial"/>
                <w:sz w:val="14"/>
                <w:szCs w:val="14"/>
                <w:b w:val="1"/>
                <w:bCs w:val="1"/>
                <w:color w:val="FFFFFF"/>
              </w:rPr>
              <w:t>Income</w:t>
            </w:r>
          </w:p>
        </w:tc>
        <w:tc>
          <w:tcPr>
            <w:tcW w:w="940" w:type="dxa"/>
            <w:vAlign w:val="bottom"/>
            <w:shd w:val="clear" w:color="auto" w:fill="001641"/>
          </w:tcPr>
          <w:p>
            <w:pPr>
              <w:jc w:val="right"/>
              <w:ind w:right="108"/>
              <w:spacing w:after="0"/>
              <w:rPr>
                <w:sz w:val="20"/>
                <w:szCs w:val="20"/>
                <w:color w:val="auto"/>
              </w:rPr>
            </w:pPr>
            <w:r>
              <w:rPr>
                <w:rFonts w:ascii="Arial" w:cs="Arial" w:eastAsia="Arial" w:hAnsi="Arial"/>
                <w:sz w:val="14"/>
                <w:szCs w:val="14"/>
                <w:b w:val="1"/>
                <w:bCs w:val="1"/>
                <w:color w:val="FFFFFF"/>
              </w:rPr>
              <w:t>Margin</w:t>
            </w:r>
          </w:p>
        </w:tc>
        <w:tc>
          <w:tcPr>
            <w:tcW w:w="90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Net Income</w:t>
            </w:r>
          </w:p>
        </w:tc>
        <w:tc>
          <w:tcPr>
            <w:tcW w:w="88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Inventories</w:t>
            </w:r>
          </w:p>
        </w:tc>
        <w:tc>
          <w:tcPr>
            <w:tcW w:w="60" w:type="dxa"/>
            <w:vAlign w:val="bottom"/>
            <w:shd w:val="clear" w:color="auto" w:fill="001641"/>
          </w:tcPr>
          <w:p>
            <w:pPr>
              <w:spacing w:after="0"/>
              <w:rPr>
                <w:sz w:val="19"/>
                <w:szCs w:val="19"/>
                <w:color w:val="auto"/>
              </w:rPr>
            </w:pPr>
          </w:p>
        </w:tc>
        <w:tc>
          <w:tcPr>
            <w:tcW w:w="740" w:type="dxa"/>
            <w:vAlign w:val="bottom"/>
            <w:vMerge w:val="continue"/>
            <w:shd w:val="clear" w:color="auto" w:fill="001641"/>
          </w:tcPr>
          <w:p>
            <w:pPr>
              <w:spacing w:after="0"/>
              <w:rPr>
                <w:sz w:val="19"/>
                <w:szCs w:val="19"/>
                <w:color w:val="auto"/>
              </w:rPr>
            </w:pPr>
          </w:p>
        </w:tc>
        <w:tc>
          <w:tcPr>
            <w:tcW w:w="60" w:type="dxa"/>
            <w:vAlign w:val="bottom"/>
            <w:shd w:val="clear" w:color="auto" w:fill="001641"/>
          </w:tcPr>
          <w:p>
            <w:pPr>
              <w:spacing w:after="0"/>
              <w:rPr>
                <w:sz w:val="19"/>
                <w:szCs w:val="19"/>
                <w:color w:val="auto"/>
              </w:rPr>
            </w:pPr>
          </w:p>
        </w:tc>
        <w:tc>
          <w:tcPr>
            <w:tcW w:w="880" w:type="dxa"/>
            <w:vAlign w:val="bottom"/>
            <w:vMerge w:val="continue"/>
            <w:shd w:val="clear" w:color="auto" w:fill="001641"/>
          </w:tcPr>
          <w:p>
            <w:pPr>
              <w:spacing w:after="0"/>
              <w:rPr>
                <w:sz w:val="19"/>
                <w:szCs w:val="19"/>
                <w:color w:val="auto"/>
              </w:rPr>
            </w:pPr>
          </w:p>
        </w:tc>
        <w:tc>
          <w:tcPr>
            <w:tcW w:w="100" w:type="dxa"/>
            <w:vAlign w:val="bottom"/>
            <w:shd w:val="clear" w:color="auto" w:fill="001641"/>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001641"/>
          </w:tcPr>
          <w:p>
            <w:pPr>
              <w:spacing w:after="0"/>
              <w:rPr>
                <w:sz w:val="19"/>
                <w:szCs w:val="19"/>
                <w:color w:val="auto"/>
              </w:rPr>
            </w:pPr>
          </w:p>
        </w:tc>
        <w:tc>
          <w:tcPr>
            <w:tcW w:w="960" w:type="dxa"/>
            <w:vAlign w:val="bottom"/>
            <w:gridSpan w:val="2"/>
            <w:shd w:val="clear" w:color="auto" w:fill="001641"/>
          </w:tcPr>
          <w:p>
            <w:pPr>
              <w:jc w:val="center"/>
              <w:ind w:left="48"/>
              <w:spacing w:after="0"/>
              <w:rPr>
                <w:sz w:val="20"/>
                <w:szCs w:val="20"/>
                <w:color w:val="auto"/>
              </w:rPr>
            </w:pPr>
            <w:r>
              <w:rPr>
                <w:rFonts w:ascii="Arial" w:cs="Arial" w:eastAsia="Arial" w:hAnsi="Arial"/>
                <w:sz w:val="14"/>
                <w:szCs w:val="14"/>
                <w:b w:val="1"/>
                <w:bCs w:val="1"/>
                <w:color w:val="FFFFFF"/>
              </w:rPr>
              <w:t>(millions)</w:t>
            </w:r>
          </w:p>
        </w:tc>
        <w:tc>
          <w:tcPr>
            <w:tcW w:w="940" w:type="dxa"/>
            <w:vAlign w:val="bottom"/>
            <w:shd w:val="clear" w:color="auto" w:fill="001641"/>
          </w:tcPr>
          <w:p>
            <w:pPr>
              <w:spacing w:after="0"/>
              <w:rPr>
                <w:sz w:val="19"/>
                <w:szCs w:val="19"/>
                <w:color w:val="auto"/>
              </w:rPr>
            </w:pPr>
          </w:p>
        </w:tc>
        <w:tc>
          <w:tcPr>
            <w:tcW w:w="900" w:type="dxa"/>
            <w:vAlign w:val="bottom"/>
            <w:shd w:val="clear" w:color="auto" w:fill="001641"/>
          </w:tcPr>
          <w:p>
            <w:pPr>
              <w:spacing w:after="0"/>
              <w:rPr>
                <w:sz w:val="19"/>
                <w:szCs w:val="19"/>
                <w:color w:val="auto"/>
              </w:rPr>
            </w:pPr>
          </w:p>
        </w:tc>
        <w:tc>
          <w:tcPr>
            <w:tcW w:w="88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(millions)</w:t>
            </w:r>
          </w:p>
        </w:tc>
        <w:tc>
          <w:tcPr>
            <w:tcW w:w="60" w:type="dxa"/>
            <w:vAlign w:val="bottom"/>
            <w:shd w:val="clear" w:color="auto" w:fill="001641"/>
          </w:tcPr>
          <w:p>
            <w:pPr>
              <w:spacing w:after="0"/>
              <w:rPr>
                <w:sz w:val="19"/>
                <w:szCs w:val="19"/>
                <w:color w:val="auto"/>
              </w:rPr>
            </w:pPr>
          </w:p>
        </w:tc>
        <w:tc>
          <w:tcPr>
            <w:tcW w:w="740" w:type="dxa"/>
            <w:vAlign w:val="bottom"/>
            <w:shd w:val="clear" w:color="auto" w:fill="001641"/>
          </w:tcPr>
          <w:p>
            <w:pPr>
              <w:spacing w:after="0"/>
              <w:rPr>
                <w:sz w:val="19"/>
                <w:szCs w:val="19"/>
                <w:color w:val="auto"/>
              </w:rPr>
            </w:pPr>
          </w:p>
        </w:tc>
        <w:tc>
          <w:tcPr>
            <w:tcW w:w="60" w:type="dxa"/>
            <w:vAlign w:val="bottom"/>
            <w:shd w:val="clear" w:color="auto" w:fill="001641"/>
          </w:tcPr>
          <w:p>
            <w:pPr>
              <w:spacing w:after="0"/>
              <w:rPr>
                <w:sz w:val="19"/>
                <w:szCs w:val="19"/>
                <w:color w:val="auto"/>
              </w:rPr>
            </w:pPr>
          </w:p>
        </w:tc>
        <w:tc>
          <w:tcPr>
            <w:tcW w:w="880" w:type="dxa"/>
            <w:vAlign w:val="bottom"/>
            <w:shd w:val="clear" w:color="auto" w:fill="001641"/>
          </w:tcPr>
          <w:p>
            <w:pPr>
              <w:spacing w:after="0"/>
              <w:rPr>
                <w:sz w:val="19"/>
                <w:szCs w:val="19"/>
                <w:color w:val="auto"/>
              </w:rPr>
            </w:pPr>
          </w:p>
        </w:tc>
        <w:tc>
          <w:tcPr>
            <w:tcW w:w="100" w:type="dxa"/>
            <w:vAlign w:val="bottom"/>
            <w:shd w:val="clear" w:color="auto" w:fill="001641"/>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60" w:type="dxa"/>
            <w:vAlign w:val="bottom"/>
          </w:tcPr>
          <w:p>
            <w:pPr>
              <w:ind w:left="120"/>
              <w:spacing w:after="0"/>
              <w:rPr>
                <w:sz w:val="20"/>
                <w:szCs w:val="20"/>
                <w:color w:val="auto"/>
              </w:rPr>
            </w:pPr>
            <w:r>
              <w:rPr>
                <w:rFonts w:ascii="Arial" w:cs="Arial" w:eastAsia="Arial" w:hAnsi="Arial"/>
                <w:sz w:val="14"/>
                <w:szCs w:val="14"/>
                <w:color w:val="001641"/>
              </w:rPr>
              <w:t>As reported</w:t>
            </w:r>
          </w:p>
        </w:tc>
        <w:tc>
          <w:tcPr>
            <w:tcW w:w="480" w:type="dxa"/>
            <w:vAlign w:val="bottom"/>
          </w:tcPr>
          <w:p>
            <w:pPr>
              <w:jc w:val="right"/>
              <w:spacing w:after="0"/>
              <w:rPr>
                <w:sz w:val="20"/>
                <w:szCs w:val="20"/>
                <w:color w:val="auto"/>
              </w:rPr>
            </w:pPr>
            <w:r>
              <w:rPr>
                <w:rFonts w:ascii="Arial" w:cs="Arial" w:eastAsia="Arial" w:hAnsi="Arial"/>
                <w:sz w:val="14"/>
                <w:szCs w:val="14"/>
                <w:color w:val="001641"/>
              </w:rPr>
              <w:t>$</w:t>
            </w:r>
          </w:p>
        </w:tc>
        <w:tc>
          <w:tcPr>
            <w:tcW w:w="480" w:type="dxa"/>
            <w:vAlign w:val="bottom"/>
          </w:tcPr>
          <w:p>
            <w:pPr>
              <w:jc w:val="right"/>
              <w:spacing w:after="0"/>
              <w:rPr>
                <w:sz w:val="20"/>
                <w:szCs w:val="20"/>
                <w:color w:val="auto"/>
              </w:rPr>
            </w:pPr>
            <w:r>
              <w:rPr>
                <w:rFonts w:ascii="Arial" w:cs="Arial" w:eastAsia="Arial" w:hAnsi="Arial"/>
                <w:sz w:val="14"/>
                <w:szCs w:val="14"/>
                <w:color w:val="001641"/>
              </w:rPr>
              <w:t>932.1</w:t>
            </w:r>
          </w:p>
        </w:tc>
        <w:tc>
          <w:tcPr>
            <w:tcW w:w="940" w:type="dxa"/>
            <w:vAlign w:val="bottom"/>
          </w:tcPr>
          <w:p>
            <w:pPr>
              <w:jc w:val="right"/>
              <w:spacing w:after="0"/>
              <w:rPr>
                <w:sz w:val="20"/>
                <w:szCs w:val="20"/>
                <w:color w:val="auto"/>
              </w:rPr>
            </w:pPr>
            <w:r>
              <w:rPr>
                <w:rFonts w:ascii="Arial" w:cs="Arial" w:eastAsia="Arial" w:hAnsi="Arial"/>
                <w:sz w:val="14"/>
                <w:szCs w:val="14"/>
                <w:color w:val="001641"/>
              </w:rPr>
              <w:t>13.2%</w:t>
            </w:r>
          </w:p>
        </w:tc>
        <w:tc>
          <w:tcPr>
            <w:tcW w:w="900" w:type="dxa"/>
            <w:vAlign w:val="bottom"/>
          </w:tcPr>
          <w:p>
            <w:pPr>
              <w:jc w:val="right"/>
              <w:ind w:right="8"/>
              <w:spacing w:after="0"/>
              <w:rPr>
                <w:sz w:val="20"/>
                <w:szCs w:val="20"/>
                <w:color w:val="auto"/>
              </w:rPr>
            </w:pPr>
            <w:r>
              <w:rPr>
                <w:rFonts w:ascii="Arial" w:cs="Arial" w:eastAsia="Arial" w:hAnsi="Arial"/>
                <w:sz w:val="14"/>
                <w:szCs w:val="14"/>
                <w:color w:val="001641"/>
              </w:rPr>
              <w:t>$742.9</w:t>
            </w:r>
          </w:p>
        </w:tc>
        <w:tc>
          <w:tcPr>
            <w:tcW w:w="880" w:type="dxa"/>
            <w:vAlign w:val="bottom"/>
          </w:tcPr>
          <w:p>
            <w:pPr>
              <w:jc w:val="right"/>
              <w:ind w:right="8"/>
              <w:spacing w:after="0"/>
              <w:rPr>
                <w:sz w:val="20"/>
                <w:szCs w:val="20"/>
                <w:color w:val="auto"/>
              </w:rPr>
            </w:pPr>
            <w:r>
              <w:rPr>
                <w:rFonts w:ascii="Arial" w:cs="Arial" w:eastAsia="Arial" w:hAnsi="Arial"/>
                <w:sz w:val="14"/>
                <w:szCs w:val="14"/>
                <w:color w:val="001641"/>
              </w:rPr>
              <w:t>$949.6</w:t>
            </w:r>
          </w:p>
        </w:tc>
        <w:tc>
          <w:tcPr>
            <w:tcW w:w="800" w:type="dxa"/>
            <w:vAlign w:val="bottom"/>
            <w:gridSpan w:val="2"/>
          </w:tcPr>
          <w:p>
            <w:pPr>
              <w:jc w:val="right"/>
              <w:spacing w:after="0"/>
              <w:rPr>
                <w:sz w:val="20"/>
                <w:szCs w:val="20"/>
                <w:color w:val="auto"/>
              </w:rPr>
            </w:pPr>
            <w:r>
              <w:rPr>
                <w:rFonts w:ascii="Arial" w:cs="Arial" w:eastAsia="Arial" w:hAnsi="Arial"/>
                <w:sz w:val="14"/>
                <w:szCs w:val="14"/>
                <w:color w:val="001641"/>
              </w:rPr>
              <w:t>$846.4</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660" w:type="dxa"/>
            <w:vAlign w:val="bottom"/>
            <w:tcBorders>
              <w:bottom w:val="single" w:sz="8" w:color="BFA071"/>
            </w:tcBorders>
          </w:tcPr>
          <w:p>
            <w:pPr>
              <w:spacing w:after="0" w:line="20" w:lineRule="exact"/>
              <w:rPr>
                <w:sz w:val="1"/>
                <w:szCs w:val="1"/>
                <w:color w:val="auto"/>
              </w:rPr>
            </w:pPr>
          </w:p>
        </w:tc>
        <w:tc>
          <w:tcPr>
            <w:tcW w:w="480" w:type="dxa"/>
            <w:vAlign w:val="bottom"/>
            <w:tcBorders>
              <w:bottom w:val="single" w:sz="8" w:color="BFA071"/>
            </w:tcBorders>
          </w:tcPr>
          <w:p>
            <w:pPr>
              <w:spacing w:after="0" w:line="20" w:lineRule="exact"/>
              <w:rPr>
                <w:sz w:val="1"/>
                <w:szCs w:val="1"/>
                <w:color w:val="auto"/>
              </w:rPr>
            </w:pPr>
          </w:p>
        </w:tc>
        <w:tc>
          <w:tcPr>
            <w:tcW w:w="480" w:type="dxa"/>
            <w:vAlign w:val="bottom"/>
            <w:tcBorders>
              <w:bottom w:val="single" w:sz="8" w:color="BFA071"/>
            </w:tcBorders>
          </w:tcPr>
          <w:p>
            <w:pPr>
              <w:spacing w:after="0" w:line="20" w:lineRule="exact"/>
              <w:rPr>
                <w:sz w:val="1"/>
                <w:szCs w:val="1"/>
                <w:color w:val="auto"/>
              </w:rPr>
            </w:pPr>
          </w:p>
        </w:tc>
        <w:tc>
          <w:tcPr>
            <w:tcW w:w="9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74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BFA071"/>
            </w:tcBorders>
          </w:tcPr>
          <w:p>
            <w:pPr>
              <w:ind w:left="120"/>
              <w:spacing w:after="0" w:line="250" w:lineRule="exact"/>
              <w:rPr>
                <w:sz w:val="20"/>
                <w:szCs w:val="20"/>
                <w:color w:val="auto"/>
              </w:rPr>
            </w:pPr>
            <w:r>
              <w:rPr>
                <w:rFonts w:ascii="Arial" w:cs="Arial" w:eastAsia="Arial" w:hAnsi="Arial"/>
                <w:sz w:val="14"/>
                <w:szCs w:val="14"/>
                <w:color w:val="001641"/>
              </w:rPr>
              <w:t>Adjustments:</w:t>
            </w:r>
            <w:r>
              <w:rPr>
                <w:rFonts w:ascii="Arial" w:cs="Arial" w:eastAsia="Arial" w:hAnsi="Arial"/>
                <w:sz w:val="23"/>
                <w:szCs w:val="23"/>
                <w:color w:val="001641"/>
                <w:vertAlign w:val="superscript"/>
              </w:rPr>
              <w:t>(3)</w:t>
            </w:r>
          </w:p>
        </w:tc>
        <w:tc>
          <w:tcPr>
            <w:tcW w:w="480" w:type="dxa"/>
            <w:vAlign w:val="bottom"/>
            <w:tcBorders>
              <w:bottom w:val="single" w:sz="8" w:color="BFA071"/>
            </w:tcBorders>
          </w:tcPr>
          <w:p>
            <w:pPr>
              <w:spacing w:after="0"/>
              <w:rPr>
                <w:sz w:val="21"/>
                <w:szCs w:val="21"/>
                <w:color w:val="auto"/>
              </w:rPr>
            </w:pPr>
          </w:p>
        </w:tc>
        <w:tc>
          <w:tcPr>
            <w:tcW w:w="480" w:type="dxa"/>
            <w:vAlign w:val="bottom"/>
            <w:tcBorders>
              <w:bottom w:val="single" w:sz="8" w:color="BFA071"/>
            </w:tcBorders>
          </w:tcPr>
          <w:p>
            <w:pPr>
              <w:spacing w:after="0"/>
              <w:rPr>
                <w:sz w:val="21"/>
                <w:szCs w:val="21"/>
                <w:color w:val="auto"/>
              </w:rPr>
            </w:pPr>
          </w:p>
        </w:tc>
        <w:tc>
          <w:tcPr>
            <w:tcW w:w="940" w:type="dxa"/>
            <w:vAlign w:val="bottom"/>
            <w:tcBorders>
              <w:bottom w:val="single" w:sz="8" w:color="BFA071"/>
            </w:tcBorders>
          </w:tcPr>
          <w:p>
            <w:pPr>
              <w:spacing w:after="0"/>
              <w:rPr>
                <w:sz w:val="21"/>
                <w:szCs w:val="21"/>
                <w:color w:val="auto"/>
              </w:rPr>
            </w:pPr>
          </w:p>
        </w:tc>
        <w:tc>
          <w:tcPr>
            <w:tcW w:w="900" w:type="dxa"/>
            <w:vAlign w:val="bottom"/>
            <w:tcBorders>
              <w:bottom w:val="single" w:sz="8" w:color="BFA071"/>
            </w:tcBorders>
          </w:tcPr>
          <w:p>
            <w:pPr>
              <w:spacing w:after="0"/>
              <w:rPr>
                <w:sz w:val="21"/>
                <w:szCs w:val="21"/>
                <w:color w:val="auto"/>
              </w:rPr>
            </w:pPr>
          </w:p>
        </w:tc>
        <w:tc>
          <w:tcPr>
            <w:tcW w:w="880" w:type="dxa"/>
            <w:vAlign w:val="bottom"/>
            <w:tcBorders>
              <w:bottom w:val="single" w:sz="8" w:color="BFA071"/>
            </w:tcBorders>
          </w:tcPr>
          <w:p>
            <w:pPr>
              <w:spacing w:after="0"/>
              <w:rPr>
                <w:sz w:val="21"/>
                <w:szCs w:val="21"/>
                <w:color w:val="auto"/>
              </w:rPr>
            </w:pPr>
          </w:p>
        </w:tc>
        <w:tc>
          <w:tcPr>
            <w:tcW w:w="60" w:type="dxa"/>
            <w:vAlign w:val="bottom"/>
            <w:tcBorders>
              <w:bottom w:val="single" w:sz="8" w:color="BFA071"/>
            </w:tcBorders>
          </w:tcPr>
          <w:p>
            <w:pPr>
              <w:spacing w:after="0"/>
              <w:rPr>
                <w:sz w:val="21"/>
                <w:szCs w:val="21"/>
                <w:color w:val="auto"/>
              </w:rPr>
            </w:pPr>
          </w:p>
        </w:tc>
        <w:tc>
          <w:tcPr>
            <w:tcW w:w="740" w:type="dxa"/>
            <w:vAlign w:val="bottom"/>
            <w:tcBorders>
              <w:bottom w:val="single" w:sz="8" w:color="BFA071"/>
            </w:tcBorders>
          </w:tcPr>
          <w:p>
            <w:pPr>
              <w:spacing w:after="0"/>
              <w:rPr>
                <w:sz w:val="21"/>
                <w:szCs w:val="21"/>
                <w:color w:val="auto"/>
              </w:rPr>
            </w:pPr>
          </w:p>
        </w:tc>
        <w:tc>
          <w:tcPr>
            <w:tcW w:w="60" w:type="dxa"/>
            <w:vAlign w:val="bottom"/>
            <w:tcBorders>
              <w:bottom w:val="single" w:sz="8" w:color="BFA071"/>
            </w:tcBorders>
          </w:tcPr>
          <w:p>
            <w:pPr>
              <w:spacing w:after="0"/>
              <w:rPr>
                <w:sz w:val="21"/>
                <w:szCs w:val="21"/>
                <w:color w:val="auto"/>
              </w:rPr>
            </w:pPr>
          </w:p>
        </w:tc>
        <w:tc>
          <w:tcPr>
            <w:tcW w:w="880" w:type="dxa"/>
            <w:vAlign w:val="bottom"/>
            <w:tcBorders>
              <w:bottom w:val="single" w:sz="8" w:color="BFA071"/>
            </w:tcBorders>
          </w:tcPr>
          <w:p>
            <w:pPr>
              <w:spacing w:after="0"/>
              <w:rPr>
                <w:sz w:val="21"/>
                <w:szCs w:val="21"/>
                <w:color w:val="auto"/>
              </w:rPr>
            </w:pPr>
          </w:p>
        </w:tc>
        <w:tc>
          <w:tcPr>
            <w:tcW w:w="100" w:type="dxa"/>
            <w:vAlign w:val="bottom"/>
            <w:tcBorders>
              <w:bottom w:val="single" w:sz="8" w:color="BFA071"/>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660" w:type="dxa"/>
            <w:vAlign w:val="bottom"/>
          </w:tcPr>
          <w:p>
            <w:pPr>
              <w:ind w:left="300"/>
              <w:spacing w:after="0"/>
              <w:rPr>
                <w:sz w:val="20"/>
                <w:szCs w:val="20"/>
                <w:color w:val="auto"/>
              </w:rPr>
            </w:pPr>
            <w:r>
              <w:rPr>
                <w:rFonts w:ascii="Arial" w:cs="Arial" w:eastAsia="Arial" w:hAnsi="Arial"/>
                <w:sz w:val="14"/>
                <w:szCs w:val="14"/>
                <w:color w:val="001641"/>
              </w:rPr>
              <w:t>Next Generation Transformation project charges</w:t>
            </w:r>
          </w:p>
        </w:tc>
        <w:tc>
          <w:tcPr>
            <w:tcW w:w="4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001641"/>
              </w:rPr>
              <w:t>25.2</w:t>
            </w:r>
          </w:p>
        </w:tc>
        <w:tc>
          <w:tcPr>
            <w:tcW w:w="9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001641"/>
              </w:rPr>
              <w:t>25.2</w:t>
            </w:r>
          </w:p>
        </w:tc>
        <w:tc>
          <w:tcPr>
            <w:tcW w:w="880" w:type="dxa"/>
            <w:vAlign w:val="bottom"/>
          </w:tcPr>
          <w:p>
            <w:pPr>
              <w:jc w:val="right"/>
              <w:ind w:right="8"/>
              <w:spacing w:after="0"/>
              <w:rPr>
                <w:sz w:val="20"/>
                <w:szCs w:val="20"/>
                <w:color w:val="auto"/>
              </w:rPr>
            </w:pPr>
            <w:r>
              <w:rPr>
                <w:rFonts w:ascii="Arial" w:cs="Arial" w:eastAsia="Arial" w:hAnsi="Arial"/>
                <w:sz w:val="14"/>
                <w:szCs w:val="14"/>
                <w:color w:val="001641"/>
              </w:rPr>
              <w:t>—</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001641"/>
              </w:rPr>
              <w:t>—</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660" w:type="dxa"/>
            <w:vAlign w:val="bottom"/>
            <w:tcBorders>
              <w:bottom w:val="single" w:sz="8" w:color="BFA071"/>
            </w:tcBorders>
          </w:tcPr>
          <w:p>
            <w:pPr>
              <w:spacing w:after="0" w:line="20" w:lineRule="exact"/>
              <w:rPr>
                <w:sz w:val="1"/>
                <w:szCs w:val="1"/>
                <w:color w:val="auto"/>
              </w:rPr>
            </w:pPr>
          </w:p>
        </w:tc>
        <w:tc>
          <w:tcPr>
            <w:tcW w:w="480" w:type="dxa"/>
            <w:vAlign w:val="bottom"/>
            <w:tcBorders>
              <w:bottom w:val="single" w:sz="8" w:color="BFA071"/>
            </w:tcBorders>
          </w:tcPr>
          <w:p>
            <w:pPr>
              <w:spacing w:after="0" w:line="20" w:lineRule="exact"/>
              <w:rPr>
                <w:sz w:val="1"/>
                <w:szCs w:val="1"/>
                <w:color w:val="auto"/>
              </w:rPr>
            </w:pPr>
          </w:p>
        </w:tc>
        <w:tc>
          <w:tcPr>
            <w:tcW w:w="480" w:type="dxa"/>
            <w:vAlign w:val="bottom"/>
            <w:tcBorders>
              <w:bottom w:val="single" w:sz="8" w:color="BFA071"/>
            </w:tcBorders>
          </w:tcPr>
          <w:p>
            <w:pPr>
              <w:spacing w:after="0" w:line="20" w:lineRule="exact"/>
              <w:rPr>
                <w:sz w:val="1"/>
                <w:szCs w:val="1"/>
                <w:color w:val="auto"/>
              </w:rPr>
            </w:pPr>
          </w:p>
        </w:tc>
        <w:tc>
          <w:tcPr>
            <w:tcW w:w="9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74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660" w:type="dxa"/>
            <w:vAlign w:val="bottom"/>
          </w:tcPr>
          <w:p>
            <w:pPr>
              <w:ind w:left="300"/>
              <w:spacing w:after="0"/>
              <w:rPr>
                <w:sz w:val="20"/>
                <w:szCs w:val="20"/>
                <w:color w:val="auto"/>
              </w:rPr>
            </w:pPr>
            <w:r>
              <w:rPr>
                <w:rFonts w:ascii="Arial" w:cs="Arial" w:eastAsia="Arial" w:hAnsi="Arial"/>
                <w:sz w:val="14"/>
                <w:szCs w:val="14"/>
                <w:color w:val="001641"/>
              </w:rPr>
              <w:t>Restructuring plan charges, net</w:t>
            </w:r>
          </w:p>
        </w:tc>
        <w:tc>
          <w:tcPr>
            <w:tcW w:w="4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001641"/>
              </w:rPr>
              <w:t>20.4</w:t>
            </w:r>
          </w:p>
        </w:tc>
        <w:tc>
          <w:tcPr>
            <w:tcW w:w="9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001641"/>
              </w:rPr>
              <w:t>20.4</w:t>
            </w:r>
          </w:p>
        </w:tc>
        <w:tc>
          <w:tcPr>
            <w:tcW w:w="880" w:type="dxa"/>
            <w:vAlign w:val="bottom"/>
          </w:tcPr>
          <w:p>
            <w:pPr>
              <w:jc w:val="right"/>
              <w:ind w:right="8"/>
              <w:spacing w:after="0"/>
              <w:rPr>
                <w:sz w:val="20"/>
                <w:szCs w:val="20"/>
                <w:color w:val="auto"/>
              </w:rPr>
            </w:pPr>
            <w:r>
              <w:rPr>
                <w:rFonts w:ascii="Arial" w:cs="Arial" w:eastAsia="Arial" w:hAnsi="Arial"/>
                <w:sz w:val="14"/>
                <w:szCs w:val="14"/>
                <w:color w:val="001641"/>
              </w:rPr>
              <w:t>—</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001641"/>
              </w:rPr>
              <w:t>—</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660" w:type="dxa"/>
            <w:vAlign w:val="bottom"/>
            <w:tcBorders>
              <w:bottom w:val="single" w:sz="8" w:color="BFA071"/>
            </w:tcBorders>
          </w:tcPr>
          <w:p>
            <w:pPr>
              <w:spacing w:after="0" w:line="20" w:lineRule="exact"/>
              <w:rPr>
                <w:sz w:val="1"/>
                <w:szCs w:val="1"/>
                <w:color w:val="auto"/>
              </w:rPr>
            </w:pPr>
          </w:p>
        </w:tc>
        <w:tc>
          <w:tcPr>
            <w:tcW w:w="480" w:type="dxa"/>
            <w:vAlign w:val="bottom"/>
            <w:tcBorders>
              <w:bottom w:val="single" w:sz="8" w:color="BFA071"/>
            </w:tcBorders>
          </w:tcPr>
          <w:p>
            <w:pPr>
              <w:spacing w:after="0" w:line="20" w:lineRule="exact"/>
              <w:rPr>
                <w:sz w:val="1"/>
                <w:szCs w:val="1"/>
                <w:color w:val="auto"/>
              </w:rPr>
            </w:pPr>
          </w:p>
        </w:tc>
        <w:tc>
          <w:tcPr>
            <w:tcW w:w="480" w:type="dxa"/>
            <w:vAlign w:val="bottom"/>
            <w:tcBorders>
              <w:bottom w:val="single" w:sz="8" w:color="BFA071"/>
            </w:tcBorders>
          </w:tcPr>
          <w:p>
            <w:pPr>
              <w:spacing w:after="0" w:line="20" w:lineRule="exact"/>
              <w:rPr>
                <w:sz w:val="1"/>
                <w:szCs w:val="1"/>
                <w:color w:val="auto"/>
              </w:rPr>
            </w:pPr>
          </w:p>
        </w:tc>
        <w:tc>
          <w:tcPr>
            <w:tcW w:w="9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800" w:type="dxa"/>
            <w:vAlign w:val="bottom"/>
            <w:tcBorders>
              <w:bottom w:val="single" w:sz="8" w:color="BFA071"/>
            </w:tcBorders>
            <w:gridSpan w:val="2"/>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660" w:type="dxa"/>
            <w:vAlign w:val="bottom"/>
          </w:tcPr>
          <w:p>
            <w:pPr>
              <w:ind w:left="300"/>
              <w:spacing w:after="0"/>
              <w:rPr>
                <w:sz w:val="20"/>
                <w:szCs w:val="20"/>
                <w:color w:val="auto"/>
              </w:rPr>
            </w:pPr>
            <w:r>
              <w:rPr>
                <w:rFonts w:ascii="Arial" w:cs="Arial" w:eastAsia="Arial" w:hAnsi="Arial"/>
                <w:sz w:val="14"/>
                <w:szCs w:val="14"/>
                <w:color w:val="001641"/>
              </w:rPr>
              <w:t>Cease-use rent and occupancy expenses</w:t>
            </w:r>
          </w:p>
        </w:tc>
        <w:tc>
          <w:tcPr>
            <w:tcW w:w="48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001641"/>
              </w:rPr>
              <w:t>11.4</w:t>
            </w:r>
          </w:p>
        </w:tc>
        <w:tc>
          <w:tcPr>
            <w:tcW w:w="9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001641"/>
              </w:rPr>
              <w:t>11.4</w:t>
            </w:r>
          </w:p>
        </w:tc>
        <w:tc>
          <w:tcPr>
            <w:tcW w:w="880" w:type="dxa"/>
            <w:vAlign w:val="bottom"/>
          </w:tcPr>
          <w:p>
            <w:pPr>
              <w:jc w:val="right"/>
              <w:ind w:right="8"/>
              <w:spacing w:after="0"/>
              <w:rPr>
                <w:sz w:val="20"/>
                <w:szCs w:val="20"/>
                <w:color w:val="auto"/>
              </w:rPr>
            </w:pPr>
            <w:r>
              <w:rPr>
                <w:rFonts w:ascii="Arial" w:cs="Arial" w:eastAsia="Arial" w:hAnsi="Arial"/>
                <w:sz w:val="14"/>
                <w:szCs w:val="14"/>
                <w:color w:val="001641"/>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001641"/>
              </w:rPr>
              <w:t>2.9</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660" w:type="dxa"/>
            <w:vAlign w:val="bottom"/>
            <w:tcBorders>
              <w:bottom w:val="single" w:sz="8" w:color="BFA071"/>
            </w:tcBorders>
          </w:tcPr>
          <w:p>
            <w:pPr>
              <w:spacing w:after="0" w:line="20" w:lineRule="exact"/>
              <w:rPr>
                <w:sz w:val="1"/>
                <w:szCs w:val="1"/>
                <w:color w:val="auto"/>
              </w:rPr>
            </w:pPr>
          </w:p>
        </w:tc>
        <w:tc>
          <w:tcPr>
            <w:tcW w:w="480" w:type="dxa"/>
            <w:vAlign w:val="bottom"/>
            <w:tcBorders>
              <w:bottom w:val="single" w:sz="8" w:color="BFA071"/>
            </w:tcBorders>
          </w:tcPr>
          <w:p>
            <w:pPr>
              <w:spacing w:after="0" w:line="20" w:lineRule="exact"/>
              <w:rPr>
                <w:sz w:val="1"/>
                <w:szCs w:val="1"/>
                <w:color w:val="auto"/>
              </w:rPr>
            </w:pPr>
          </w:p>
        </w:tc>
        <w:tc>
          <w:tcPr>
            <w:tcW w:w="480" w:type="dxa"/>
            <w:vAlign w:val="bottom"/>
            <w:tcBorders>
              <w:bottom w:val="single" w:sz="8" w:color="BFA071"/>
            </w:tcBorders>
          </w:tcPr>
          <w:p>
            <w:pPr>
              <w:spacing w:after="0" w:line="20" w:lineRule="exact"/>
              <w:rPr>
                <w:sz w:val="1"/>
                <w:szCs w:val="1"/>
                <w:color w:val="auto"/>
              </w:rPr>
            </w:pPr>
          </w:p>
        </w:tc>
        <w:tc>
          <w:tcPr>
            <w:tcW w:w="9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74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660" w:type="dxa"/>
            <w:vAlign w:val="bottom"/>
          </w:tcPr>
          <w:p>
            <w:pPr>
              <w:ind w:left="300"/>
              <w:spacing w:after="0"/>
              <w:rPr>
                <w:sz w:val="20"/>
                <w:szCs w:val="20"/>
                <w:color w:val="auto"/>
              </w:rPr>
            </w:pPr>
            <w:r>
              <w:rPr>
                <w:rFonts w:ascii="Arial" w:cs="Arial" w:eastAsia="Arial" w:hAnsi="Arial"/>
                <w:sz w:val="14"/>
                <w:szCs w:val="14"/>
                <w:color w:val="001641"/>
              </w:rPr>
              <w:t>Charitable donation related to Club Monaco sale</w:t>
            </w:r>
          </w:p>
        </w:tc>
        <w:tc>
          <w:tcPr>
            <w:tcW w:w="4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001641"/>
              </w:rPr>
              <w:t>2.8</w:t>
            </w:r>
          </w:p>
        </w:tc>
        <w:tc>
          <w:tcPr>
            <w:tcW w:w="9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001641"/>
              </w:rPr>
              <w:t>2.8</w:t>
            </w:r>
          </w:p>
        </w:tc>
        <w:tc>
          <w:tcPr>
            <w:tcW w:w="880" w:type="dxa"/>
            <w:vAlign w:val="bottom"/>
          </w:tcPr>
          <w:p>
            <w:pPr>
              <w:jc w:val="right"/>
              <w:ind w:right="8"/>
              <w:spacing w:after="0"/>
              <w:rPr>
                <w:sz w:val="20"/>
                <w:szCs w:val="20"/>
                <w:color w:val="auto"/>
              </w:rPr>
            </w:pPr>
            <w:r>
              <w:rPr>
                <w:rFonts w:ascii="Arial" w:cs="Arial" w:eastAsia="Arial" w:hAnsi="Arial"/>
                <w:sz w:val="14"/>
                <w:szCs w:val="14"/>
                <w:color w:val="001641"/>
              </w:rPr>
              <w:t>—</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001641"/>
              </w:rPr>
              <w:t>—</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660" w:type="dxa"/>
            <w:vAlign w:val="bottom"/>
            <w:tcBorders>
              <w:bottom w:val="single" w:sz="8" w:color="BFA071"/>
            </w:tcBorders>
          </w:tcPr>
          <w:p>
            <w:pPr>
              <w:spacing w:after="0" w:line="20" w:lineRule="exact"/>
              <w:rPr>
                <w:sz w:val="1"/>
                <w:szCs w:val="1"/>
                <w:color w:val="auto"/>
              </w:rPr>
            </w:pPr>
          </w:p>
        </w:tc>
        <w:tc>
          <w:tcPr>
            <w:tcW w:w="480" w:type="dxa"/>
            <w:vAlign w:val="bottom"/>
            <w:tcBorders>
              <w:bottom w:val="single" w:sz="8" w:color="BFA071"/>
            </w:tcBorders>
          </w:tcPr>
          <w:p>
            <w:pPr>
              <w:spacing w:after="0" w:line="20" w:lineRule="exact"/>
              <w:rPr>
                <w:sz w:val="1"/>
                <w:szCs w:val="1"/>
                <w:color w:val="auto"/>
              </w:rPr>
            </w:pPr>
          </w:p>
        </w:tc>
        <w:tc>
          <w:tcPr>
            <w:tcW w:w="480" w:type="dxa"/>
            <w:vAlign w:val="bottom"/>
            <w:tcBorders>
              <w:bottom w:val="single" w:sz="8" w:color="BFA071"/>
            </w:tcBorders>
          </w:tcPr>
          <w:p>
            <w:pPr>
              <w:spacing w:after="0" w:line="20" w:lineRule="exact"/>
              <w:rPr>
                <w:sz w:val="1"/>
                <w:szCs w:val="1"/>
                <w:color w:val="auto"/>
              </w:rPr>
            </w:pPr>
          </w:p>
        </w:tc>
        <w:tc>
          <w:tcPr>
            <w:tcW w:w="9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74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660" w:type="dxa"/>
            <w:vAlign w:val="bottom"/>
          </w:tcPr>
          <w:p>
            <w:pPr>
              <w:ind w:left="300"/>
              <w:spacing w:after="0"/>
              <w:rPr>
                <w:sz w:val="20"/>
                <w:szCs w:val="20"/>
                <w:color w:val="auto"/>
              </w:rPr>
            </w:pPr>
            <w:r>
              <w:rPr>
                <w:rFonts w:ascii="Arial" w:cs="Arial" w:eastAsia="Arial" w:hAnsi="Arial"/>
                <w:sz w:val="14"/>
                <w:szCs w:val="14"/>
                <w:color w:val="001641"/>
              </w:rPr>
              <w:t>Club Monaco sale consideration from Regent, L.P.</w:t>
            </w:r>
          </w:p>
        </w:tc>
        <w:tc>
          <w:tcPr>
            <w:tcW w:w="4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001641"/>
              </w:rPr>
              <w:t>(2.8)</w:t>
            </w:r>
          </w:p>
        </w:tc>
        <w:tc>
          <w:tcPr>
            <w:tcW w:w="9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1641"/>
              </w:rPr>
              <w:t>(2.8)</w:t>
            </w:r>
          </w:p>
        </w:tc>
        <w:tc>
          <w:tcPr>
            <w:tcW w:w="880" w:type="dxa"/>
            <w:vAlign w:val="bottom"/>
          </w:tcPr>
          <w:p>
            <w:pPr>
              <w:jc w:val="right"/>
              <w:ind w:right="8"/>
              <w:spacing w:after="0"/>
              <w:rPr>
                <w:sz w:val="20"/>
                <w:szCs w:val="20"/>
                <w:color w:val="auto"/>
              </w:rPr>
            </w:pPr>
            <w:r>
              <w:rPr>
                <w:rFonts w:ascii="Arial" w:cs="Arial" w:eastAsia="Arial" w:hAnsi="Arial"/>
                <w:sz w:val="14"/>
                <w:szCs w:val="14"/>
                <w:color w:val="001641"/>
              </w:rPr>
              <w:t>—</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001641"/>
              </w:rPr>
              <w:t>—</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660" w:type="dxa"/>
            <w:vAlign w:val="bottom"/>
            <w:tcBorders>
              <w:bottom w:val="single" w:sz="8" w:color="BFA071"/>
            </w:tcBorders>
          </w:tcPr>
          <w:p>
            <w:pPr>
              <w:spacing w:after="0" w:line="20" w:lineRule="exact"/>
              <w:rPr>
                <w:sz w:val="1"/>
                <w:szCs w:val="1"/>
                <w:color w:val="auto"/>
              </w:rPr>
            </w:pPr>
          </w:p>
        </w:tc>
        <w:tc>
          <w:tcPr>
            <w:tcW w:w="480" w:type="dxa"/>
            <w:vAlign w:val="bottom"/>
            <w:tcBorders>
              <w:bottom w:val="single" w:sz="8" w:color="BFA071"/>
            </w:tcBorders>
          </w:tcPr>
          <w:p>
            <w:pPr>
              <w:spacing w:after="0" w:line="20" w:lineRule="exact"/>
              <w:rPr>
                <w:sz w:val="1"/>
                <w:szCs w:val="1"/>
                <w:color w:val="auto"/>
              </w:rPr>
            </w:pPr>
          </w:p>
        </w:tc>
        <w:tc>
          <w:tcPr>
            <w:tcW w:w="480" w:type="dxa"/>
            <w:vAlign w:val="bottom"/>
            <w:tcBorders>
              <w:bottom w:val="single" w:sz="8" w:color="BFA071"/>
            </w:tcBorders>
          </w:tcPr>
          <w:p>
            <w:pPr>
              <w:spacing w:after="0" w:line="20" w:lineRule="exact"/>
              <w:rPr>
                <w:sz w:val="1"/>
                <w:szCs w:val="1"/>
                <w:color w:val="auto"/>
              </w:rPr>
            </w:pPr>
          </w:p>
        </w:tc>
        <w:tc>
          <w:tcPr>
            <w:tcW w:w="9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800" w:type="dxa"/>
            <w:vAlign w:val="bottom"/>
            <w:tcBorders>
              <w:bottom w:val="single" w:sz="8" w:color="BFA071"/>
            </w:tcBorders>
            <w:gridSpan w:val="2"/>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660" w:type="dxa"/>
            <w:vAlign w:val="bottom"/>
          </w:tcPr>
          <w:p>
            <w:pPr>
              <w:ind w:left="300"/>
              <w:spacing w:after="0"/>
              <w:rPr>
                <w:sz w:val="20"/>
                <w:szCs w:val="20"/>
                <w:color w:val="auto"/>
              </w:rPr>
            </w:pPr>
            <w:r>
              <w:rPr>
                <w:rFonts w:ascii="Arial" w:cs="Arial" w:eastAsia="Arial" w:hAnsi="Arial"/>
                <w:sz w:val="14"/>
                <w:szCs w:val="14"/>
                <w:color w:val="001641"/>
              </w:rPr>
              <w:t>Non-restructuring plan impairment of assets</w:t>
            </w:r>
          </w:p>
        </w:tc>
        <w:tc>
          <w:tcPr>
            <w:tcW w:w="4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001641"/>
              </w:rPr>
              <w:t>0.8</w:t>
            </w:r>
          </w:p>
        </w:tc>
        <w:tc>
          <w:tcPr>
            <w:tcW w:w="9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001641"/>
              </w:rPr>
              <w:t>0.8</w:t>
            </w:r>
          </w:p>
        </w:tc>
        <w:tc>
          <w:tcPr>
            <w:tcW w:w="880" w:type="dxa"/>
            <w:vAlign w:val="bottom"/>
          </w:tcPr>
          <w:p>
            <w:pPr>
              <w:jc w:val="right"/>
              <w:ind w:right="8"/>
              <w:spacing w:after="0"/>
              <w:rPr>
                <w:sz w:val="20"/>
                <w:szCs w:val="20"/>
                <w:color w:val="auto"/>
              </w:rPr>
            </w:pPr>
            <w:r>
              <w:rPr>
                <w:rFonts w:ascii="Arial" w:cs="Arial" w:eastAsia="Arial" w:hAnsi="Arial"/>
                <w:sz w:val="14"/>
                <w:szCs w:val="14"/>
                <w:color w:val="001641"/>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001641"/>
              </w:rPr>
              <w:t>0.8</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660" w:type="dxa"/>
            <w:vAlign w:val="bottom"/>
            <w:tcBorders>
              <w:bottom w:val="single" w:sz="8" w:color="BFA071"/>
            </w:tcBorders>
          </w:tcPr>
          <w:p>
            <w:pPr>
              <w:spacing w:after="0" w:line="20" w:lineRule="exact"/>
              <w:rPr>
                <w:sz w:val="1"/>
                <w:szCs w:val="1"/>
                <w:color w:val="auto"/>
              </w:rPr>
            </w:pPr>
          </w:p>
        </w:tc>
        <w:tc>
          <w:tcPr>
            <w:tcW w:w="480" w:type="dxa"/>
            <w:vAlign w:val="bottom"/>
            <w:tcBorders>
              <w:bottom w:val="single" w:sz="8" w:color="BFA071"/>
            </w:tcBorders>
          </w:tcPr>
          <w:p>
            <w:pPr>
              <w:spacing w:after="0" w:line="20" w:lineRule="exact"/>
              <w:rPr>
                <w:sz w:val="1"/>
                <w:szCs w:val="1"/>
                <w:color w:val="auto"/>
              </w:rPr>
            </w:pPr>
          </w:p>
        </w:tc>
        <w:tc>
          <w:tcPr>
            <w:tcW w:w="480" w:type="dxa"/>
            <w:vAlign w:val="bottom"/>
            <w:tcBorders>
              <w:bottom w:val="single" w:sz="8" w:color="BFA071"/>
            </w:tcBorders>
          </w:tcPr>
          <w:p>
            <w:pPr>
              <w:spacing w:after="0" w:line="20" w:lineRule="exact"/>
              <w:rPr>
                <w:sz w:val="1"/>
                <w:szCs w:val="1"/>
                <w:color w:val="auto"/>
              </w:rPr>
            </w:pPr>
          </w:p>
        </w:tc>
        <w:tc>
          <w:tcPr>
            <w:tcW w:w="9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74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BFA071"/>
            </w:tcBorders>
          </w:tcPr>
          <w:p>
            <w:pPr>
              <w:ind w:left="300"/>
              <w:spacing w:after="0" w:line="250" w:lineRule="exact"/>
              <w:rPr>
                <w:sz w:val="20"/>
                <w:szCs w:val="20"/>
                <w:color w:val="auto"/>
              </w:rPr>
            </w:pPr>
            <w:r>
              <w:rPr>
                <w:rFonts w:ascii="Arial" w:cs="Arial" w:eastAsia="Arial" w:hAnsi="Arial"/>
                <w:sz w:val="14"/>
                <w:szCs w:val="14"/>
                <w:color w:val="001641"/>
              </w:rPr>
              <w:t>Tax effects of operating income adjustments</w:t>
            </w:r>
            <w:r>
              <w:rPr>
                <w:rFonts w:ascii="Arial" w:cs="Arial" w:eastAsia="Arial" w:hAnsi="Arial"/>
                <w:sz w:val="23"/>
                <w:szCs w:val="23"/>
                <w:color w:val="001641"/>
                <w:vertAlign w:val="superscript"/>
              </w:rPr>
              <w:t>(4)</w:t>
            </w:r>
          </w:p>
        </w:tc>
        <w:tc>
          <w:tcPr>
            <w:tcW w:w="480" w:type="dxa"/>
            <w:vAlign w:val="bottom"/>
            <w:tcBorders>
              <w:bottom w:val="single" w:sz="8" w:color="BFA071"/>
            </w:tcBorders>
          </w:tcPr>
          <w:p>
            <w:pPr>
              <w:spacing w:after="0"/>
              <w:rPr>
                <w:sz w:val="21"/>
                <w:szCs w:val="21"/>
                <w:color w:val="auto"/>
              </w:rPr>
            </w:pPr>
          </w:p>
        </w:tc>
        <w:tc>
          <w:tcPr>
            <w:tcW w:w="480" w:type="dxa"/>
            <w:vAlign w:val="bottom"/>
            <w:tcBorders>
              <w:bottom w:val="single" w:sz="8" w:color="BFA071"/>
            </w:tcBorders>
          </w:tcPr>
          <w:p>
            <w:pPr>
              <w:jc w:val="right"/>
              <w:spacing w:after="0"/>
              <w:rPr>
                <w:sz w:val="20"/>
                <w:szCs w:val="20"/>
                <w:color w:val="auto"/>
              </w:rPr>
            </w:pPr>
            <w:r>
              <w:rPr>
                <w:rFonts w:ascii="Arial" w:cs="Arial" w:eastAsia="Arial" w:hAnsi="Arial"/>
                <w:sz w:val="14"/>
                <w:szCs w:val="14"/>
                <w:color w:val="001641"/>
              </w:rPr>
              <w:t>—</w:t>
            </w:r>
          </w:p>
        </w:tc>
        <w:tc>
          <w:tcPr>
            <w:tcW w:w="940" w:type="dxa"/>
            <w:vAlign w:val="bottom"/>
            <w:tcBorders>
              <w:bottom w:val="single" w:sz="8" w:color="BFA071"/>
            </w:tcBorders>
          </w:tcPr>
          <w:p>
            <w:pPr>
              <w:spacing w:after="0"/>
              <w:rPr>
                <w:sz w:val="21"/>
                <w:szCs w:val="21"/>
                <w:color w:val="auto"/>
              </w:rPr>
            </w:pPr>
          </w:p>
        </w:tc>
        <w:tc>
          <w:tcPr>
            <w:tcW w:w="900" w:type="dxa"/>
            <w:vAlign w:val="bottom"/>
            <w:tcBorders>
              <w:bottom w:val="single" w:sz="8" w:color="BFA071"/>
            </w:tcBorders>
          </w:tcPr>
          <w:p>
            <w:pPr>
              <w:jc w:val="right"/>
              <w:spacing w:after="0"/>
              <w:rPr>
                <w:sz w:val="20"/>
                <w:szCs w:val="20"/>
                <w:color w:val="auto"/>
              </w:rPr>
            </w:pPr>
            <w:r>
              <w:rPr>
                <w:rFonts w:ascii="Arial" w:cs="Arial" w:eastAsia="Arial" w:hAnsi="Arial"/>
                <w:sz w:val="14"/>
                <w:szCs w:val="14"/>
                <w:color w:val="001641"/>
              </w:rPr>
              <w:t>(11.8)</w:t>
            </w:r>
          </w:p>
        </w:tc>
        <w:tc>
          <w:tcPr>
            <w:tcW w:w="880" w:type="dxa"/>
            <w:vAlign w:val="bottom"/>
            <w:tcBorders>
              <w:bottom w:val="single" w:sz="8" w:color="BFA071"/>
            </w:tcBorders>
          </w:tcPr>
          <w:p>
            <w:pPr>
              <w:jc w:val="right"/>
              <w:ind w:right="8"/>
              <w:spacing w:after="0"/>
              <w:rPr>
                <w:sz w:val="20"/>
                <w:szCs w:val="20"/>
                <w:color w:val="auto"/>
              </w:rPr>
            </w:pPr>
            <w:r>
              <w:rPr>
                <w:rFonts w:ascii="Arial" w:cs="Arial" w:eastAsia="Arial" w:hAnsi="Arial"/>
                <w:sz w:val="14"/>
                <w:szCs w:val="14"/>
                <w:color w:val="001641"/>
              </w:rPr>
              <w:t>—</w:t>
            </w:r>
          </w:p>
        </w:tc>
        <w:tc>
          <w:tcPr>
            <w:tcW w:w="60" w:type="dxa"/>
            <w:vAlign w:val="bottom"/>
            <w:tcBorders>
              <w:bottom w:val="single" w:sz="8" w:color="BFA071"/>
            </w:tcBorders>
          </w:tcPr>
          <w:p>
            <w:pPr>
              <w:spacing w:after="0"/>
              <w:rPr>
                <w:sz w:val="21"/>
                <w:szCs w:val="21"/>
                <w:color w:val="auto"/>
              </w:rPr>
            </w:pPr>
          </w:p>
        </w:tc>
        <w:tc>
          <w:tcPr>
            <w:tcW w:w="740" w:type="dxa"/>
            <w:vAlign w:val="bottom"/>
            <w:tcBorders>
              <w:bottom w:val="single" w:sz="8" w:color="BFA071"/>
            </w:tcBorders>
          </w:tcPr>
          <w:p>
            <w:pPr>
              <w:jc w:val="right"/>
              <w:spacing w:after="0"/>
              <w:rPr>
                <w:sz w:val="20"/>
                <w:szCs w:val="20"/>
                <w:color w:val="auto"/>
              </w:rPr>
            </w:pPr>
            <w:r>
              <w:rPr>
                <w:rFonts w:ascii="Arial" w:cs="Arial" w:eastAsia="Arial" w:hAnsi="Arial"/>
                <w:sz w:val="14"/>
                <w:szCs w:val="14"/>
                <w:color w:val="001641"/>
              </w:rPr>
              <w:t>—</w:t>
            </w:r>
          </w:p>
        </w:tc>
        <w:tc>
          <w:tcPr>
            <w:tcW w:w="60" w:type="dxa"/>
            <w:vAlign w:val="bottom"/>
            <w:tcBorders>
              <w:bottom w:val="single" w:sz="8" w:color="BFA071"/>
            </w:tcBorders>
          </w:tcPr>
          <w:p>
            <w:pPr>
              <w:spacing w:after="0"/>
              <w:rPr>
                <w:sz w:val="21"/>
                <w:szCs w:val="21"/>
                <w:color w:val="auto"/>
              </w:rPr>
            </w:pPr>
          </w:p>
        </w:tc>
        <w:tc>
          <w:tcPr>
            <w:tcW w:w="880" w:type="dxa"/>
            <w:vAlign w:val="bottom"/>
            <w:tcBorders>
              <w:bottom w:val="single" w:sz="8" w:color="BFA071"/>
            </w:tcBorders>
          </w:tcPr>
          <w:p>
            <w:pPr>
              <w:spacing w:after="0"/>
              <w:rPr>
                <w:sz w:val="21"/>
                <w:szCs w:val="21"/>
                <w:color w:val="auto"/>
              </w:rPr>
            </w:pPr>
          </w:p>
        </w:tc>
        <w:tc>
          <w:tcPr>
            <w:tcW w:w="100" w:type="dxa"/>
            <w:vAlign w:val="bottom"/>
            <w:tcBorders>
              <w:bottom w:val="single" w:sz="8" w:color="BFA071"/>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3660" w:type="dxa"/>
            <w:vAlign w:val="bottom"/>
          </w:tcPr>
          <w:p>
            <w:pPr>
              <w:ind w:left="120"/>
              <w:spacing w:after="0"/>
              <w:rPr>
                <w:sz w:val="20"/>
                <w:szCs w:val="20"/>
                <w:color w:val="auto"/>
              </w:rPr>
            </w:pPr>
            <w:r>
              <w:rPr>
                <w:rFonts w:ascii="Arial" w:cs="Arial" w:eastAsia="Arial" w:hAnsi="Arial"/>
                <w:sz w:val="14"/>
                <w:szCs w:val="14"/>
                <w:color w:val="001641"/>
              </w:rPr>
              <w:t>As adjusted in reported currency</w:t>
            </w:r>
          </w:p>
        </w:tc>
        <w:tc>
          <w:tcPr>
            <w:tcW w:w="480" w:type="dxa"/>
            <w:vAlign w:val="bottom"/>
          </w:tcPr>
          <w:p>
            <w:pPr>
              <w:jc w:val="right"/>
              <w:spacing w:after="0"/>
              <w:rPr>
                <w:sz w:val="20"/>
                <w:szCs w:val="20"/>
                <w:color w:val="auto"/>
              </w:rPr>
            </w:pPr>
            <w:r>
              <w:rPr>
                <w:rFonts w:ascii="Arial" w:cs="Arial" w:eastAsia="Arial" w:hAnsi="Arial"/>
                <w:sz w:val="14"/>
                <w:szCs w:val="14"/>
                <w:color w:val="001641"/>
              </w:rPr>
              <w:t>$</w:t>
            </w:r>
          </w:p>
        </w:tc>
        <w:tc>
          <w:tcPr>
            <w:tcW w:w="480" w:type="dxa"/>
            <w:vAlign w:val="bottom"/>
          </w:tcPr>
          <w:p>
            <w:pPr>
              <w:jc w:val="right"/>
              <w:spacing w:after="0"/>
              <w:rPr>
                <w:sz w:val="20"/>
                <w:szCs w:val="20"/>
                <w:color w:val="auto"/>
              </w:rPr>
            </w:pPr>
            <w:r>
              <w:rPr>
                <w:rFonts w:ascii="Arial" w:cs="Arial" w:eastAsia="Arial" w:hAnsi="Arial"/>
                <w:sz w:val="14"/>
                <w:szCs w:val="14"/>
                <w:color w:val="001641"/>
              </w:rPr>
              <w:t>989.9</w:t>
            </w:r>
          </w:p>
        </w:tc>
        <w:tc>
          <w:tcPr>
            <w:tcW w:w="940" w:type="dxa"/>
            <w:vAlign w:val="bottom"/>
          </w:tcPr>
          <w:p>
            <w:pPr>
              <w:jc w:val="right"/>
              <w:spacing w:after="0"/>
              <w:rPr>
                <w:sz w:val="20"/>
                <w:szCs w:val="20"/>
                <w:color w:val="auto"/>
              </w:rPr>
            </w:pPr>
            <w:r>
              <w:rPr>
                <w:rFonts w:ascii="Arial" w:cs="Arial" w:eastAsia="Arial" w:hAnsi="Arial"/>
                <w:sz w:val="14"/>
                <w:szCs w:val="14"/>
                <w:color w:val="001641"/>
              </w:rPr>
              <w:t>14.0%</w:t>
            </w:r>
          </w:p>
        </w:tc>
        <w:tc>
          <w:tcPr>
            <w:tcW w:w="900" w:type="dxa"/>
            <w:vAlign w:val="bottom"/>
          </w:tcPr>
          <w:p>
            <w:pPr>
              <w:jc w:val="right"/>
              <w:ind w:right="8"/>
              <w:spacing w:after="0"/>
              <w:rPr>
                <w:sz w:val="20"/>
                <w:szCs w:val="20"/>
                <w:color w:val="auto"/>
              </w:rPr>
            </w:pPr>
            <w:r>
              <w:rPr>
                <w:rFonts w:ascii="Arial" w:cs="Arial" w:eastAsia="Arial" w:hAnsi="Arial"/>
                <w:sz w:val="14"/>
                <w:szCs w:val="14"/>
                <w:color w:val="001641"/>
              </w:rPr>
              <w:t>$788.9</w:t>
            </w:r>
          </w:p>
        </w:tc>
        <w:tc>
          <w:tcPr>
            <w:tcW w:w="880" w:type="dxa"/>
            <w:vAlign w:val="bottom"/>
          </w:tcPr>
          <w:p>
            <w:pPr>
              <w:jc w:val="right"/>
              <w:ind w:right="8"/>
              <w:spacing w:after="0"/>
              <w:rPr>
                <w:sz w:val="20"/>
                <w:szCs w:val="20"/>
                <w:color w:val="auto"/>
              </w:rPr>
            </w:pPr>
            <w:r>
              <w:rPr>
                <w:rFonts w:ascii="Arial" w:cs="Arial" w:eastAsia="Arial" w:hAnsi="Arial"/>
                <w:sz w:val="14"/>
                <w:szCs w:val="14"/>
                <w:color w:val="001641"/>
              </w:rPr>
              <w:t>$949.6</w:t>
            </w:r>
          </w:p>
        </w:tc>
        <w:tc>
          <w:tcPr>
            <w:tcW w:w="800" w:type="dxa"/>
            <w:vAlign w:val="bottom"/>
            <w:gridSpan w:val="2"/>
          </w:tcPr>
          <w:p>
            <w:pPr>
              <w:jc w:val="right"/>
              <w:spacing w:after="0"/>
              <w:rPr>
                <w:sz w:val="20"/>
                <w:szCs w:val="20"/>
                <w:color w:val="auto"/>
              </w:rPr>
            </w:pPr>
            <w:r>
              <w:rPr>
                <w:rFonts w:ascii="Arial" w:cs="Arial" w:eastAsia="Arial" w:hAnsi="Arial"/>
                <w:sz w:val="14"/>
                <w:szCs w:val="14"/>
                <w:color w:val="001641"/>
              </w:rPr>
              <w:t>$850.1</w:t>
            </w:r>
          </w:p>
        </w:tc>
        <w:tc>
          <w:tcPr>
            <w:tcW w:w="940" w:type="dxa"/>
            <w:vAlign w:val="bottom"/>
            <w:gridSpan w:val="2"/>
          </w:tcPr>
          <w:p>
            <w:pPr>
              <w:jc w:val="right"/>
              <w:spacing w:after="0"/>
              <w:rPr>
                <w:sz w:val="20"/>
                <w:szCs w:val="20"/>
                <w:color w:val="auto"/>
              </w:rPr>
            </w:pPr>
            <w:r>
              <w:rPr>
                <w:rFonts w:ascii="Arial" w:cs="Arial" w:eastAsia="Arial" w:hAnsi="Arial"/>
                <w:sz w:val="14"/>
                <w:szCs w:val="14"/>
                <w:color w:val="001641"/>
              </w:rPr>
              <w:t>43.8%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660" w:type="dxa"/>
            <w:vAlign w:val="bottom"/>
            <w:tcBorders>
              <w:bottom w:val="single" w:sz="8" w:color="BFA071"/>
            </w:tcBorders>
          </w:tcPr>
          <w:p>
            <w:pPr>
              <w:spacing w:after="0" w:line="20" w:lineRule="exact"/>
              <w:rPr>
                <w:sz w:val="1"/>
                <w:szCs w:val="1"/>
                <w:color w:val="auto"/>
              </w:rPr>
            </w:pPr>
          </w:p>
        </w:tc>
        <w:tc>
          <w:tcPr>
            <w:tcW w:w="480" w:type="dxa"/>
            <w:vAlign w:val="bottom"/>
            <w:tcBorders>
              <w:bottom w:val="single" w:sz="8" w:color="BFA071"/>
            </w:tcBorders>
          </w:tcPr>
          <w:p>
            <w:pPr>
              <w:spacing w:after="0" w:line="20" w:lineRule="exact"/>
              <w:rPr>
                <w:sz w:val="1"/>
                <w:szCs w:val="1"/>
                <w:color w:val="auto"/>
              </w:rPr>
            </w:pPr>
          </w:p>
        </w:tc>
        <w:tc>
          <w:tcPr>
            <w:tcW w:w="480" w:type="dxa"/>
            <w:vAlign w:val="bottom"/>
            <w:tcBorders>
              <w:bottom w:val="single" w:sz="8" w:color="BFA071"/>
            </w:tcBorders>
          </w:tcPr>
          <w:p>
            <w:pPr>
              <w:spacing w:after="0" w:line="20" w:lineRule="exact"/>
              <w:rPr>
                <w:sz w:val="1"/>
                <w:szCs w:val="1"/>
                <w:color w:val="auto"/>
              </w:rPr>
            </w:pPr>
          </w:p>
        </w:tc>
        <w:tc>
          <w:tcPr>
            <w:tcW w:w="9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74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660" w:type="dxa"/>
            <w:vAlign w:val="bottom"/>
          </w:tcPr>
          <w:p>
            <w:pPr>
              <w:ind w:left="120"/>
              <w:spacing w:after="0"/>
              <w:rPr>
                <w:sz w:val="20"/>
                <w:szCs w:val="20"/>
                <w:color w:val="auto"/>
              </w:rPr>
            </w:pPr>
            <w:r>
              <w:rPr>
                <w:rFonts w:ascii="Arial" w:cs="Arial" w:eastAsia="Arial" w:hAnsi="Arial"/>
                <w:sz w:val="14"/>
                <w:szCs w:val="14"/>
                <w:color w:val="001641"/>
              </w:rPr>
              <w:t>Foreign currency impact</w:t>
            </w:r>
          </w:p>
        </w:tc>
        <w:tc>
          <w:tcPr>
            <w:tcW w:w="4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001641"/>
              </w:rPr>
              <w:t>32.0</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66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gridSpan w:val="2"/>
          </w:tcPr>
          <w:p>
            <w:pPr>
              <w:spacing w:after="0" w:line="20" w:lineRule="exact"/>
              <w:rPr>
                <w:sz w:val="1"/>
                <w:szCs w:val="1"/>
                <w:color w:val="auto"/>
              </w:rPr>
            </w:pPr>
          </w:p>
        </w:tc>
        <w:tc>
          <w:tcPr>
            <w:tcW w:w="9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74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660" w:type="dxa"/>
            <w:vAlign w:val="bottom"/>
            <w:tcBorders>
              <w:bottom w:val="single" w:sz="8" w:color="001641"/>
            </w:tcBorders>
          </w:tcPr>
          <w:p>
            <w:pPr>
              <w:ind w:left="120"/>
              <w:spacing w:after="0"/>
              <w:rPr>
                <w:sz w:val="20"/>
                <w:szCs w:val="20"/>
                <w:color w:val="auto"/>
              </w:rPr>
            </w:pPr>
            <w:r>
              <w:rPr>
                <w:rFonts w:ascii="Arial" w:cs="Arial" w:eastAsia="Arial" w:hAnsi="Arial"/>
                <w:sz w:val="14"/>
                <w:szCs w:val="14"/>
                <w:color w:val="001641"/>
              </w:rPr>
              <w:t>As adjusted in constant currency</w:t>
            </w:r>
          </w:p>
        </w:tc>
        <w:tc>
          <w:tcPr>
            <w:tcW w:w="960" w:type="dxa"/>
            <w:vAlign w:val="bottom"/>
            <w:tcBorders>
              <w:bottom w:val="single" w:sz="8" w:color="001641"/>
            </w:tcBorders>
            <w:gridSpan w:val="2"/>
          </w:tcPr>
          <w:p>
            <w:pPr>
              <w:jc w:val="right"/>
              <w:spacing w:after="0"/>
              <w:rPr>
                <w:sz w:val="20"/>
                <w:szCs w:val="20"/>
                <w:color w:val="auto"/>
              </w:rPr>
            </w:pPr>
            <w:r>
              <w:rPr>
                <w:rFonts w:ascii="Arial" w:cs="Arial" w:eastAsia="Arial" w:hAnsi="Arial"/>
                <w:sz w:val="14"/>
                <w:szCs w:val="14"/>
                <w:color w:val="001641"/>
              </w:rPr>
              <w:t>$1,021.9</w:t>
            </w:r>
          </w:p>
        </w:tc>
        <w:tc>
          <w:tcPr>
            <w:tcW w:w="940" w:type="dxa"/>
            <w:vAlign w:val="bottom"/>
            <w:tcBorders>
              <w:bottom w:val="single" w:sz="8" w:color="001641"/>
            </w:tcBorders>
          </w:tcPr>
          <w:p>
            <w:pPr>
              <w:jc w:val="right"/>
              <w:spacing w:after="0"/>
              <w:rPr>
                <w:sz w:val="20"/>
                <w:szCs w:val="20"/>
                <w:color w:val="auto"/>
              </w:rPr>
            </w:pPr>
            <w:r>
              <w:rPr>
                <w:rFonts w:ascii="Arial" w:cs="Arial" w:eastAsia="Arial" w:hAnsi="Arial"/>
                <w:sz w:val="14"/>
                <w:szCs w:val="14"/>
                <w:color w:val="001641"/>
              </w:rPr>
              <w:t>14.3%</w:t>
            </w:r>
          </w:p>
        </w:tc>
        <w:tc>
          <w:tcPr>
            <w:tcW w:w="900" w:type="dxa"/>
            <w:vAlign w:val="bottom"/>
            <w:tcBorders>
              <w:bottom w:val="single" w:sz="8" w:color="001641"/>
            </w:tcBorders>
          </w:tcPr>
          <w:p>
            <w:pPr>
              <w:spacing w:after="0"/>
              <w:rPr>
                <w:sz w:val="17"/>
                <w:szCs w:val="17"/>
                <w:color w:val="auto"/>
              </w:rPr>
            </w:pPr>
          </w:p>
        </w:tc>
        <w:tc>
          <w:tcPr>
            <w:tcW w:w="880" w:type="dxa"/>
            <w:vAlign w:val="bottom"/>
            <w:tcBorders>
              <w:bottom w:val="single" w:sz="8" w:color="001641"/>
            </w:tcBorders>
          </w:tcPr>
          <w:p>
            <w:pPr>
              <w:spacing w:after="0"/>
              <w:rPr>
                <w:sz w:val="17"/>
                <w:szCs w:val="17"/>
                <w:color w:val="auto"/>
              </w:rPr>
            </w:pPr>
          </w:p>
        </w:tc>
        <w:tc>
          <w:tcPr>
            <w:tcW w:w="60" w:type="dxa"/>
            <w:vAlign w:val="bottom"/>
            <w:tcBorders>
              <w:bottom w:val="single" w:sz="8" w:color="001641"/>
            </w:tcBorders>
          </w:tcPr>
          <w:p>
            <w:pPr>
              <w:spacing w:after="0"/>
              <w:rPr>
                <w:sz w:val="17"/>
                <w:szCs w:val="17"/>
                <w:color w:val="auto"/>
              </w:rPr>
            </w:pPr>
          </w:p>
        </w:tc>
        <w:tc>
          <w:tcPr>
            <w:tcW w:w="740" w:type="dxa"/>
            <w:vAlign w:val="bottom"/>
            <w:tcBorders>
              <w:bottom w:val="single" w:sz="8" w:color="001641"/>
            </w:tcBorders>
          </w:tcPr>
          <w:p>
            <w:pPr>
              <w:spacing w:after="0"/>
              <w:rPr>
                <w:sz w:val="17"/>
                <w:szCs w:val="17"/>
                <w:color w:val="auto"/>
              </w:rPr>
            </w:pPr>
          </w:p>
        </w:tc>
        <w:tc>
          <w:tcPr>
            <w:tcW w:w="60" w:type="dxa"/>
            <w:vAlign w:val="bottom"/>
            <w:tcBorders>
              <w:bottom w:val="single" w:sz="8" w:color="001641"/>
            </w:tcBorders>
          </w:tcPr>
          <w:p>
            <w:pPr>
              <w:spacing w:after="0"/>
              <w:rPr>
                <w:sz w:val="17"/>
                <w:szCs w:val="17"/>
                <w:color w:val="auto"/>
              </w:rPr>
            </w:pPr>
          </w:p>
        </w:tc>
        <w:tc>
          <w:tcPr>
            <w:tcW w:w="880" w:type="dxa"/>
            <w:vAlign w:val="bottom"/>
            <w:tcBorders>
              <w:bottom w:val="single" w:sz="8" w:color="001641"/>
            </w:tcBorders>
          </w:tcPr>
          <w:p>
            <w:pPr>
              <w:spacing w:after="0"/>
              <w:rPr>
                <w:sz w:val="17"/>
                <w:szCs w:val="17"/>
                <w:color w:val="auto"/>
              </w:rPr>
            </w:pPr>
          </w:p>
        </w:tc>
        <w:tc>
          <w:tcPr>
            <w:tcW w:w="100" w:type="dxa"/>
            <w:vAlign w:val="bottom"/>
            <w:tcBorders>
              <w:bottom w:val="single" w:sz="8" w:color="001641"/>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6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-2442845</wp:posOffset>
            </wp:positionV>
            <wp:extent cx="336867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36867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-2185670</wp:posOffset>
            </wp:positionV>
            <wp:extent cx="336867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3686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128905</wp:posOffset>
            </wp:positionV>
            <wp:extent cx="128905" cy="11112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38" w:name="page139"/>
    <w:bookmarkEnd w:id="138"/>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3"/>
          <w:szCs w:val="13"/>
          <w:b w:val="1"/>
          <w:bCs w:val="1"/>
          <w:color w:val="001641"/>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53340</wp:posOffset>
            </wp:positionV>
            <wp:extent cx="582930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920" w:type="dxa"/>
            <w:vAlign w:val="bottom"/>
          </w:tcPr>
          <w:p>
            <w:pPr>
              <w:spacing w:after="0"/>
              <w:rPr>
                <w:sz w:val="24"/>
                <w:szCs w:val="24"/>
                <w:color w:val="auto"/>
              </w:rPr>
            </w:pPr>
          </w:p>
        </w:tc>
        <w:tc>
          <w:tcPr>
            <w:tcW w:w="3740" w:type="dxa"/>
            <w:vAlign w:val="bottom"/>
            <w:shd w:val="clear" w:color="auto" w:fill="001641"/>
          </w:tcPr>
          <w:p>
            <w:pPr>
              <w:spacing w:after="0"/>
              <w:rPr>
                <w:sz w:val="24"/>
                <w:szCs w:val="24"/>
                <w:color w:val="auto"/>
              </w:rPr>
            </w:pPr>
          </w:p>
        </w:tc>
        <w:tc>
          <w:tcPr>
            <w:tcW w:w="880" w:type="dxa"/>
            <w:vAlign w:val="bottom"/>
            <w:shd w:val="clear" w:color="auto" w:fill="001641"/>
          </w:tcPr>
          <w:p>
            <w:pPr>
              <w:spacing w:after="0"/>
              <w:rPr>
                <w:sz w:val="24"/>
                <w:szCs w:val="24"/>
                <w:color w:val="auto"/>
              </w:rPr>
            </w:pPr>
          </w:p>
        </w:tc>
        <w:tc>
          <w:tcPr>
            <w:tcW w:w="960" w:type="dxa"/>
            <w:vAlign w:val="bottom"/>
            <w:shd w:val="clear" w:color="auto" w:fill="001641"/>
          </w:tcPr>
          <w:p>
            <w:pPr>
              <w:spacing w:after="0"/>
              <w:rPr>
                <w:sz w:val="24"/>
                <w:szCs w:val="24"/>
                <w:color w:val="auto"/>
              </w:rPr>
            </w:pPr>
          </w:p>
        </w:tc>
        <w:tc>
          <w:tcPr>
            <w:tcW w:w="1840" w:type="dxa"/>
            <w:vAlign w:val="bottom"/>
            <w:gridSpan w:val="2"/>
            <w:shd w:val="clear" w:color="auto" w:fill="001641"/>
          </w:tcPr>
          <w:p>
            <w:pPr>
              <w:jc w:val="right"/>
              <w:ind w:right="268"/>
              <w:spacing w:after="0"/>
              <w:rPr>
                <w:sz w:val="20"/>
                <w:szCs w:val="20"/>
                <w:color w:val="auto"/>
              </w:rPr>
            </w:pPr>
            <w:r>
              <w:rPr>
                <w:rFonts w:ascii="Arial" w:cs="Arial" w:eastAsia="Arial" w:hAnsi="Arial"/>
                <w:sz w:val="14"/>
                <w:szCs w:val="14"/>
                <w:b w:val="1"/>
                <w:bCs w:val="1"/>
                <w:color w:val="FFFFFF"/>
              </w:rPr>
              <w:t>Fiscal Year Ended</w:t>
            </w:r>
          </w:p>
        </w:tc>
        <w:tc>
          <w:tcPr>
            <w:tcW w:w="60" w:type="dxa"/>
            <w:vAlign w:val="bottom"/>
            <w:shd w:val="clear" w:color="auto" w:fill="001641"/>
          </w:tcPr>
          <w:p>
            <w:pPr>
              <w:spacing w:after="0"/>
              <w:rPr>
                <w:sz w:val="24"/>
                <w:szCs w:val="24"/>
                <w:color w:val="auto"/>
              </w:rPr>
            </w:pPr>
          </w:p>
        </w:tc>
        <w:tc>
          <w:tcPr>
            <w:tcW w:w="660" w:type="dxa"/>
            <w:vAlign w:val="bottom"/>
            <w:shd w:val="clear" w:color="auto" w:fill="001641"/>
          </w:tcPr>
          <w:p>
            <w:pPr>
              <w:spacing w:after="0"/>
              <w:rPr>
                <w:sz w:val="24"/>
                <w:szCs w:val="24"/>
                <w:color w:val="auto"/>
              </w:rPr>
            </w:pPr>
          </w:p>
        </w:tc>
        <w:tc>
          <w:tcPr>
            <w:tcW w:w="40" w:type="dxa"/>
            <w:vAlign w:val="bottom"/>
            <w:shd w:val="clear" w:color="auto" w:fill="001641"/>
          </w:tcPr>
          <w:p>
            <w:pPr>
              <w:spacing w:after="0"/>
              <w:rPr>
                <w:sz w:val="24"/>
                <w:szCs w:val="24"/>
                <w:color w:val="auto"/>
              </w:rPr>
            </w:pPr>
          </w:p>
        </w:tc>
        <w:tc>
          <w:tcPr>
            <w:tcW w:w="900" w:type="dxa"/>
            <w:vAlign w:val="bottom"/>
            <w:shd w:val="clear" w:color="auto" w:fill="001641"/>
          </w:tcPr>
          <w:p>
            <w:pPr>
              <w:spacing w:after="0"/>
              <w:rPr>
                <w:sz w:val="24"/>
                <w:szCs w:val="24"/>
                <w:color w:val="auto"/>
              </w:rPr>
            </w:pPr>
          </w:p>
        </w:tc>
        <w:tc>
          <w:tcPr>
            <w:tcW w:w="100" w:type="dxa"/>
            <w:vAlign w:val="bottom"/>
            <w:shd w:val="clear" w:color="auto" w:fill="001641"/>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740" w:type="dxa"/>
            <w:vAlign w:val="bottom"/>
            <w:shd w:val="clear" w:color="auto" w:fill="001641"/>
          </w:tcPr>
          <w:p>
            <w:pPr>
              <w:spacing w:after="0"/>
              <w:rPr>
                <w:sz w:val="21"/>
                <w:szCs w:val="21"/>
                <w:color w:val="auto"/>
              </w:rPr>
            </w:pPr>
          </w:p>
        </w:tc>
        <w:tc>
          <w:tcPr>
            <w:tcW w:w="880" w:type="dxa"/>
            <w:vAlign w:val="bottom"/>
            <w:shd w:val="clear" w:color="auto" w:fill="001641"/>
          </w:tcPr>
          <w:p>
            <w:pPr>
              <w:spacing w:after="0"/>
              <w:rPr>
                <w:sz w:val="21"/>
                <w:szCs w:val="21"/>
                <w:color w:val="auto"/>
              </w:rPr>
            </w:pPr>
          </w:p>
        </w:tc>
        <w:tc>
          <w:tcPr>
            <w:tcW w:w="960" w:type="dxa"/>
            <w:vAlign w:val="bottom"/>
            <w:shd w:val="clear" w:color="auto" w:fill="001641"/>
          </w:tcPr>
          <w:p>
            <w:pPr>
              <w:spacing w:after="0"/>
              <w:rPr>
                <w:sz w:val="21"/>
                <w:szCs w:val="21"/>
                <w:color w:val="auto"/>
              </w:rPr>
            </w:pPr>
          </w:p>
        </w:tc>
        <w:tc>
          <w:tcPr>
            <w:tcW w:w="1840" w:type="dxa"/>
            <w:vAlign w:val="bottom"/>
            <w:gridSpan w:val="2"/>
            <w:shd w:val="clear" w:color="auto" w:fill="001641"/>
          </w:tcPr>
          <w:p>
            <w:pPr>
              <w:jc w:val="right"/>
              <w:ind w:right="368"/>
              <w:spacing w:after="0"/>
              <w:rPr>
                <w:sz w:val="20"/>
                <w:szCs w:val="20"/>
                <w:color w:val="auto"/>
              </w:rPr>
            </w:pPr>
            <w:r>
              <w:rPr>
                <w:rFonts w:ascii="Arial" w:cs="Arial" w:eastAsia="Arial" w:hAnsi="Arial"/>
                <w:sz w:val="14"/>
                <w:szCs w:val="14"/>
                <w:b w:val="1"/>
                <w:bCs w:val="1"/>
                <w:color w:val="FFFFFF"/>
              </w:rPr>
              <w:t>March 30, 2024</w:t>
            </w:r>
          </w:p>
        </w:tc>
        <w:tc>
          <w:tcPr>
            <w:tcW w:w="60" w:type="dxa"/>
            <w:vAlign w:val="bottom"/>
            <w:shd w:val="clear" w:color="auto" w:fill="001641"/>
          </w:tcPr>
          <w:p>
            <w:pPr>
              <w:spacing w:after="0"/>
              <w:rPr>
                <w:sz w:val="21"/>
                <w:szCs w:val="21"/>
                <w:color w:val="auto"/>
              </w:rPr>
            </w:pPr>
          </w:p>
        </w:tc>
        <w:tc>
          <w:tcPr>
            <w:tcW w:w="660" w:type="dxa"/>
            <w:vAlign w:val="bottom"/>
            <w:shd w:val="clear" w:color="auto" w:fill="001641"/>
          </w:tcPr>
          <w:p>
            <w:pPr>
              <w:spacing w:after="0"/>
              <w:rPr>
                <w:sz w:val="21"/>
                <w:szCs w:val="21"/>
                <w:color w:val="auto"/>
              </w:rPr>
            </w:pPr>
          </w:p>
        </w:tc>
        <w:tc>
          <w:tcPr>
            <w:tcW w:w="40" w:type="dxa"/>
            <w:vAlign w:val="bottom"/>
            <w:shd w:val="clear" w:color="auto" w:fill="001641"/>
          </w:tcPr>
          <w:p>
            <w:pPr>
              <w:spacing w:after="0"/>
              <w:rPr>
                <w:sz w:val="21"/>
                <w:szCs w:val="21"/>
                <w:color w:val="auto"/>
              </w:rPr>
            </w:pPr>
          </w:p>
        </w:tc>
        <w:tc>
          <w:tcPr>
            <w:tcW w:w="900" w:type="dxa"/>
            <w:vAlign w:val="bottom"/>
            <w:shd w:val="clear" w:color="auto" w:fill="001641"/>
          </w:tcPr>
          <w:p>
            <w:pPr>
              <w:spacing w:after="0"/>
              <w:rPr>
                <w:sz w:val="21"/>
                <w:szCs w:val="21"/>
                <w:color w:val="auto"/>
              </w:rPr>
            </w:pPr>
          </w:p>
        </w:tc>
        <w:tc>
          <w:tcPr>
            <w:tcW w:w="100" w:type="dxa"/>
            <w:vAlign w:val="bottom"/>
            <w:shd w:val="clear" w:color="auto" w:fill="001641"/>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740" w:type="dxa"/>
            <w:vAlign w:val="bottom"/>
            <w:shd w:val="clear" w:color="auto" w:fill="001641"/>
          </w:tcPr>
          <w:p>
            <w:pPr>
              <w:spacing w:after="0"/>
              <w:rPr>
                <w:sz w:val="18"/>
                <w:szCs w:val="18"/>
                <w:color w:val="auto"/>
              </w:rPr>
            </w:pPr>
          </w:p>
        </w:tc>
        <w:tc>
          <w:tcPr>
            <w:tcW w:w="880" w:type="dxa"/>
            <w:vAlign w:val="bottom"/>
            <w:shd w:val="clear" w:color="auto" w:fill="001641"/>
          </w:tcPr>
          <w:p>
            <w:pPr>
              <w:jc w:val="center"/>
              <w:ind w:left="48"/>
              <w:spacing w:after="0"/>
              <w:rPr>
                <w:sz w:val="20"/>
                <w:szCs w:val="20"/>
                <w:color w:val="auto"/>
              </w:rPr>
            </w:pPr>
            <w:r>
              <w:rPr>
                <w:rFonts w:ascii="Arial" w:cs="Arial" w:eastAsia="Arial" w:hAnsi="Arial"/>
                <w:sz w:val="14"/>
                <w:szCs w:val="14"/>
                <w:b w:val="1"/>
                <w:bCs w:val="1"/>
                <w:color w:val="FFFFFF"/>
              </w:rPr>
              <w:t>Operating</w:t>
            </w:r>
          </w:p>
        </w:tc>
        <w:tc>
          <w:tcPr>
            <w:tcW w:w="960" w:type="dxa"/>
            <w:vAlign w:val="bottom"/>
            <w:shd w:val="clear" w:color="auto" w:fill="001641"/>
          </w:tcPr>
          <w:p>
            <w:pPr>
              <w:jc w:val="center"/>
              <w:ind w:left="48"/>
              <w:spacing w:after="0"/>
              <w:rPr>
                <w:sz w:val="20"/>
                <w:szCs w:val="20"/>
                <w:color w:val="auto"/>
              </w:rPr>
            </w:pPr>
            <w:r>
              <w:rPr>
                <w:rFonts w:ascii="Arial" w:cs="Arial" w:eastAsia="Arial" w:hAnsi="Arial"/>
                <w:sz w:val="14"/>
                <w:szCs w:val="14"/>
                <w:b w:val="1"/>
                <w:bCs w:val="1"/>
                <w:color w:val="FFFFFF"/>
              </w:rPr>
              <w:t>Operating</w:t>
            </w:r>
          </w:p>
        </w:tc>
        <w:tc>
          <w:tcPr>
            <w:tcW w:w="860" w:type="dxa"/>
            <w:vAlign w:val="bottom"/>
            <w:shd w:val="clear" w:color="auto" w:fill="001641"/>
          </w:tcPr>
          <w:p>
            <w:pPr>
              <w:jc w:val="right"/>
              <w:ind w:right="208"/>
              <w:spacing w:after="0"/>
              <w:rPr>
                <w:sz w:val="20"/>
                <w:szCs w:val="20"/>
                <w:color w:val="auto"/>
              </w:rPr>
            </w:pPr>
            <w:r>
              <w:rPr>
                <w:rFonts w:ascii="Arial" w:cs="Arial" w:eastAsia="Arial" w:hAnsi="Arial"/>
                <w:sz w:val="14"/>
                <w:szCs w:val="14"/>
                <w:b w:val="1"/>
                <w:bCs w:val="1"/>
                <w:color w:val="FFFFFF"/>
              </w:rPr>
              <w:t>Net</w:t>
            </w:r>
          </w:p>
        </w:tc>
        <w:tc>
          <w:tcPr>
            <w:tcW w:w="980" w:type="dxa"/>
            <w:vAlign w:val="bottom"/>
            <w:shd w:val="clear" w:color="auto" w:fill="001641"/>
          </w:tcPr>
          <w:p>
            <w:pPr>
              <w:spacing w:after="0"/>
              <w:rPr>
                <w:sz w:val="18"/>
                <w:szCs w:val="18"/>
                <w:color w:val="auto"/>
              </w:rPr>
            </w:pPr>
          </w:p>
        </w:tc>
        <w:tc>
          <w:tcPr>
            <w:tcW w:w="60" w:type="dxa"/>
            <w:vAlign w:val="bottom"/>
            <w:shd w:val="clear" w:color="auto" w:fill="001641"/>
          </w:tcPr>
          <w:p>
            <w:pPr>
              <w:spacing w:after="0"/>
              <w:rPr>
                <w:sz w:val="18"/>
                <w:szCs w:val="18"/>
                <w:color w:val="auto"/>
              </w:rPr>
            </w:pPr>
          </w:p>
        </w:tc>
        <w:tc>
          <w:tcPr>
            <w:tcW w:w="660" w:type="dxa"/>
            <w:vAlign w:val="bottom"/>
            <w:vMerge w:val="restart"/>
            <w:shd w:val="clear" w:color="auto" w:fill="001641"/>
          </w:tcPr>
          <w:p>
            <w:pPr>
              <w:jc w:val="right"/>
              <w:ind w:right="69"/>
              <w:spacing w:after="0"/>
              <w:rPr>
                <w:sz w:val="20"/>
                <w:szCs w:val="20"/>
                <w:color w:val="auto"/>
              </w:rPr>
            </w:pPr>
            <w:r>
              <w:rPr>
                <w:rFonts w:ascii="Arial" w:cs="Arial" w:eastAsia="Arial" w:hAnsi="Arial"/>
                <w:sz w:val="28"/>
                <w:szCs w:val="28"/>
                <w:b w:val="1"/>
                <w:bCs w:val="1"/>
                <w:color w:val="FFFFFF"/>
                <w:w w:val="94"/>
                <w:vertAlign w:val="subscript"/>
              </w:rPr>
              <w:t>P&amp;E</w:t>
            </w:r>
            <w:r>
              <w:rPr>
                <w:rFonts w:ascii="Arial" w:cs="Arial" w:eastAsia="Arial" w:hAnsi="Arial"/>
                <w:sz w:val="12"/>
                <w:szCs w:val="12"/>
                <w:b w:val="1"/>
                <w:bCs w:val="1"/>
                <w:color w:val="FFFFFF"/>
                <w:w w:val="94"/>
              </w:rPr>
              <w:t>(1)</w:t>
            </w:r>
          </w:p>
        </w:tc>
        <w:tc>
          <w:tcPr>
            <w:tcW w:w="40" w:type="dxa"/>
            <w:vAlign w:val="bottom"/>
            <w:shd w:val="clear" w:color="auto" w:fill="001641"/>
          </w:tcPr>
          <w:p>
            <w:pPr>
              <w:spacing w:after="0"/>
              <w:rPr>
                <w:sz w:val="18"/>
                <w:szCs w:val="18"/>
                <w:color w:val="auto"/>
              </w:rPr>
            </w:pPr>
          </w:p>
        </w:tc>
        <w:tc>
          <w:tcPr>
            <w:tcW w:w="900" w:type="dxa"/>
            <w:vAlign w:val="bottom"/>
            <w:vMerge w:val="restart"/>
            <w:shd w:val="clear" w:color="auto" w:fill="001641"/>
          </w:tcPr>
          <w:p>
            <w:pPr>
              <w:jc w:val="right"/>
              <w:ind w:right="8"/>
              <w:spacing w:after="0"/>
              <w:rPr>
                <w:sz w:val="20"/>
                <w:szCs w:val="20"/>
                <w:color w:val="auto"/>
              </w:rPr>
            </w:pPr>
            <w:r>
              <w:rPr>
                <w:rFonts w:ascii="Arial" w:cs="Arial" w:eastAsia="Arial" w:hAnsi="Arial"/>
                <w:sz w:val="14"/>
                <w:szCs w:val="14"/>
                <w:b w:val="1"/>
                <w:bCs w:val="1"/>
                <w:color w:val="FFFFFF"/>
              </w:rPr>
              <w:t>ROIC %</w:t>
            </w:r>
            <w:r>
              <w:rPr>
                <w:rFonts w:ascii="Arial" w:cs="Arial" w:eastAsia="Arial" w:hAnsi="Arial"/>
                <w:sz w:val="23"/>
                <w:szCs w:val="23"/>
                <w:b w:val="1"/>
                <w:bCs w:val="1"/>
                <w:color w:val="FFFFFF"/>
                <w:vertAlign w:val="superscript"/>
              </w:rPr>
              <w:t>(2)</w:t>
            </w:r>
          </w:p>
        </w:tc>
        <w:tc>
          <w:tcPr>
            <w:tcW w:w="100" w:type="dxa"/>
            <w:vAlign w:val="bottom"/>
            <w:shd w:val="clear" w:color="auto" w:fill="001641"/>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920" w:type="dxa"/>
            <w:vAlign w:val="bottom"/>
          </w:tcPr>
          <w:p>
            <w:pPr>
              <w:spacing w:after="0"/>
              <w:rPr>
                <w:sz w:val="19"/>
                <w:szCs w:val="19"/>
                <w:color w:val="auto"/>
              </w:rPr>
            </w:pPr>
          </w:p>
        </w:tc>
        <w:tc>
          <w:tcPr>
            <w:tcW w:w="3740" w:type="dxa"/>
            <w:vAlign w:val="bottom"/>
            <w:shd w:val="clear" w:color="auto" w:fill="001641"/>
          </w:tcPr>
          <w:p>
            <w:pPr>
              <w:spacing w:after="0"/>
              <w:rPr>
                <w:sz w:val="19"/>
                <w:szCs w:val="19"/>
                <w:color w:val="auto"/>
              </w:rPr>
            </w:pPr>
          </w:p>
        </w:tc>
        <w:tc>
          <w:tcPr>
            <w:tcW w:w="880" w:type="dxa"/>
            <w:vAlign w:val="bottom"/>
            <w:shd w:val="clear" w:color="auto" w:fill="001641"/>
          </w:tcPr>
          <w:p>
            <w:pPr>
              <w:jc w:val="center"/>
              <w:ind w:left="28"/>
              <w:spacing w:after="0"/>
              <w:rPr>
                <w:sz w:val="20"/>
                <w:szCs w:val="20"/>
                <w:color w:val="auto"/>
              </w:rPr>
            </w:pPr>
            <w:r>
              <w:rPr>
                <w:rFonts w:ascii="Arial" w:cs="Arial" w:eastAsia="Arial" w:hAnsi="Arial"/>
                <w:sz w:val="14"/>
                <w:szCs w:val="14"/>
                <w:b w:val="1"/>
                <w:bCs w:val="1"/>
                <w:color w:val="FFFFFF"/>
              </w:rPr>
              <w:t>Income</w:t>
            </w:r>
          </w:p>
        </w:tc>
        <w:tc>
          <w:tcPr>
            <w:tcW w:w="960" w:type="dxa"/>
            <w:vAlign w:val="bottom"/>
            <w:shd w:val="clear" w:color="auto" w:fill="001641"/>
          </w:tcPr>
          <w:p>
            <w:pPr>
              <w:jc w:val="center"/>
              <w:ind w:left="28"/>
              <w:spacing w:after="0"/>
              <w:rPr>
                <w:sz w:val="20"/>
                <w:szCs w:val="20"/>
                <w:color w:val="auto"/>
              </w:rPr>
            </w:pPr>
            <w:r>
              <w:rPr>
                <w:rFonts w:ascii="Arial" w:cs="Arial" w:eastAsia="Arial" w:hAnsi="Arial"/>
                <w:sz w:val="14"/>
                <w:szCs w:val="14"/>
                <w:b w:val="1"/>
                <w:bCs w:val="1"/>
                <w:color w:val="FFFFFF"/>
              </w:rPr>
              <w:t>Margin</w:t>
            </w:r>
          </w:p>
        </w:tc>
        <w:tc>
          <w:tcPr>
            <w:tcW w:w="860" w:type="dxa"/>
            <w:vAlign w:val="bottom"/>
            <w:shd w:val="clear" w:color="auto" w:fill="001641"/>
          </w:tcPr>
          <w:p>
            <w:pPr>
              <w:jc w:val="right"/>
              <w:ind w:right="48"/>
              <w:spacing w:after="0"/>
              <w:rPr>
                <w:sz w:val="20"/>
                <w:szCs w:val="20"/>
                <w:color w:val="auto"/>
              </w:rPr>
            </w:pPr>
            <w:r>
              <w:rPr>
                <w:rFonts w:ascii="Arial" w:cs="Arial" w:eastAsia="Arial" w:hAnsi="Arial"/>
                <w:sz w:val="14"/>
                <w:szCs w:val="14"/>
                <w:b w:val="1"/>
                <w:bCs w:val="1"/>
                <w:color w:val="FFFFFF"/>
              </w:rPr>
              <w:t>Income</w:t>
            </w:r>
          </w:p>
        </w:tc>
        <w:tc>
          <w:tcPr>
            <w:tcW w:w="980" w:type="dxa"/>
            <w:vAlign w:val="bottom"/>
            <w:shd w:val="clear" w:color="auto" w:fill="001641"/>
          </w:tcPr>
          <w:p>
            <w:pPr>
              <w:jc w:val="right"/>
              <w:ind w:right="28"/>
              <w:spacing w:after="0"/>
              <w:rPr>
                <w:sz w:val="20"/>
                <w:szCs w:val="20"/>
                <w:color w:val="auto"/>
              </w:rPr>
            </w:pPr>
            <w:r>
              <w:rPr>
                <w:rFonts w:ascii="Arial" w:cs="Arial" w:eastAsia="Arial" w:hAnsi="Arial"/>
                <w:sz w:val="14"/>
                <w:szCs w:val="14"/>
                <w:b w:val="1"/>
                <w:bCs w:val="1"/>
                <w:color w:val="FFFFFF"/>
              </w:rPr>
              <w:t>Inventories</w:t>
            </w:r>
          </w:p>
        </w:tc>
        <w:tc>
          <w:tcPr>
            <w:tcW w:w="60" w:type="dxa"/>
            <w:vAlign w:val="bottom"/>
            <w:shd w:val="clear" w:color="auto" w:fill="001641"/>
          </w:tcPr>
          <w:p>
            <w:pPr>
              <w:spacing w:after="0"/>
              <w:rPr>
                <w:sz w:val="19"/>
                <w:szCs w:val="19"/>
                <w:color w:val="auto"/>
              </w:rPr>
            </w:pPr>
          </w:p>
        </w:tc>
        <w:tc>
          <w:tcPr>
            <w:tcW w:w="660" w:type="dxa"/>
            <w:vAlign w:val="bottom"/>
            <w:vMerge w:val="continue"/>
            <w:shd w:val="clear" w:color="auto" w:fill="001641"/>
          </w:tcPr>
          <w:p>
            <w:pPr>
              <w:spacing w:after="0"/>
              <w:rPr>
                <w:sz w:val="19"/>
                <w:szCs w:val="19"/>
                <w:color w:val="auto"/>
              </w:rPr>
            </w:pPr>
          </w:p>
        </w:tc>
        <w:tc>
          <w:tcPr>
            <w:tcW w:w="40" w:type="dxa"/>
            <w:vAlign w:val="bottom"/>
            <w:shd w:val="clear" w:color="auto" w:fill="001641"/>
          </w:tcPr>
          <w:p>
            <w:pPr>
              <w:spacing w:after="0"/>
              <w:rPr>
                <w:sz w:val="19"/>
                <w:szCs w:val="19"/>
                <w:color w:val="auto"/>
              </w:rPr>
            </w:pPr>
          </w:p>
        </w:tc>
        <w:tc>
          <w:tcPr>
            <w:tcW w:w="900" w:type="dxa"/>
            <w:vAlign w:val="bottom"/>
            <w:vMerge w:val="continue"/>
            <w:shd w:val="clear" w:color="auto" w:fill="001641"/>
          </w:tcPr>
          <w:p>
            <w:pPr>
              <w:spacing w:after="0"/>
              <w:rPr>
                <w:sz w:val="19"/>
                <w:szCs w:val="19"/>
                <w:color w:val="auto"/>
              </w:rPr>
            </w:pPr>
          </w:p>
        </w:tc>
        <w:tc>
          <w:tcPr>
            <w:tcW w:w="100" w:type="dxa"/>
            <w:vAlign w:val="bottom"/>
            <w:shd w:val="clear" w:color="auto" w:fill="001641"/>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3740" w:type="dxa"/>
            <w:vAlign w:val="bottom"/>
            <w:shd w:val="clear" w:color="auto" w:fill="001641"/>
          </w:tcPr>
          <w:p>
            <w:pPr>
              <w:spacing w:after="0"/>
              <w:rPr>
                <w:sz w:val="19"/>
                <w:szCs w:val="19"/>
                <w:color w:val="auto"/>
              </w:rPr>
            </w:pPr>
          </w:p>
        </w:tc>
        <w:tc>
          <w:tcPr>
            <w:tcW w:w="880" w:type="dxa"/>
            <w:vAlign w:val="bottom"/>
            <w:shd w:val="clear" w:color="auto" w:fill="001641"/>
          </w:tcPr>
          <w:p>
            <w:pPr>
              <w:jc w:val="center"/>
              <w:ind w:left="48"/>
              <w:spacing w:after="0"/>
              <w:rPr>
                <w:sz w:val="20"/>
                <w:szCs w:val="20"/>
                <w:color w:val="auto"/>
              </w:rPr>
            </w:pPr>
            <w:r>
              <w:rPr>
                <w:rFonts w:ascii="Arial" w:cs="Arial" w:eastAsia="Arial" w:hAnsi="Arial"/>
                <w:sz w:val="14"/>
                <w:szCs w:val="14"/>
                <w:b w:val="1"/>
                <w:bCs w:val="1"/>
                <w:color w:val="FFFFFF"/>
                <w:shd w:val="clear" w:color="auto" w:fill="001641"/>
              </w:rPr>
              <w:t>(millions)</w:t>
            </w:r>
          </w:p>
        </w:tc>
        <w:tc>
          <w:tcPr>
            <w:tcW w:w="960" w:type="dxa"/>
            <w:vAlign w:val="bottom"/>
            <w:shd w:val="clear" w:color="auto" w:fill="001641"/>
          </w:tcPr>
          <w:p>
            <w:pPr>
              <w:spacing w:after="0"/>
              <w:rPr>
                <w:sz w:val="19"/>
                <w:szCs w:val="19"/>
                <w:color w:val="auto"/>
              </w:rPr>
            </w:pPr>
          </w:p>
        </w:tc>
        <w:tc>
          <w:tcPr>
            <w:tcW w:w="860" w:type="dxa"/>
            <w:vAlign w:val="bottom"/>
            <w:shd w:val="clear" w:color="auto" w:fill="001641"/>
          </w:tcPr>
          <w:p>
            <w:pPr>
              <w:spacing w:after="0"/>
              <w:rPr>
                <w:sz w:val="19"/>
                <w:szCs w:val="19"/>
                <w:color w:val="auto"/>
              </w:rPr>
            </w:pPr>
          </w:p>
        </w:tc>
        <w:tc>
          <w:tcPr>
            <w:tcW w:w="980" w:type="dxa"/>
            <w:vAlign w:val="bottom"/>
            <w:shd w:val="clear" w:color="auto" w:fill="001641"/>
          </w:tcPr>
          <w:p>
            <w:pPr>
              <w:jc w:val="right"/>
              <w:ind w:right="88"/>
              <w:spacing w:after="0"/>
              <w:rPr>
                <w:sz w:val="20"/>
                <w:szCs w:val="20"/>
                <w:color w:val="auto"/>
              </w:rPr>
            </w:pPr>
            <w:r>
              <w:rPr>
                <w:rFonts w:ascii="Arial" w:cs="Arial" w:eastAsia="Arial" w:hAnsi="Arial"/>
                <w:sz w:val="14"/>
                <w:szCs w:val="14"/>
                <w:b w:val="1"/>
                <w:bCs w:val="1"/>
                <w:color w:val="FFFFFF"/>
              </w:rPr>
              <w:t>(millions)</w:t>
            </w:r>
          </w:p>
        </w:tc>
        <w:tc>
          <w:tcPr>
            <w:tcW w:w="60" w:type="dxa"/>
            <w:vAlign w:val="bottom"/>
            <w:shd w:val="clear" w:color="auto" w:fill="001641"/>
          </w:tcPr>
          <w:p>
            <w:pPr>
              <w:spacing w:after="0"/>
              <w:rPr>
                <w:sz w:val="19"/>
                <w:szCs w:val="19"/>
                <w:color w:val="auto"/>
              </w:rPr>
            </w:pPr>
          </w:p>
        </w:tc>
        <w:tc>
          <w:tcPr>
            <w:tcW w:w="660" w:type="dxa"/>
            <w:vAlign w:val="bottom"/>
            <w:shd w:val="clear" w:color="auto" w:fill="001641"/>
          </w:tcPr>
          <w:p>
            <w:pPr>
              <w:spacing w:after="0"/>
              <w:rPr>
                <w:sz w:val="19"/>
                <w:szCs w:val="19"/>
                <w:color w:val="auto"/>
              </w:rPr>
            </w:pPr>
          </w:p>
        </w:tc>
        <w:tc>
          <w:tcPr>
            <w:tcW w:w="40" w:type="dxa"/>
            <w:vAlign w:val="bottom"/>
            <w:shd w:val="clear" w:color="auto" w:fill="001641"/>
          </w:tcPr>
          <w:p>
            <w:pPr>
              <w:spacing w:after="0"/>
              <w:rPr>
                <w:sz w:val="19"/>
                <w:szCs w:val="19"/>
                <w:color w:val="auto"/>
              </w:rPr>
            </w:pPr>
          </w:p>
        </w:tc>
        <w:tc>
          <w:tcPr>
            <w:tcW w:w="900" w:type="dxa"/>
            <w:vAlign w:val="bottom"/>
            <w:shd w:val="clear" w:color="auto" w:fill="001641"/>
          </w:tcPr>
          <w:p>
            <w:pPr>
              <w:spacing w:after="0"/>
              <w:rPr>
                <w:sz w:val="19"/>
                <w:szCs w:val="19"/>
                <w:color w:val="auto"/>
              </w:rPr>
            </w:pPr>
          </w:p>
        </w:tc>
        <w:tc>
          <w:tcPr>
            <w:tcW w:w="100" w:type="dxa"/>
            <w:vAlign w:val="bottom"/>
            <w:shd w:val="clear" w:color="auto" w:fill="001641"/>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001641"/>
              </w:rPr>
              <w:t>As reported</w:t>
            </w:r>
          </w:p>
        </w:tc>
        <w:tc>
          <w:tcPr>
            <w:tcW w:w="880" w:type="dxa"/>
            <w:vAlign w:val="bottom"/>
          </w:tcPr>
          <w:p>
            <w:pPr>
              <w:jc w:val="right"/>
              <w:spacing w:after="0"/>
              <w:rPr>
                <w:sz w:val="20"/>
                <w:szCs w:val="20"/>
                <w:color w:val="auto"/>
              </w:rPr>
            </w:pPr>
            <w:r>
              <w:rPr>
                <w:rFonts w:ascii="Arial" w:cs="Arial" w:eastAsia="Arial" w:hAnsi="Arial"/>
                <w:sz w:val="14"/>
                <w:szCs w:val="14"/>
                <w:color w:val="001641"/>
              </w:rPr>
              <w:t>$756.4</w:t>
            </w:r>
          </w:p>
        </w:tc>
        <w:tc>
          <w:tcPr>
            <w:tcW w:w="960" w:type="dxa"/>
            <w:vAlign w:val="bottom"/>
          </w:tcPr>
          <w:p>
            <w:pPr>
              <w:ind w:left="560"/>
              <w:spacing w:after="0"/>
              <w:rPr>
                <w:sz w:val="20"/>
                <w:szCs w:val="20"/>
                <w:color w:val="auto"/>
              </w:rPr>
            </w:pPr>
            <w:r>
              <w:rPr>
                <w:rFonts w:ascii="Arial" w:cs="Arial" w:eastAsia="Arial" w:hAnsi="Arial"/>
                <w:sz w:val="14"/>
                <w:szCs w:val="14"/>
                <w:color w:val="001641"/>
                <w:w w:val="95"/>
              </w:rPr>
              <w:t>11.4%</w:t>
            </w:r>
          </w:p>
        </w:tc>
        <w:tc>
          <w:tcPr>
            <w:tcW w:w="860" w:type="dxa"/>
            <w:vAlign w:val="bottom"/>
          </w:tcPr>
          <w:p>
            <w:pPr>
              <w:jc w:val="right"/>
              <w:spacing w:after="0"/>
              <w:rPr>
                <w:sz w:val="20"/>
                <w:szCs w:val="20"/>
                <w:color w:val="auto"/>
              </w:rPr>
            </w:pPr>
            <w:r>
              <w:rPr>
                <w:rFonts w:ascii="Arial" w:cs="Arial" w:eastAsia="Arial" w:hAnsi="Arial"/>
                <w:sz w:val="14"/>
                <w:szCs w:val="14"/>
                <w:color w:val="001641"/>
              </w:rPr>
              <w:t>$646.3</w:t>
            </w:r>
          </w:p>
        </w:tc>
        <w:tc>
          <w:tcPr>
            <w:tcW w:w="980" w:type="dxa"/>
            <w:vAlign w:val="bottom"/>
          </w:tcPr>
          <w:p>
            <w:pPr>
              <w:jc w:val="right"/>
              <w:ind w:right="108"/>
              <w:spacing w:after="0"/>
              <w:rPr>
                <w:sz w:val="20"/>
                <w:szCs w:val="20"/>
                <w:color w:val="auto"/>
              </w:rPr>
            </w:pPr>
            <w:r>
              <w:rPr>
                <w:rFonts w:ascii="Arial" w:cs="Arial" w:eastAsia="Arial" w:hAnsi="Arial"/>
                <w:sz w:val="14"/>
                <w:szCs w:val="14"/>
                <w:color w:val="001641"/>
              </w:rPr>
              <w:t>$902.2</w:t>
            </w:r>
          </w:p>
        </w:tc>
        <w:tc>
          <w:tcPr>
            <w:tcW w:w="720" w:type="dxa"/>
            <w:vAlign w:val="bottom"/>
            <w:gridSpan w:val="2"/>
          </w:tcPr>
          <w:p>
            <w:pPr>
              <w:jc w:val="right"/>
              <w:spacing w:after="0"/>
              <w:rPr>
                <w:sz w:val="20"/>
                <w:szCs w:val="20"/>
                <w:color w:val="auto"/>
              </w:rPr>
            </w:pPr>
            <w:r>
              <w:rPr>
                <w:rFonts w:ascii="Arial" w:cs="Arial" w:eastAsia="Arial" w:hAnsi="Arial"/>
                <w:sz w:val="14"/>
                <w:szCs w:val="14"/>
                <w:color w:val="001641"/>
              </w:rPr>
              <w:t>$850.4</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660" w:type="dxa"/>
            <w:vAlign w:val="bottom"/>
            <w:tcBorders>
              <w:bottom w:val="single" w:sz="8" w:color="BFA071"/>
            </w:tcBorders>
          </w:tcPr>
          <w:p>
            <w:pPr>
              <w:spacing w:after="0" w:line="20" w:lineRule="exact"/>
              <w:rPr>
                <w:sz w:val="1"/>
                <w:szCs w:val="1"/>
                <w:color w:val="auto"/>
              </w:rPr>
            </w:pPr>
          </w:p>
        </w:tc>
        <w:tc>
          <w:tcPr>
            <w:tcW w:w="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740" w:type="dxa"/>
            <w:vAlign w:val="bottom"/>
            <w:tcBorders>
              <w:bottom w:val="single" w:sz="8" w:color="BFA071"/>
            </w:tcBorders>
          </w:tcPr>
          <w:p>
            <w:pPr>
              <w:ind w:left="120"/>
              <w:spacing w:after="0" w:line="250" w:lineRule="exact"/>
              <w:rPr>
                <w:sz w:val="20"/>
                <w:szCs w:val="20"/>
                <w:color w:val="auto"/>
              </w:rPr>
            </w:pPr>
            <w:r>
              <w:rPr>
                <w:rFonts w:ascii="Arial" w:cs="Arial" w:eastAsia="Arial" w:hAnsi="Arial"/>
                <w:sz w:val="14"/>
                <w:szCs w:val="14"/>
                <w:color w:val="001641"/>
              </w:rPr>
              <w:t>Adjustments:</w:t>
            </w:r>
            <w:r>
              <w:rPr>
                <w:rFonts w:ascii="Arial" w:cs="Arial" w:eastAsia="Arial" w:hAnsi="Arial"/>
                <w:sz w:val="23"/>
                <w:szCs w:val="23"/>
                <w:color w:val="001641"/>
                <w:vertAlign w:val="superscript"/>
              </w:rPr>
              <w:t>(3)</w:t>
            </w:r>
          </w:p>
        </w:tc>
        <w:tc>
          <w:tcPr>
            <w:tcW w:w="880" w:type="dxa"/>
            <w:vAlign w:val="bottom"/>
            <w:tcBorders>
              <w:bottom w:val="single" w:sz="8" w:color="BFA071"/>
            </w:tcBorders>
          </w:tcPr>
          <w:p>
            <w:pPr>
              <w:spacing w:after="0"/>
              <w:rPr>
                <w:sz w:val="21"/>
                <w:szCs w:val="21"/>
                <w:color w:val="auto"/>
              </w:rPr>
            </w:pPr>
          </w:p>
        </w:tc>
        <w:tc>
          <w:tcPr>
            <w:tcW w:w="960" w:type="dxa"/>
            <w:vAlign w:val="bottom"/>
            <w:tcBorders>
              <w:bottom w:val="single" w:sz="8" w:color="BFA071"/>
            </w:tcBorders>
          </w:tcPr>
          <w:p>
            <w:pPr>
              <w:spacing w:after="0"/>
              <w:rPr>
                <w:sz w:val="21"/>
                <w:szCs w:val="21"/>
                <w:color w:val="auto"/>
              </w:rPr>
            </w:pPr>
          </w:p>
        </w:tc>
        <w:tc>
          <w:tcPr>
            <w:tcW w:w="860" w:type="dxa"/>
            <w:vAlign w:val="bottom"/>
            <w:tcBorders>
              <w:bottom w:val="single" w:sz="8" w:color="BFA071"/>
            </w:tcBorders>
          </w:tcPr>
          <w:p>
            <w:pPr>
              <w:spacing w:after="0"/>
              <w:rPr>
                <w:sz w:val="21"/>
                <w:szCs w:val="21"/>
                <w:color w:val="auto"/>
              </w:rPr>
            </w:pPr>
          </w:p>
        </w:tc>
        <w:tc>
          <w:tcPr>
            <w:tcW w:w="980" w:type="dxa"/>
            <w:vAlign w:val="bottom"/>
            <w:tcBorders>
              <w:bottom w:val="single" w:sz="8" w:color="BFA071"/>
            </w:tcBorders>
          </w:tcPr>
          <w:p>
            <w:pPr>
              <w:spacing w:after="0"/>
              <w:rPr>
                <w:sz w:val="21"/>
                <w:szCs w:val="21"/>
                <w:color w:val="auto"/>
              </w:rPr>
            </w:pPr>
          </w:p>
        </w:tc>
        <w:tc>
          <w:tcPr>
            <w:tcW w:w="60" w:type="dxa"/>
            <w:vAlign w:val="bottom"/>
            <w:tcBorders>
              <w:bottom w:val="single" w:sz="8" w:color="BFA071"/>
            </w:tcBorders>
          </w:tcPr>
          <w:p>
            <w:pPr>
              <w:spacing w:after="0"/>
              <w:rPr>
                <w:sz w:val="21"/>
                <w:szCs w:val="21"/>
                <w:color w:val="auto"/>
              </w:rPr>
            </w:pPr>
          </w:p>
        </w:tc>
        <w:tc>
          <w:tcPr>
            <w:tcW w:w="660" w:type="dxa"/>
            <w:vAlign w:val="bottom"/>
            <w:tcBorders>
              <w:bottom w:val="single" w:sz="8" w:color="BFA071"/>
            </w:tcBorders>
          </w:tcPr>
          <w:p>
            <w:pPr>
              <w:spacing w:after="0"/>
              <w:rPr>
                <w:sz w:val="21"/>
                <w:szCs w:val="21"/>
                <w:color w:val="auto"/>
              </w:rPr>
            </w:pPr>
          </w:p>
        </w:tc>
        <w:tc>
          <w:tcPr>
            <w:tcW w:w="40" w:type="dxa"/>
            <w:vAlign w:val="bottom"/>
            <w:tcBorders>
              <w:bottom w:val="single" w:sz="8" w:color="BFA071"/>
            </w:tcBorders>
          </w:tcPr>
          <w:p>
            <w:pPr>
              <w:spacing w:after="0"/>
              <w:rPr>
                <w:sz w:val="21"/>
                <w:szCs w:val="21"/>
                <w:color w:val="auto"/>
              </w:rPr>
            </w:pPr>
          </w:p>
        </w:tc>
        <w:tc>
          <w:tcPr>
            <w:tcW w:w="900" w:type="dxa"/>
            <w:vAlign w:val="bottom"/>
            <w:tcBorders>
              <w:bottom w:val="single" w:sz="8" w:color="BFA071"/>
            </w:tcBorders>
          </w:tcPr>
          <w:p>
            <w:pPr>
              <w:spacing w:after="0"/>
              <w:rPr>
                <w:sz w:val="21"/>
                <w:szCs w:val="21"/>
                <w:color w:val="auto"/>
              </w:rPr>
            </w:pPr>
          </w:p>
        </w:tc>
        <w:tc>
          <w:tcPr>
            <w:tcW w:w="100" w:type="dxa"/>
            <w:vAlign w:val="bottom"/>
            <w:tcBorders>
              <w:bottom w:val="single" w:sz="8" w:color="BFA071"/>
            </w:tcBorders>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740" w:type="dxa"/>
            <w:vAlign w:val="bottom"/>
          </w:tcPr>
          <w:p>
            <w:pPr>
              <w:ind w:left="300"/>
              <w:spacing w:after="0"/>
              <w:rPr>
                <w:sz w:val="20"/>
                <w:szCs w:val="20"/>
                <w:color w:val="auto"/>
              </w:rPr>
            </w:pPr>
            <w:r>
              <w:rPr>
                <w:rFonts w:ascii="Arial" w:cs="Arial" w:eastAsia="Arial" w:hAnsi="Arial"/>
                <w:sz w:val="14"/>
                <w:szCs w:val="14"/>
                <w:color w:val="001641"/>
              </w:rPr>
              <w:t>Restructuring plan charges, net</w:t>
            </w:r>
          </w:p>
        </w:tc>
        <w:tc>
          <w:tcPr>
            <w:tcW w:w="880" w:type="dxa"/>
            <w:vAlign w:val="bottom"/>
          </w:tcPr>
          <w:p>
            <w:pPr>
              <w:jc w:val="right"/>
              <w:spacing w:after="0"/>
              <w:rPr>
                <w:sz w:val="20"/>
                <w:szCs w:val="20"/>
                <w:color w:val="auto"/>
              </w:rPr>
            </w:pPr>
            <w:r>
              <w:rPr>
                <w:rFonts w:ascii="Arial" w:cs="Arial" w:eastAsia="Arial" w:hAnsi="Arial"/>
                <w:sz w:val="14"/>
                <w:szCs w:val="14"/>
                <w:color w:val="001641"/>
              </w:rPr>
              <w:t>55.8</w:t>
            </w:r>
          </w:p>
        </w:tc>
        <w:tc>
          <w:tcPr>
            <w:tcW w:w="9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1641"/>
              </w:rPr>
              <w:t>55.8</w:t>
            </w:r>
          </w:p>
        </w:tc>
        <w:tc>
          <w:tcPr>
            <w:tcW w:w="980" w:type="dxa"/>
            <w:vAlign w:val="bottom"/>
          </w:tcPr>
          <w:p>
            <w:pPr>
              <w:jc w:val="right"/>
              <w:ind w:right="108"/>
              <w:spacing w:after="0"/>
              <w:rPr>
                <w:sz w:val="20"/>
                <w:szCs w:val="20"/>
                <w:color w:val="auto"/>
              </w:rPr>
            </w:pPr>
            <w:r>
              <w:rPr>
                <w:rFonts w:ascii="Arial" w:cs="Arial" w:eastAsia="Arial" w:hAnsi="Arial"/>
                <w:sz w:val="14"/>
                <w:szCs w:val="14"/>
                <w:color w:val="001641"/>
              </w:rPr>
              <w:t>—</w:t>
            </w:r>
          </w:p>
        </w:tc>
        <w:tc>
          <w:tcPr>
            <w:tcW w:w="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001641"/>
              </w:rPr>
              <w: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660" w:type="dxa"/>
            <w:vAlign w:val="bottom"/>
            <w:tcBorders>
              <w:bottom w:val="single" w:sz="8" w:color="BFA071"/>
            </w:tcBorders>
          </w:tcPr>
          <w:p>
            <w:pPr>
              <w:spacing w:after="0" w:line="20" w:lineRule="exact"/>
              <w:rPr>
                <w:sz w:val="1"/>
                <w:szCs w:val="1"/>
                <w:color w:val="auto"/>
              </w:rPr>
            </w:pPr>
          </w:p>
        </w:tc>
        <w:tc>
          <w:tcPr>
            <w:tcW w:w="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3740" w:type="dxa"/>
            <w:vAlign w:val="bottom"/>
          </w:tcPr>
          <w:p>
            <w:pPr>
              <w:ind w:left="300"/>
              <w:spacing w:after="0"/>
              <w:rPr>
                <w:sz w:val="20"/>
                <w:szCs w:val="20"/>
                <w:color w:val="auto"/>
              </w:rPr>
            </w:pPr>
            <w:r>
              <w:rPr>
                <w:rFonts w:ascii="Arial" w:cs="Arial" w:eastAsia="Arial" w:hAnsi="Arial"/>
                <w:sz w:val="14"/>
                <w:szCs w:val="14"/>
                <w:color w:val="001641"/>
              </w:rPr>
              <w:t>Cease-use rent and occupancy expenses</w:t>
            </w:r>
          </w:p>
        </w:tc>
        <w:tc>
          <w:tcPr>
            <w:tcW w:w="880" w:type="dxa"/>
            <w:vAlign w:val="bottom"/>
          </w:tcPr>
          <w:p>
            <w:pPr>
              <w:jc w:val="right"/>
              <w:spacing w:after="0"/>
              <w:rPr>
                <w:sz w:val="20"/>
                <w:szCs w:val="20"/>
                <w:color w:val="auto"/>
              </w:rPr>
            </w:pPr>
            <w:r>
              <w:rPr>
                <w:rFonts w:ascii="Arial" w:cs="Arial" w:eastAsia="Arial" w:hAnsi="Arial"/>
                <w:sz w:val="14"/>
                <w:szCs w:val="14"/>
                <w:color w:val="001641"/>
              </w:rPr>
              <w:t>14.0</w:t>
            </w:r>
          </w:p>
        </w:tc>
        <w:tc>
          <w:tcPr>
            <w:tcW w:w="9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1641"/>
              </w:rPr>
              <w:t>14.0</w:t>
            </w:r>
          </w:p>
        </w:tc>
        <w:tc>
          <w:tcPr>
            <w:tcW w:w="980" w:type="dxa"/>
            <w:vAlign w:val="bottom"/>
          </w:tcPr>
          <w:p>
            <w:pPr>
              <w:jc w:val="right"/>
              <w:ind w:right="108"/>
              <w:spacing w:after="0"/>
              <w:rPr>
                <w:sz w:val="20"/>
                <w:szCs w:val="20"/>
                <w:color w:val="auto"/>
              </w:rPr>
            </w:pPr>
            <w:r>
              <w:rPr>
                <w:rFonts w:ascii="Arial" w:cs="Arial" w:eastAsia="Arial" w:hAnsi="Arial"/>
                <w:sz w:val="14"/>
                <w:szCs w:val="14"/>
                <w:color w:val="001641"/>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001641"/>
              </w:rPr>
              <w:t>3.1</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700" w:type="dxa"/>
            <w:vAlign w:val="bottom"/>
            <w:tcBorders>
              <w:bottom w:val="single" w:sz="8" w:color="BFA071"/>
            </w:tcBorders>
            <w:gridSpan w:val="2"/>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740" w:type="dxa"/>
            <w:vAlign w:val="bottom"/>
          </w:tcPr>
          <w:p>
            <w:pPr>
              <w:ind w:left="300"/>
              <w:spacing w:after="0"/>
              <w:rPr>
                <w:sz w:val="20"/>
                <w:szCs w:val="20"/>
                <w:color w:val="auto"/>
              </w:rPr>
            </w:pPr>
            <w:r>
              <w:rPr>
                <w:rFonts w:ascii="Arial" w:cs="Arial" w:eastAsia="Arial" w:hAnsi="Arial"/>
                <w:sz w:val="14"/>
                <w:szCs w:val="14"/>
                <w:color w:val="001641"/>
              </w:rPr>
              <w:t>Charitable donation related to Club Monaco sale</w:t>
            </w:r>
          </w:p>
        </w:tc>
        <w:tc>
          <w:tcPr>
            <w:tcW w:w="880" w:type="dxa"/>
            <w:vAlign w:val="bottom"/>
          </w:tcPr>
          <w:p>
            <w:pPr>
              <w:jc w:val="right"/>
              <w:spacing w:after="0"/>
              <w:rPr>
                <w:sz w:val="20"/>
                <w:szCs w:val="20"/>
                <w:color w:val="auto"/>
              </w:rPr>
            </w:pPr>
            <w:r>
              <w:rPr>
                <w:rFonts w:ascii="Arial" w:cs="Arial" w:eastAsia="Arial" w:hAnsi="Arial"/>
                <w:sz w:val="14"/>
                <w:szCs w:val="14"/>
                <w:color w:val="001641"/>
              </w:rPr>
              <w:t>7.0</w:t>
            </w:r>
          </w:p>
        </w:tc>
        <w:tc>
          <w:tcPr>
            <w:tcW w:w="9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1641"/>
              </w:rPr>
              <w:t>7.0</w:t>
            </w:r>
          </w:p>
        </w:tc>
        <w:tc>
          <w:tcPr>
            <w:tcW w:w="980" w:type="dxa"/>
            <w:vAlign w:val="bottom"/>
          </w:tcPr>
          <w:p>
            <w:pPr>
              <w:jc w:val="right"/>
              <w:ind w:right="108"/>
              <w:spacing w:after="0"/>
              <w:rPr>
                <w:sz w:val="20"/>
                <w:szCs w:val="20"/>
                <w:color w:val="auto"/>
              </w:rPr>
            </w:pPr>
            <w:r>
              <w:rPr>
                <w:rFonts w:ascii="Arial" w:cs="Arial" w:eastAsia="Arial" w:hAnsi="Arial"/>
                <w:sz w:val="14"/>
                <w:szCs w:val="14"/>
                <w:color w:val="001641"/>
              </w:rPr>
              <w:t>—</w:t>
            </w:r>
          </w:p>
        </w:tc>
        <w:tc>
          <w:tcPr>
            <w:tcW w:w="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001641"/>
              </w:rPr>
              <w: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700" w:type="dxa"/>
            <w:vAlign w:val="bottom"/>
            <w:tcBorders>
              <w:bottom w:val="single" w:sz="8" w:color="BFA071"/>
            </w:tcBorders>
            <w:gridSpan w:val="2"/>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3740" w:type="dxa"/>
            <w:vAlign w:val="bottom"/>
          </w:tcPr>
          <w:p>
            <w:pPr>
              <w:ind w:left="300"/>
              <w:spacing w:after="0"/>
              <w:rPr>
                <w:sz w:val="20"/>
                <w:szCs w:val="20"/>
                <w:color w:val="auto"/>
              </w:rPr>
            </w:pPr>
            <w:r>
              <w:rPr>
                <w:rFonts w:ascii="Arial" w:cs="Arial" w:eastAsia="Arial" w:hAnsi="Arial"/>
                <w:sz w:val="14"/>
                <w:szCs w:val="14"/>
                <w:color w:val="001641"/>
              </w:rPr>
              <w:t>Next Generation Transformation project charges</w:t>
            </w:r>
          </w:p>
        </w:tc>
        <w:tc>
          <w:tcPr>
            <w:tcW w:w="880" w:type="dxa"/>
            <w:vAlign w:val="bottom"/>
          </w:tcPr>
          <w:p>
            <w:pPr>
              <w:jc w:val="right"/>
              <w:spacing w:after="0"/>
              <w:rPr>
                <w:sz w:val="20"/>
                <w:szCs w:val="20"/>
                <w:color w:val="auto"/>
              </w:rPr>
            </w:pPr>
            <w:r>
              <w:rPr>
                <w:rFonts w:ascii="Arial" w:cs="Arial" w:eastAsia="Arial" w:hAnsi="Arial"/>
                <w:sz w:val="14"/>
                <w:szCs w:val="14"/>
                <w:color w:val="001641"/>
              </w:rPr>
              <w:t>5.1</w:t>
            </w:r>
          </w:p>
        </w:tc>
        <w:tc>
          <w:tcPr>
            <w:tcW w:w="9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1641"/>
              </w:rPr>
              <w:t>5.1</w:t>
            </w:r>
          </w:p>
        </w:tc>
        <w:tc>
          <w:tcPr>
            <w:tcW w:w="980" w:type="dxa"/>
            <w:vAlign w:val="bottom"/>
          </w:tcPr>
          <w:p>
            <w:pPr>
              <w:jc w:val="right"/>
              <w:ind w:right="108"/>
              <w:spacing w:after="0"/>
              <w:rPr>
                <w:sz w:val="20"/>
                <w:szCs w:val="20"/>
                <w:color w:val="auto"/>
              </w:rPr>
            </w:pPr>
            <w:r>
              <w:rPr>
                <w:rFonts w:ascii="Arial" w:cs="Arial" w:eastAsia="Arial" w:hAnsi="Arial"/>
                <w:sz w:val="14"/>
                <w:szCs w:val="14"/>
                <w:color w:val="001641"/>
              </w:rPr>
              <w:t>—</w:t>
            </w:r>
          </w:p>
        </w:tc>
        <w:tc>
          <w:tcPr>
            <w:tcW w:w="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001641"/>
              </w:rPr>
              <w: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700" w:type="dxa"/>
            <w:vAlign w:val="bottom"/>
            <w:tcBorders>
              <w:bottom w:val="single" w:sz="8" w:color="BFA071"/>
            </w:tcBorders>
            <w:gridSpan w:val="2"/>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740" w:type="dxa"/>
            <w:vAlign w:val="bottom"/>
          </w:tcPr>
          <w:p>
            <w:pPr>
              <w:ind w:left="300"/>
              <w:spacing w:after="0"/>
              <w:rPr>
                <w:sz w:val="20"/>
                <w:szCs w:val="20"/>
                <w:color w:val="auto"/>
              </w:rPr>
            </w:pPr>
            <w:r>
              <w:rPr>
                <w:rFonts w:ascii="Arial" w:cs="Arial" w:eastAsia="Arial" w:hAnsi="Arial"/>
                <w:sz w:val="14"/>
                <w:szCs w:val="14"/>
                <w:color w:val="001641"/>
              </w:rPr>
              <w:t>Club Monaco sale consideration from Regent, L.P.</w:t>
            </w:r>
          </w:p>
        </w:tc>
        <w:tc>
          <w:tcPr>
            <w:tcW w:w="880" w:type="dxa"/>
            <w:vAlign w:val="bottom"/>
          </w:tcPr>
          <w:p>
            <w:pPr>
              <w:jc w:val="right"/>
              <w:spacing w:after="0"/>
              <w:rPr>
                <w:sz w:val="20"/>
                <w:szCs w:val="20"/>
                <w:color w:val="auto"/>
              </w:rPr>
            </w:pPr>
            <w:r>
              <w:rPr>
                <w:rFonts w:ascii="Arial" w:cs="Arial" w:eastAsia="Arial" w:hAnsi="Arial"/>
                <w:sz w:val="14"/>
                <w:szCs w:val="14"/>
                <w:color w:val="001641"/>
              </w:rPr>
              <w:t>(7.0)</w:t>
            </w:r>
          </w:p>
        </w:tc>
        <w:tc>
          <w:tcPr>
            <w:tcW w:w="9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1641"/>
              </w:rPr>
              <w:t>(7.0)</w:t>
            </w:r>
          </w:p>
        </w:tc>
        <w:tc>
          <w:tcPr>
            <w:tcW w:w="980" w:type="dxa"/>
            <w:vAlign w:val="bottom"/>
          </w:tcPr>
          <w:p>
            <w:pPr>
              <w:jc w:val="right"/>
              <w:ind w:right="108"/>
              <w:spacing w:after="0"/>
              <w:rPr>
                <w:sz w:val="20"/>
                <w:szCs w:val="20"/>
                <w:color w:val="auto"/>
              </w:rPr>
            </w:pPr>
            <w:r>
              <w:rPr>
                <w:rFonts w:ascii="Arial" w:cs="Arial" w:eastAsia="Arial" w:hAnsi="Arial"/>
                <w:sz w:val="14"/>
                <w:szCs w:val="14"/>
                <w:color w:val="001641"/>
              </w:rPr>
              <w:t>—</w:t>
            </w:r>
          </w:p>
        </w:tc>
        <w:tc>
          <w:tcPr>
            <w:tcW w:w="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001641"/>
              </w:rPr>
              <w: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700" w:type="dxa"/>
            <w:vAlign w:val="bottom"/>
            <w:tcBorders>
              <w:bottom w:val="single" w:sz="8" w:color="BFA071"/>
            </w:tcBorders>
            <w:gridSpan w:val="2"/>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740" w:type="dxa"/>
            <w:vAlign w:val="bottom"/>
          </w:tcPr>
          <w:p>
            <w:pPr>
              <w:ind w:left="300"/>
              <w:spacing w:after="0"/>
              <w:rPr>
                <w:sz w:val="20"/>
                <w:szCs w:val="20"/>
                <w:color w:val="auto"/>
              </w:rPr>
            </w:pPr>
            <w:r>
              <w:rPr>
                <w:rFonts w:ascii="Arial" w:cs="Arial" w:eastAsia="Arial" w:hAnsi="Arial"/>
                <w:sz w:val="14"/>
                <w:szCs w:val="14"/>
                <w:color w:val="001641"/>
              </w:rPr>
              <w:t>U.S. customs inventory-related adjustments</w:t>
            </w:r>
          </w:p>
        </w:tc>
        <w:tc>
          <w:tcPr>
            <w:tcW w:w="880" w:type="dxa"/>
            <w:vAlign w:val="bottom"/>
          </w:tcPr>
          <w:p>
            <w:pPr>
              <w:jc w:val="right"/>
              <w:spacing w:after="0"/>
              <w:rPr>
                <w:sz w:val="20"/>
                <w:szCs w:val="20"/>
                <w:color w:val="auto"/>
              </w:rPr>
            </w:pPr>
            <w:r>
              <w:rPr>
                <w:rFonts w:ascii="Arial" w:cs="Arial" w:eastAsia="Arial" w:hAnsi="Arial"/>
                <w:sz w:val="14"/>
                <w:szCs w:val="14"/>
                <w:color w:val="001641"/>
              </w:rPr>
              <w:t>(2.8)</w:t>
            </w:r>
          </w:p>
        </w:tc>
        <w:tc>
          <w:tcPr>
            <w:tcW w:w="9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1641"/>
              </w:rPr>
              <w:t>(2.8)</w:t>
            </w:r>
          </w:p>
        </w:tc>
        <w:tc>
          <w:tcPr>
            <w:tcW w:w="980" w:type="dxa"/>
            <w:vAlign w:val="bottom"/>
          </w:tcPr>
          <w:p>
            <w:pPr>
              <w:jc w:val="right"/>
              <w:ind w:right="68"/>
              <w:spacing w:after="0"/>
              <w:rPr>
                <w:sz w:val="20"/>
                <w:szCs w:val="20"/>
                <w:color w:val="auto"/>
              </w:rPr>
            </w:pPr>
            <w:r>
              <w:rPr>
                <w:rFonts w:ascii="Arial" w:cs="Arial" w:eastAsia="Arial" w:hAnsi="Arial"/>
                <w:sz w:val="14"/>
                <w:szCs w:val="14"/>
                <w:color w:val="001641"/>
              </w:rPr>
              <w:t>(2.8)</w:t>
            </w:r>
          </w:p>
        </w:tc>
        <w:tc>
          <w:tcPr>
            <w:tcW w:w="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001641"/>
              </w:rPr>
              <w: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700" w:type="dxa"/>
            <w:vAlign w:val="bottom"/>
            <w:tcBorders>
              <w:bottom w:val="single" w:sz="8" w:color="BFA071"/>
            </w:tcBorders>
            <w:gridSpan w:val="2"/>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3740" w:type="dxa"/>
            <w:vAlign w:val="bottom"/>
          </w:tcPr>
          <w:p>
            <w:pPr>
              <w:ind w:left="300"/>
              <w:spacing w:after="0"/>
              <w:rPr>
                <w:sz w:val="20"/>
                <w:szCs w:val="20"/>
                <w:color w:val="auto"/>
              </w:rPr>
            </w:pPr>
            <w:r>
              <w:rPr>
                <w:rFonts w:ascii="Arial" w:cs="Arial" w:eastAsia="Arial" w:hAnsi="Arial"/>
                <w:sz w:val="14"/>
                <w:szCs w:val="14"/>
                <w:color w:val="001641"/>
              </w:rPr>
              <w:t>COVID-19 inventory-related adjustments</w:t>
            </w:r>
          </w:p>
        </w:tc>
        <w:tc>
          <w:tcPr>
            <w:tcW w:w="880" w:type="dxa"/>
            <w:vAlign w:val="bottom"/>
          </w:tcPr>
          <w:p>
            <w:pPr>
              <w:jc w:val="right"/>
              <w:spacing w:after="0"/>
              <w:rPr>
                <w:sz w:val="20"/>
                <w:szCs w:val="20"/>
                <w:color w:val="auto"/>
              </w:rPr>
            </w:pPr>
            <w:r>
              <w:rPr>
                <w:rFonts w:ascii="Arial" w:cs="Arial" w:eastAsia="Arial" w:hAnsi="Arial"/>
                <w:sz w:val="14"/>
                <w:szCs w:val="14"/>
                <w:color w:val="001641"/>
              </w:rPr>
              <w:t>(1.7)</w:t>
            </w:r>
          </w:p>
        </w:tc>
        <w:tc>
          <w:tcPr>
            <w:tcW w:w="9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1641"/>
              </w:rPr>
              <w:t>(1.7)</w:t>
            </w:r>
          </w:p>
        </w:tc>
        <w:tc>
          <w:tcPr>
            <w:tcW w:w="980" w:type="dxa"/>
            <w:vAlign w:val="bottom"/>
          </w:tcPr>
          <w:p>
            <w:pPr>
              <w:jc w:val="right"/>
              <w:ind w:right="68"/>
              <w:spacing w:after="0"/>
              <w:rPr>
                <w:sz w:val="20"/>
                <w:szCs w:val="20"/>
                <w:color w:val="auto"/>
              </w:rPr>
            </w:pPr>
            <w:r>
              <w:rPr>
                <w:rFonts w:ascii="Arial" w:cs="Arial" w:eastAsia="Arial" w:hAnsi="Arial"/>
                <w:sz w:val="14"/>
                <w:szCs w:val="14"/>
                <w:color w:val="001641"/>
              </w:rPr>
              <w:t>(1.7)</w:t>
            </w:r>
          </w:p>
        </w:tc>
        <w:tc>
          <w:tcPr>
            <w:tcW w:w="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001641"/>
              </w:rPr>
              <w: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700" w:type="dxa"/>
            <w:vAlign w:val="bottom"/>
            <w:tcBorders>
              <w:bottom w:val="single" w:sz="8" w:color="BFA071"/>
            </w:tcBorders>
            <w:gridSpan w:val="2"/>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740" w:type="dxa"/>
            <w:vAlign w:val="bottom"/>
          </w:tcPr>
          <w:p>
            <w:pPr>
              <w:ind w:left="300"/>
              <w:spacing w:after="0"/>
              <w:rPr>
                <w:sz w:val="20"/>
                <w:szCs w:val="20"/>
                <w:color w:val="auto"/>
              </w:rPr>
            </w:pPr>
            <w:r>
              <w:rPr>
                <w:rFonts w:ascii="Arial" w:cs="Arial" w:eastAsia="Arial" w:hAnsi="Arial"/>
                <w:sz w:val="14"/>
                <w:szCs w:val="14"/>
                <w:color w:val="001641"/>
              </w:rPr>
              <w:t>Russia-related bad debt reserve adjustments</w:t>
            </w:r>
          </w:p>
        </w:tc>
        <w:tc>
          <w:tcPr>
            <w:tcW w:w="880" w:type="dxa"/>
            <w:vAlign w:val="bottom"/>
          </w:tcPr>
          <w:p>
            <w:pPr>
              <w:jc w:val="right"/>
              <w:spacing w:after="0"/>
              <w:rPr>
                <w:sz w:val="20"/>
                <w:szCs w:val="20"/>
                <w:color w:val="auto"/>
              </w:rPr>
            </w:pPr>
            <w:r>
              <w:rPr>
                <w:rFonts w:ascii="Arial" w:cs="Arial" w:eastAsia="Arial" w:hAnsi="Arial"/>
                <w:sz w:val="14"/>
                <w:szCs w:val="14"/>
                <w:color w:val="001641"/>
              </w:rPr>
              <w:t>(0.5)</w:t>
            </w:r>
          </w:p>
        </w:tc>
        <w:tc>
          <w:tcPr>
            <w:tcW w:w="9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1641"/>
              </w:rPr>
              <w:t>(0.5)</w:t>
            </w:r>
          </w:p>
        </w:tc>
        <w:tc>
          <w:tcPr>
            <w:tcW w:w="980" w:type="dxa"/>
            <w:vAlign w:val="bottom"/>
          </w:tcPr>
          <w:p>
            <w:pPr>
              <w:jc w:val="right"/>
              <w:ind w:right="108"/>
              <w:spacing w:after="0"/>
              <w:rPr>
                <w:sz w:val="20"/>
                <w:szCs w:val="20"/>
                <w:color w:val="auto"/>
              </w:rPr>
            </w:pPr>
            <w:r>
              <w:rPr>
                <w:rFonts w:ascii="Arial" w:cs="Arial" w:eastAsia="Arial" w:hAnsi="Arial"/>
                <w:sz w:val="14"/>
                <w:szCs w:val="14"/>
                <w:color w:val="001641"/>
              </w:rPr>
              <w:t>—</w:t>
            </w:r>
          </w:p>
        </w:tc>
        <w:tc>
          <w:tcPr>
            <w:tcW w:w="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001641"/>
              </w:rPr>
              <w: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700" w:type="dxa"/>
            <w:vAlign w:val="bottom"/>
            <w:tcBorders>
              <w:bottom w:val="single" w:sz="8" w:color="BFA071"/>
            </w:tcBorders>
            <w:gridSpan w:val="2"/>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3740" w:type="dxa"/>
            <w:vAlign w:val="bottom"/>
          </w:tcPr>
          <w:p>
            <w:pPr>
              <w:ind w:left="300"/>
              <w:spacing w:after="0"/>
              <w:rPr>
                <w:sz w:val="20"/>
                <w:szCs w:val="20"/>
                <w:color w:val="auto"/>
              </w:rPr>
            </w:pPr>
            <w:r>
              <w:rPr>
                <w:rFonts w:ascii="Arial" w:cs="Arial" w:eastAsia="Arial" w:hAnsi="Arial"/>
                <w:sz w:val="14"/>
                <w:szCs w:val="14"/>
                <w:color w:val="001641"/>
              </w:rPr>
              <w:t>Swiss tax reform benefit</w:t>
            </w:r>
          </w:p>
        </w:tc>
        <w:tc>
          <w:tcPr>
            <w:tcW w:w="880" w:type="dxa"/>
            <w:vAlign w:val="bottom"/>
          </w:tcPr>
          <w:p>
            <w:pPr>
              <w:jc w:val="right"/>
              <w:spacing w:after="0"/>
              <w:rPr>
                <w:sz w:val="20"/>
                <w:szCs w:val="20"/>
                <w:color w:val="auto"/>
              </w:rPr>
            </w:pPr>
            <w:r>
              <w:rPr>
                <w:rFonts w:ascii="Arial" w:cs="Arial" w:eastAsia="Arial" w:hAnsi="Arial"/>
                <w:sz w:val="14"/>
                <w:szCs w:val="14"/>
                <w:color w:val="001641"/>
              </w:rPr>
              <w:t>—</w:t>
            </w:r>
          </w:p>
        </w:tc>
        <w:tc>
          <w:tcPr>
            <w:tcW w:w="9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1641"/>
              </w:rPr>
              <w:t>(13.1)</w:t>
            </w:r>
          </w:p>
        </w:tc>
        <w:tc>
          <w:tcPr>
            <w:tcW w:w="980" w:type="dxa"/>
            <w:vAlign w:val="bottom"/>
          </w:tcPr>
          <w:p>
            <w:pPr>
              <w:jc w:val="right"/>
              <w:ind w:right="108"/>
              <w:spacing w:after="0"/>
              <w:rPr>
                <w:sz w:val="20"/>
                <w:szCs w:val="20"/>
                <w:color w:val="auto"/>
              </w:rPr>
            </w:pPr>
            <w:r>
              <w:rPr>
                <w:rFonts w:ascii="Arial" w:cs="Arial" w:eastAsia="Arial" w:hAnsi="Arial"/>
                <w:sz w:val="14"/>
                <w:szCs w:val="14"/>
                <w:color w:val="001641"/>
              </w:rPr>
              <w:t>—</w:t>
            </w:r>
          </w:p>
        </w:tc>
        <w:tc>
          <w:tcPr>
            <w:tcW w:w="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001641"/>
              </w:rPr>
              <w: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700" w:type="dxa"/>
            <w:vAlign w:val="bottom"/>
            <w:tcBorders>
              <w:bottom w:val="single" w:sz="8" w:color="BFA071"/>
            </w:tcBorders>
            <w:gridSpan w:val="2"/>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740" w:type="dxa"/>
            <w:vAlign w:val="bottom"/>
            <w:tcBorders>
              <w:bottom w:val="single" w:sz="8" w:color="BFA071"/>
            </w:tcBorders>
          </w:tcPr>
          <w:p>
            <w:pPr>
              <w:ind w:left="300"/>
              <w:spacing w:after="0" w:line="250" w:lineRule="exact"/>
              <w:rPr>
                <w:sz w:val="20"/>
                <w:szCs w:val="20"/>
                <w:color w:val="auto"/>
              </w:rPr>
            </w:pPr>
            <w:r>
              <w:rPr>
                <w:rFonts w:ascii="Arial" w:cs="Arial" w:eastAsia="Arial" w:hAnsi="Arial"/>
                <w:sz w:val="14"/>
                <w:szCs w:val="14"/>
                <w:color w:val="001641"/>
              </w:rPr>
              <w:t>Tax effects of operating income adjustments</w:t>
            </w:r>
            <w:r>
              <w:rPr>
                <w:rFonts w:ascii="Arial" w:cs="Arial" w:eastAsia="Arial" w:hAnsi="Arial"/>
                <w:sz w:val="23"/>
                <w:szCs w:val="23"/>
                <w:color w:val="001641"/>
                <w:vertAlign w:val="superscript"/>
              </w:rPr>
              <w:t>(4)</w:t>
            </w:r>
          </w:p>
        </w:tc>
        <w:tc>
          <w:tcPr>
            <w:tcW w:w="880" w:type="dxa"/>
            <w:vAlign w:val="bottom"/>
            <w:tcBorders>
              <w:bottom w:val="single" w:sz="8" w:color="BFA071"/>
            </w:tcBorders>
          </w:tcPr>
          <w:p>
            <w:pPr>
              <w:jc w:val="right"/>
              <w:spacing w:after="0"/>
              <w:rPr>
                <w:sz w:val="20"/>
                <w:szCs w:val="20"/>
                <w:color w:val="auto"/>
              </w:rPr>
            </w:pPr>
            <w:r>
              <w:rPr>
                <w:rFonts w:ascii="Arial" w:cs="Arial" w:eastAsia="Arial" w:hAnsi="Arial"/>
                <w:sz w:val="14"/>
                <w:szCs w:val="14"/>
                <w:color w:val="001641"/>
              </w:rPr>
              <w:t>—</w:t>
            </w:r>
          </w:p>
        </w:tc>
        <w:tc>
          <w:tcPr>
            <w:tcW w:w="960" w:type="dxa"/>
            <w:vAlign w:val="bottom"/>
            <w:tcBorders>
              <w:bottom w:val="single" w:sz="8" w:color="BFA071"/>
            </w:tcBorders>
          </w:tcPr>
          <w:p>
            <w:pPr>
              <w:spacing w:after="0"/>
              <w:rPr>
                <w:sz w:val="21"/>
                <w:szCs w:val="21"/>
                <w:color w:val="auto"/>
              </w:rPr>
            </w:pPr>
          </w:p>
        </w:tc>
        <w:tc>
          <w:tcPr>
            <w:tcW w:w="860" w:type="dxa"/>
            <w:vAlign w:val="bottom"/>
            <w:tcBorders>
              <w:bottom w:val="single" w:sz="8" w:color="BFA071"/>
            </w:tcBorders>
          </w:tcPr>
          <w:p>
            <w:pPr>
              <w:jc w:val="right"/>
              <w:spacing w:after="0"/>
              <w:rPr>
                <w:sz w:val="20"/>
                <w:szCs w:val="20"/>
                <w:color w:val="auto"/>
              </w:rPr>
            </w:pPr>
            <w:r>
              <w:rPr>
                <w:rFonts w:ascii="Arial" w:cs="Arial" w:eastAsia="Arial" w:hAnsi="Arial"/>
                <w:sz w:val="14"/>
                <w:szCs w:val="14"/>
                <w:color w:val="001641"/>
              </w:rPr>
              <w:t>(17.3)</w:t>
            </w:r>
          </w:p>
        </w:tc>
        <w:tc>
          <w:tcPr>
            <w:tcW w:w="980" w:type="dxa"/>
            <w:vAlign w:val="bottom"/>
            <w:tcBorders>
              <w:bottom w:val="single" w:sz="8" w:color="BFA071"/>
            </w:tcBorders>
          </w:tcPr>
          <w:p>
            <w:pPr>
              <w:jc w:val="right"/>
              <w:ind w:right="108"/>
              <w:spacing w:after="0"/>
              <w:rPr>
                <w:sz w:val="20"/>
                <w:szCs w:val="20"/>
                <w:color w:val="auto"/>
              </w:rPr>
            </w:pPr>
            <w:r>
              <w:rPr>
                <w:rFonts w:ascii="Arial" w:cs="Arial" w:eastAsia="Arial" w:hAnsi="Arial"/>
                <w:sz w:val="14"/>
                <w:szCs w:val="14"/>
                <w:color w:val="001641"/>
              </w:rPr>
              <w:t>—</w:t>
            </w:r>
          </w:p>
        </w:tc>
        <w:tc>
          <w:tcPr>
            <w:tcW w:w="60" w:type="dxa"/>
            <w:vAlign w:val="bottom"/>
            <w:tcBorders>
              <w:bottom w:val="single" w:sz="8" w:color="BFA071"/>
            </w:tcBorders>
          </w:tcPr>
          <w:p>
            <w:pPr>
              <w:spacing w:after="0"/>
              <w:rPr>
                <w:sz w:val="21"/>
                <w:szCs w:val="21"/>
                <w:color w:val="auto"/>
              </w:rPr>
            </w:pPr>
          </w:p>
        </w:tc>
        <w:tc>
          <w:tcPr>
            <w:tcW w:w="700" w:type="dxa"/>
            <w:vAlign w:val="bottom"/>
            <w:tcBorders>
              <w:bottom w:val="single" w:sz="8" w:color="BFA071"/>
            </w:tcBorders>
            <w:gridSpan w:val="2"/>
          </w:tcPr>
          <w:p>
            <w:pPr>
              <w:jc w:val="right"/>
              <w:ind w:right="60"/>
              <w:spacing w:after="0"/>
              <w:rPr>
                <w:sz w:val="20"/>
                <w:szCs w:val="20"/>
                <w:color w:val="auto"/>
              </w:rPr>
            </w:pPr>
            <w:r>
              <w:rPr>
                <w:rFonts w:ascii="Arial" w:cs="Arial" w:eastAsia="Arial" w:hAnsi="Arial"/>
                <w:sz w:val="14"/>
                <w:szCs w:val="14"/>
                <w:color w:val="001641"/>
              </w:rPr>
              <w:t>—</w:t>
            </w:r>
          </w:p>
        </w:tc>
        <w:tc>
          <w:tcPr>
            <w:tcW w:w="900" w:type="dxa"/>
            <w:vAlign w:val="bottom"/>
            <w:tcBorders>
              <w:bottom w:val="single" w:sz="8" w:color="BFA071"/>
            </w:tcBorders>
          </w:tcPr>
          <w:p>
            <w:pPr>
              <w:spacing w:after="0"/>
              <w:rPr>
                <w:sz w:val="21"/>
                <w:szCs w:val="21"/>
                <w:color w:val="auto"/>
              </w:rPr>
            </w:pPr>
          </w:p>
        </w:tc>
        <w:tc>
          <w:tcPr>
            <w:tcW w:w="100" w:type="dxa"/>
            <w:vAlign w:val="bottom"/>
            <w:tcBorders>
              <w:bottom w:val="single" w:sz="8" w:color="BFA071"/>
            </w:tcBorders>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001641"/>
              </w:rPr>
              <w:t>As adjusted in reported currency</w:t>
            </w:r>
          </w:p>
        </w:tc>
        <w:tc>
          <w:tcPr>
            <w:tcW w:w="880" w:type="dxa"/>
            <w:vAlign w:val="bottom"/>
          </w:tcPr>
          <w:p>
            <w:pPr>
              <w:jc w:val="right"/>
              <w:spacing w:after="0"/>
              <w:rPr>
                <w:sz w:val="20"/>
                <w:szCs w:val="20"/>
                <w:color w:val="auto"/>
              </w:rPr>
            </w:pPr>
            <w:r>
              <w:rPr>
                <w:rFonts w:ascii="Arial" w:cs="Arial" w:eastAsia="Arial" w:hAnsi="Arial"/>
                <w:sz w:val="14"/>
                <w:szCs w:val="14"/>
                <w:color w:val="001641"/>
              </w:rPr>
              <w:t>$826.3</w:t>
            </w:r>
          </w:p>
        </w:tc>
        <w:tc>
          <w:tcPr>
            <w:tcW w:w="960" w:type="dxa"/>
            <w:vAlign w:val="bottom"/>
          </w:tcPr>
          <w:p>
            <w:pPr>
              <w:ind w:left="560"/>
              <w:spacing w:after="0"/>
              <w:rPr>
                <w:sz w:val="20"/>
                <w:szCs w:val="20"/>
                <w:color w:val="auto"/>
              </w:rPr>
            </w:pPr>
            <w:r>
              <w:rPr>
                <w:rFonts w:ascii="Arial" w:cs="Arial" w:eastAsia="Arial" w:hAnsi="Arial"/>
                <w:sz w:val="14"/>
                <w:szCs w:val="14"/>
                <w:color w:val="001641"/>
                <w:w w:val="95"/>
              </w:rPr>
              <w:t>12.5%</w:t>
            </w:r>
          </w:p>
        </w:tc>
        <w:tc>
          <w:tcPr>
            <w:tcW w:w="860" w:type="dxa"/>
            <w:vAlign w:val="bottom"/>
          </w:tcPr>
          <w:p>
            <w:pPr>
              <w:jc w:val="right"/>
              <w:spacing w:after="0"/>
              <w:rPr>
                <w:sz w:val="20"/>
                <w:szCs w:val="20"/>
                <w:color w:val="auto"/>
              </w:rPr>
            </w:pPr>
            <w:r>
              <w:rPr>
                <w:rFonts w:ascii="Arial" w:cs="Arial" w:eastAsia="Arial" w:hAnsi="Arial"/>
                <w:sz w:val="14"/>
                <w:szCs w:val="14"/>
                <w:color w:val="001641"/>
              </w:rPr>
              <w:t>$685.8</w:t>
            </w:r>
          </w:p>
        </w:tc>
        <w:tc>
          <w:tcPr>
            <w:tcW w:w="980" w:type="dxa"/>
            <w:vAlign w:val="bottom"/>
          </w:tcPr>
          <w:p>
            <w:pPr>
              <w:jc w:val="right"/>
              <w:ind w:right="108"/>
              <w:spacing w:after="0"/>
              <w:rPr>
                <w:sz w:val="20"/>
                <w:szCs w:val="20"/>
                <w:color w:val="auto"/>
              </w:rPr>
            </w:pPr>
            <w:r>
              <w:rPr>
                <w:rFonts w:ascii="Arial" w:cs="Arial" w:eastAsia="Arial" w:hAnsi="Arial"/>
                <w:sz w:val="14"/>
                <w:szCs w:val="14"/>
                <w:color w:val="001641"/>
              </w:rPr>
              <w:t>$897.7</w:t>
            </w:r>
          </w:p>
        </w:tc>
        <w:tc>
          <w:tcPr>
            <w:tcW w:w="720" w:type="dxa"/>
            <w:vAlign w:val="bottom"/>
            <w:gridSpan w:val="2"/>
          </w:tcPr>
          <w:p>
            <w:pPr>
              <w:jc w:val="right"/>
              <w:spacing w:after="0"/>
              <w:rPr>
                <w:sz w:val="20"/>
                <w:szCs w:val="20"/>
                <w:color w:val="auto"/>
              </w:rPr>
            </w:pPr>
            <w:r>
              <w:rPr>
                <w:rFonts w:ascii="Arial" w:cs="Arial" w:eastAsia="Arial" w:hAnsi="Arial"/>
                <w:sz w:val="14"/>
                <w:szCs w:val="14"/>
                <w:color w:val="001641"/>
              </w:rPr>
              <w:t>$853.5</w:t>
            </w:r>
          </w:p>
        </w:tc>
        <w:tc>
          <w:tcPr>
            <w:tcW w:w="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1641"/>
              </w:rPr>
              <w:t>39.2%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660" w:type="dxa"/>
            <w:vAlign w:val="bottom"/>
            <w:tcBorders>
              <w:bottom w:val="single" w:sz="8" w:color="BFA071"/>
            </w:tcBorders>
          </w:tcPr>
          <w:p>
            <w:pPr>
              <w:spacing w:after="0" w:line="20" w:lineRule="exact"/>
              <w:rPr>
                <w:sz w:val="1"/>
                <w:szCs w:val="1"/>
                <w:color w:val="auto"/>
              </w:rPr>
            </w:pPr>
          </w:p>
        </w:tc>
        <w:tc>
          <w:tcPr>
            <w:tcW w:w="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001641"/>
              </w:rPr>
              <w:t>Foreign currency impact</w:t>
            </w:r>
          </w:p>
        </w:tc>
        <w:tc>
          <w:tcPr>
            <w:tcW w:w="880" w:type="dxa"/>
            <w:vAlign w:val="bottom"/>
          </w:tcPr>
          <w:p>
            <w:pPr>
              <w:jc w:val="right"/>
              <w:spacing w:after="0"/>
              <w:rPr>
                <w:sz w:val="20"/>
                <w:szCs w:val="20"/>
                <w:color w:val="auto"/>
              </w:rPr>
            </w:pPr>
            <w:r>
              <w:rPr>
                <w:rFonts w:ascii="Arial" w:cs="Arial" w:eastAsia="Arial" w:hAnsi="Arial"/>
                <w:sz w:val="14"/>
                <w:szCs w:val="14"/>
                <w:color w:val="001641"/>
              </w:rPr>
              <w:t>(6.5)</w:t>
            </w: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660" w:type="dxa"/>
            <w:vAlign w:val="bottom"/>
            <w:tcBorders>
              <w:bottom w:val="single" w:sz="8" w:color="BFA071"/>
            </w:tcBorders>
          </w:tcPr>
          <w:p>
            <w:pPr>
              <w:spacing w:after="0" w:line="20" w:lineRule="exact"/>
              <w:rPr>
                <w:sz w:val="1"/>
                <w:szCs w:val="1"/>
                <w:color w:val="auto"/>
              </w:rPr>
            </w:pPr>
          </w:p>
        </w:tc>
        <w:tc>
          <w:tcPr>
            <w:tcW w:w="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3740" w:type="dxa"/>
            <w:vAlign w:val="bottom"/>
            <w:tcBorders>
              <w:bottom w:val="single" w:sz="8" w:color="001641"/>
            </w:tcBorders>
          </w:tcPr>
          <w:p>
            <w:pPr>
              <w:ind w:left="120"/>
              <w:spacing w:after="0"/>
              <w:rPr>
                <w:sz w:val="20"/>
                <w:szCs w:val="20"/>
                <w:color w:val="auto"/>
              </w:rPr>
            </w:pPr>
            <w:r>
              <w:rPr>
                <w:rFonts w:ascii="Arial" w:cs="Arial" w:eastAsia="Arial" w:hAnsi="Arial"/>
                <w:sz w:val="14"/>
                <w:szCs w:val="14"/>
                <w:color w:val="001641"/>
              </w:rPr>
              <w:t>As adjusted in constant currency</w:t>
            </w:r>
          </w:p>
        </w:tc>
        <w:tc>
          <w:tcPr>
            <w:tcW w:w="880" w:type="dxa"/>
            <w:vAlign w:val="bottom"/>
            <w:tcBorders>
              <w:bottom w:val="single" w:sz="8" w:color="001641"/>
            </w:tcBorders>
          </w:tcPr>
          <w:p>
            <w:pPr>
              <w:jc w:val="right"/>
              <w:spacing w:after="0"/>
              <w:rPr>
                <w:sz w:val="20"/>
                <w:szCs w:val="20"/>
                <w:color w:val="auto"/>
              </w:rPr>
            </w:pPr>
            <w:r>
              <w:rPr>
                <w:rFonts w:ascii="Arial" w:cs="Arial" w:eastAsia="Arial" w:hAnsi="Arial"/>
                <w:sz w:val="14"/>
                <w:szCs w:val="14"/>
                <w:color w:val="001641"/>
              </w:rPr>
              <w:t>$819.8</w:t>
            </w:r>
          </w:p>
        </w:tc>
        <w:tc>
          <w:tcPr>
            <w:tcW w:w="960" w:type="dxa"/>
            <w:vAlign w:val="bottom"/>
            <w:tcBorders>
              <w:bottom w:val="single" w:sz="8" w:color="001641"/>
            </w:tcBorders>
          </w:tcPr>
          <w:p>
            <w:pPr>
              <w:ind w:left="560"/>
              <w:spacing w:after="0"/>
              <w:rPr>
                <w:sz w:val="20"/>
                <w:szCs w:val="20"/>
                <w:color w:val="auto"/>
              </w:rPr>
            </w:pPr>
            <w:r>
              <w:rPr>
                <w:rFonts w:ascii="Arial" w:cs="Arial" w:eastAsia="Arial" w:hAnsi="Arial"/>
                <w:sz w:val="14"/>
                <w:szCs w:val="14"/>
                <w:color w:val="001641"/>
                <w:w w:val="95"/>
              </w:rPr>
              <w:t>12.4%</w:t>
            </w:r>
          </w:p>
        </w:tc>
        <w:tc>
          <w:tcPr>
            <w:tcW w:w="860" w:type="dxa"/>
            <w:vAlign w:val="bottom"/>
            <w:tcBorders>
              <w:bottom w:val="single" w:sz="8" w:color="001641"/>
            </w:tcBorders>
          </w:tcPr>
          <w:p>
            <w:pPr>
              <w:spacing w:after="0"/>
              <w:rPr>
                <w:sz w:val="17"/>
                <w:szCs w:val="17"/>
                <w:color w:val="auto"/>
              </w:rPr>
            </w:pPr>
          </w:p>
        </w:tc>
        <w:tc>
          <w:tcPr>
            <w:tcW w:w="980" w:type="dxa"/>
            <w:vAlign w:val="bottom"/>
            <w:tcBorders>
              <w:bottom w:val="single" w:sz="8" w:color="001641"/>
            </w:tcBorders>
          </w:tcPr>
          <w:p>
            <w:pPr>
              <w:spacing w:after="0"/>
              <w:rPr>
                <w:sz w:val="17"/>
                <w:szCs w:val="17"/>
                <w:color w:val="auto"/>
              </w:rPr>
            </w:pPr>
          </w:p>
        </w:tc>
        <w:tc>
          <w:tcPr>
            <w:tcW w:w="60" w:type="dxa"/>
            <w:vAlign w:val="bottom"/>
            <w:tcBorders>
              <w:bottom w:val="single" w:sz="8" w:color="001641"/>
            </w:tcBorders>
          </w:tcPr>
          <w:p>
            <w:pPr>
              <w:spacing w:after="0"/>
              <w:rPr>
                <w:sz w:val="17"/>
                <w:szCs w:val="17"/>
                <w:color w:val="auto"/>
              </w:rPr>
            </w:pPr>
          </w:p>
        </w:tc>
        <w:tc>
          <w:tcPr>
            <w:tcW w:w="660" w:type="dxa"/>
            <w:vAlign w:val="bottom"/>
            <w:tcBorders>
              <w:bottom w:val="single" w:sz="8" w:color="001641"/>
            </w:tcBorders>
          </w:tcPr>
          <w:p>
            <w:pPr>
              <w:spacing w:after="0"/>
              <w:rPr>
                <w:sz w:val="17"/>
                <w:szCs w:val="17"/>
                <w:color w:val="auto"/>
              </w:rPr>
            </w:pPr>
          </w:p>
        </w:tc>
        <w:tc>
          <w:tcPr>
            <w:tcW w:w="40" w:type="dxa"/>
            <w:vAlign w:val="bottom"/>
            <w:tcBorders>
              <w:bottom w:val="single" w:sz="8" w:color="001641"/>
            </w:tcBorders>
          </w:tcPr>
          <w:p>
            <w:pPr>
              <w:spacing w:after="0"/>
              <w:rPr>
                <w:sz w:val="17"/>
                <w:szCs w:val="17"/>
                <w:color w:val="auto"/>
              </w:rPr>
            </w:pPr>
          </w:p>
        </w:tc>
        <w:tc>
          <w:tcPr>
            <w:tcW w:w="900" w:type="dxa"/>
            <w:vAlign w:val="bottom"/>
            <w:tcBorders>
              <w:bottom w:val="single" w:sz="8" w:color="001641"/>
            </w:tcBorders>
          </w:tcPr>
          <w:p>
            <w:pPr>
              <w:spacing w:after="0"/>
              <w:rPr>
                <w:sz w:val="17"/>
                <w:szCs w:val="17"/>
                <w:color w:val="auto"/>
              </w:rPr>
            </w:pPr>
          </w:p>
        </w:tc>
        <w:tc>
          <w:tcPr>
            <w:tcW w:w="100" w:type="dxa"/>
            <w:vAlign w:val="bottom"/>
            <w:tcBorders>
              <w:bottom w:val="single" w:sz="8" w:color="001641"/>
            </w:tcBorders>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9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70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920" w:type="dxa"/>
            <w:vAlign w:val="bottom"/>
          </w:tcPr>
          <w:p>
            <w:pPr>
              <w:spacing w:after="0"/>
              <w:rPr>
                <w:sz w:val="24"/>
                <w:szCs w:val="24"/>
                <w:color w:val="auto"/>
              </w:rPr>
            </w:pPr>
          </w:p>
        </w:tc>
        <w:tc>
          <w:tcPr>
            <w:tcW w:w="3740" w:type="dxa"/>
            <w:vAlign w:val="bottom"/>
            <w:shd w:val="clear" w:color="auto" w:fill="001641"/>
          </w:tcPr>
          <w:p>
            <w:pPr>
              <w:spacing w:after="0"/>
              <w:rPr>
                <w:sz w:val="24"/>
                <w:szCs w:val="24"/>
                <w:color w:val="auto"/>
              </w:rPr>
            </w:pPr>
          </w:p>
        </w:tc>
        <w:tc>
          <w:tcPr>
            <w:tcW w:w="880" w:type="dxa"/>
            <w:vAlign w:val="bottom"/>
            <w:shd w:val="clear" w:color="auto" w:fill="001641"/>
          </w:tcPr>
          <w:p>
            <w:pPr>
              <w:spacing w:after="0"/>
              <w:rPr>
                <w:sz w:val="24"/>
                <w:szCs w:val="24"/>
                <w:color w:val="auto"/>
              </w:rPr>
            </w:pPr>
          </w:p>
        </w:tc>
        <w:tc>
          <w:tcPr>
            <w:tcW w:w="960" w:type="dxa"/>
            <w:vAlign w:val="bottom"/>
            <w:shd w:val="clear" w:color="auto" w:fill="001641"/>
          </w:tcPr>
          <w:p>
            <w:pPr>
              <w:spacing w:after="0"/>
              <w:rPr>
                <w:sz w:val="24"/>
                <w:szCs w:val="24"/>
                <w:color w:val="auto"/>
              </w:rPr>
            </w:pPr>
          </w:p>
        </w:tc>
        <w:tc>
          <w:tcPr>
            <w:tcW w:w="860" w:type="dxa"/>
            <w:vAlign w:val="bottom"/>
            <w:shd w:val="clear" w:color="auto" w:fill="001641"/>
          </w:tcPr>
          <w:p>
            <w:pPr>
              <w:spacing w:after="0"/>
              <w:rPr>
                <w:sz w:val="24"/>
                <w:szCs w:val="24"/>
                <w:color w:val="auto"/>
              </w:rPr>
            </w:pPr>
          </w:p>
        </w:tc>
        <w:tc>
          <w:tcPr>
            <w:tcW w:w="1740" w:type="dxa"/>
            <w:vAlign w:val="bottom"/>
            <w:gridSpan w:val="4"/>
            <w:shd w:val="clear" w:color="auto" w:fill="001641"/>
          </w:tcPr>
          <w:p>
            <w:pPr>
              <w:jc w:val="center"/>
              <w:ind w:left="348"/>
              <w:spacing w:after="0"/>
              <w:rPr>
                <w:sz w:val="20"/>
                <w:szCs w:val="20"/>
                <w:color w:val="auto"/>
              </w:rPr>
            </w:pPr>
            <w:r>
              <w:rPr>
                <w:rFonts w:ascii="Arial" w:cs="Arial" w:eastAsia="Arial" w:hAnsi="Arial"/>
                <w:sz w:val="14"/>
                <w:szCs w:val="14"/>
                <w:b w:val="1"/>
                <w:bCs w:val="1"/>
                <w:color w:val="FFFFFF"/>
              </w:rPr>
              <w:t>Fiscal Year Ended</w:t>
            </w:r>
          </w:p>
        </w:tc>
        <w:tc>
          <w:tcPr>
            <w:tcW w:w="900" w:type="dxa"/>
            <w:vAlign w:val="bottom"/>
            <w:shd w:val="clear" w:color="auto" w:fill="001641"/>
          </w:tcPr>
          <w:p>
            <w:pPr>
              <w:spacing w:after="0"/>
              <w:rPr>
                <w:sz w:val="24"/>
                <w:szCs w:val="24"/>
                <w:color w:val="auto"/>
              </w:rPr>
            </w:pPr>
          </w:p>
        </w:tc>
        <w:tc>
          <w:tcPr>
            <w:tcW w:w="100" w:type="dxa"/>
            <w:vAlign w:val="bottom"/>
            <w:shd w:val="clear" w:color="auto" w:fill="001641"/>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740" w:type="dxa"/>
            <w:vAlign w:val="bottom"/>
            <w:shd w:val="clear" w:color="auto" w:fill="001641"/>
          </w:tcPr>
          <w:p>
            <w:pPr>
              <w:spacing w:after="0"/>
              <w:rPr>
                <w:sz w:val="21"/>
                <w:szCs w:val="21"/>
                <w:color w:val="auto"/>
              </w:rPr>
            </w:pPr>
          </w:p>
        </w:tc>
        <w:tc>
          <w:tcPr>
            <w:tcW w:w="880" w:type="dxa"/>
            <w:vAlign w:val="bottom"/>
            <w:shd w:val="clear" w:color="auto" w:fill="001641"/>
          </w:tcPr>
          <w:p>
            <w:pPr>
              <w:spacing w:after="0"/>
              <w:rPr>
                <w:sz w:val="21"/>
                <w:szCs w:val="21"/>
                <w:color w:val="auto"/>
              </w:rPr>
            </w:pPr>
          </w:p>
        </w:tc>
        <w:tc>
          <w:tcPr>
            <w:tcW w:w="960" w:type="dxa"/>
            <w:vAlign w:val="bottom"/>
            <w:shd w:val="clear" w:color="auto" w:fill="001641"/>
          </w:tcPr>
          <w:p>
            <w:pPr>
              <w:spacing w:after="0"/>
              <w:rPr>
                <w:sz w:val="21"/>
                <w:szCs w:val="21"/>
                <w:color w:val="auto"/>
              </w:rPr>
            </w:pPr>
          </w:p>
        </w:tc>
        <w:tc>
          <w:tcPr>
            <w:tcW w:w="860" w:type="dxa"/>
            <w:vAlign w:val="bottom"/>
            <w:shd w:val="clear" w:color="auto" w:fill="001641"/>
          </w:tcPr>
          <w:p>
            <w:pPr>
              <w:spacing w:after="0"/>
              <w:rPr>
                <w:sz w:val="21"/>
                <w:szCs w:val="21"/>
                <w:color w:val="auto"/>
              </w:rPr>
            </w:pPr>
          </w:p>
        </w:tc>
        <w:tc>
          <w:tcPr>
            <w:tcW w:w="1740" w:type="dxa"/>
            <w:vAlign w:val="bottom"/>
            <w:gridSpan w:val="4"/>
            <w:shd w:val="clear" w:color="auto" w:fill="001641"/>
          </w:tcPr>
          <w:p>
            <w:pPr>
              <w:jc w:val="center"/>
              <w:ind w:left="348"/>
              <w:spacing w:after="0"/>
              <w:rPr>
                <w:sz w:val="20"/>
                <w:szCs w:val="20"/>
                <w:color w:val="auto"/>
              </w:rPr>
            </w:pPr>
            <w:r>
              <w:rPr>
                <w:rFonts w:ascii="Arial" w:cs="Arial" w:eastAsia="Arial" w:hAnsi="Arial"/>
                <w:sz w:val="14"/>
                <w:szCs w:val="14"/>
                <w:b w:val="1"/>
                <w:bCs w:val="1"/>
                <w:color w:val="FFFFFF"/>
              </w:rPr>
              <w:t>April 1, 2023</w:t>
            </w:r>
          </w:p>
        </w:tc>
        <w:tc>
          <w:tcPr>
            <w:tcW w:w="900" w:type="dxa"/>
            <w:vAlign w:val="bottom"/>
            <w:shd w:val="clear" w:color="auto" w:fill="001641"/>
          </w:tcPr>
          <w:p>
            <w:pPr>
              <w:spacing w:after="0"/>
              <w:rPr>
                <w:sz w:val="21"/>
                <w:szCs w:val="21"/>
                <w:color w:val="auto"/>
              </w:rPr>
            </w:pPr>
          </w:p>
        </w:tc>
        <w:tc>
          <w:tcPr>
            <w:tcW w:w="100" w:type="dxa"/>
            <w:vAlign w:val="bottom"/>
            <w:shd w:val="clear" w:color="auto" w:fill="001641"/>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740" w:type="dxa"/>
            <w:vAlign w:val="bottom"/>
            <w:shd w:val="clear" w:color="auto" w:fill="001641"/>
          </w:tcPr>
          <w:p>
            <w:pPr>
              <w:spacing w:after="0"/>
              <w:rPr>
                <w:sz w:val="18"/>
                <w:szCs w:val="18"/>
                <w:color w:val="auto"/>
              </w:rPr>
            </w:pPr>
          </w:p>
        </w:tc>
        <w:tc>
          <w:tcPr>
            <w:tcW w:w="880" w:type="dxa"/>
            <w:vAlign w:val="bottom"/>
            <w:shd w:val="clear" w:color="auto" w:fill="001641"/>
          </w:tcPr>
          <w:p>
            <w:pPr>
              <w:spacing w:after="0"/>
              <w:rPr>
                <w:sz w:val="18"/>
                <w:szCs w:val="18"/>
                <w:color w:val="auto"/>
              </w:rPr>
            </w:pPr>
          </w:p>
        </w:tc>
        <w:tc>
          <w:tcPr>
            <w:tcW w:w="960" w:type="dxa"/>
            <w:vAlign w:val="bottom"/>
            <w:shd w:val="clear" w:color="auto" w:fill="001641"/>
          </w:tcPr>
          <w:p>
            <w:pPr>
              <w:spacing w:after="0"/>
              <w:rPr>
                <w:sz w:val="18"/>
                <w:szCs w:val="18"/>
                <w:color w:val="auto"/>
              </w:rPr>
            </w:pPr>
          </w:p>
        </w:tc>
        <w:tc>
          <w:tcPr>
            <w:tcW w:w="1840" w:type="dxa"/>
            <w:vAlign w:val="bottom"/>
            <w:gridSpan w:val="2"/>
            <w:shd w:val="clear" w:color="auto" w:fill="001641"/>
          </w:tcPr>
          <w:p>
            <w:pPr>
              <w:jc w:val="center"/>
              <w:ind w:left="328"/>
              <w:spacing w:after="0"/>
              <w:rPr>
                <w:sz w:val="20"/>
                <w:szCs w:val="20"/>
                <w:color w:val="auto"/>
              </w:rPr>
            </w:pPr>
            <w:r>
              <w:rPr>
                <w:rFonts w:ascii="Arial" w:cs="Arial" w:eastAsia="Arial" w:hAnsi="Arial"/>
                <w:sz w:val="14"/>
                <w:szCs w:val="14"/>
                <w:b w:val="1"/>
                <w:bCs w:val="1"/>
                <w:color w:val="FFFFFF"/>
              </w:rPr>
              <w:t>Operating</w:t>
            </w:r>
          </w:p>
        </w:tc>
        <w:tc>
          <w:tcPr>
            <w:tcW w:w="60" w:type="dxa"/>
            <w:vAlign w:val="bottom"/>
            <w:shd w:val="clear" w:color="auto" w:fill="001641"/>
          </w:tcPr>
          <w:p>
            <w:pPr>
              <w:spacing w:after="0"/>
              <w:rPr>
                <w:sz w:val="18"/>
                <w:szCs w:val="18"/>
                <w:color w:val="auto"/>
              </w:rPr>
            </w:pPr>
          </w:p>
        </w:tc>
        <w:tc>
          <w:tcPr>
            <w:tcW w:w="1600" w:type="dxa"/>
            <w:vAlign w:val="bottom"/>
            <w:gridSpan w:val="3"/>
            <w:shd w:val="clear" w:color="auto" w:fill="001641"/>
          </w:tcPr>
          <w:p>
            <w:pPr>
              <w:jc w:val="right"/>
              <w:ind w:right="368"/>
              <w:spacing w:after="0"/>
              <w:rPr>
                <w:sz w:val="20"/>
                <w:szCs w:val="20"/>
                <w:color w:val="auto"/>
              </w:rPr>
            </w:pPr>
            <w:r>
              <w:rPr>
                <w:rFonts w:ascii="Arial" w:cs="Arial" w:eastAsia="Arial" w:hAnsi="Arial"/>
                <w:sz w:val="14"/>
                <w:szCs w:val="14"/>
                <w:b w:val="1"/>
                <w:bCs w:val="1"/>
                <w:color w:val="FFFFFF"/>
              </w:rPr>
              <w:t>Operating</w:t>
            </w:r>
          </w:p>
        </w:tc>
        <w:tc>
          <w:tcPr>
            <w:tcW w:w="100" w:type="dxa"/>
            <w:vAlign w:val="bottom"/>
            <w:shd w:val="clear" w:color="auto" w:fill="001641"/>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740" w:type="dxa"/>
            <w:vAlign w:val="bottom"/>
            <w:shd w:val="clear" w:color="auto" w:fill="001641"/>
          </w:tcPr>
          <w:p>
            <w:pPr>
              <w:spacing w:after="0"/>
              <w:rPr>
                <w:sz w:val="17"/>
                <w:szCs w:val="17"/>
                <w:color w:val="auto"/>
              </w:rPr>
            </w:pPr>
          </w:p>
        </w:tc>
        <w:tc>
          <w:tcPr>
            <w:tcW w:w="880" w:type="dxa"/>
            <w:vAlign w:val="bottom"/>
            <w:shd w:val="clear" w:color="auto" w:fill="001641"/>
          </w:tcPr>
          <w:p>
            <w:pPr>
              <w:spacing w:after="0"/>
              <w:rPr>
                <w:sz w:val="17"/>
                <w:szCs w:val="17"/>
                <w:color w:val="auto"/>
              </w:rPr>
            </w:pPr>
          </w:p>
        </w:tc>
        <w:tc>
          <w:tcPr>
            <w:tcW w:w="960" w:type="dxa"/>
            <w:vAlign w:val="bottom"/>
            <w:shd w:val="clear" w:color="auto" w:fill="001641"/>
          </w:tcPr>
          <w:p>
            <w:pPr>
              <w:spacing w:after="0"/>
              <w:rPr>
                <w:sz w:val="17"/>
                <w:szCs w:val="17"/>
                <w:color w:val="auto"/>
              </w:rPr>
            </w:pPr>
          </w:p>
        </w:tc>
        <w:tc>
          <w:tcPr>
            <w:tcW w:w="860" w:type="dxa"/>
            <w:vAlign w:val="bottom"/>
            <w:shd w:val="clear" w:color="auto" w:fill="001641"/>
          </w:tcPr>
          <w:p>
            <w:pPr>
              <w:spacing w:after="0"/>
              <w:rPr>
                <w:sz w:val="17"/>
                <w:szCs w:val="17"/>
                <w:color w:val="auto"/>
              </w:rPr>
            </w:pPr>
          </w:p>
        </w:tc>
        <w:tc>
          <w:tcPr>
            <w:tcW w:w="980" w:type="dxa"/>
            <w:vAlign w:val="bottom"/>
            <w:shd w:val="clear" w:color="auto" w:fill="001641"/>
          </w:tcPr>
          <w:p>
            <w:pPr>
              <w:jc w:val="center"/>
              <w:ind w:right="408"/>
              <w:spacing w:after="0"/>
              <w:rPr>
                <w:sz w:val="20"/>
                <w:szCs w:val="20"/>
                <w:color w:val="auto"/>
              </w:rPr>
            </w:pPr>
            <w:r>
              <w:rPr>
                <w:rFonts w:ascii="Arial" w:cs="Arial" w:eastAsia="Arial" w:hAnsi="Arial"/>
                <w:sz w:val="14"/>
                <w:szCs w:val="14"/>
                <w:b w:val="1"/>
                <w:bCs w:val="1"/>
                <w:color w:val="FFFFFF"/>
              </w:rPr>
              <w:t>Income</w:t>
            </w:r>
          </w:p>
        </w:tc>
        <w:tc>
          <w:tcPr>
            <w:tcW w:w="60" w:type="dxa"/>
            <w:vAlign w:val="bottom"/>
            <w:shd w:val="clear" w:color="auto" w:fill="001641"/>
          </w:tcPr>
          <w:p>
            <w:pPr>
              <w:spacing w:after="0"/>
              <w:rPr>
                <w:sz w:val="17"/>
                <w:szCs w:val="17"/>
                <w:color w:val="auto"/>
              </w:rPr>
            </w:pPr>
          </w:p>
        </w:tc>
        <w:tc>
          <w:tcPr>
            <w:tcW w:w="1600" w:type="dxa"/>
            <w:vAlign w:val="bottom"/>
            <w:gridSpan w:val="3"/>
            <w:shd w:val="clear" w:color="auto" w:fill="001641"/>
          </w:tcPr>
          <w:p>
            <w:pPr>
              <w:jc w:val="right"/>
              <w:ind w:right="468"/>
              <w:spacing w:after="0"/>
              <w:rPr>
                <w:sz w:val="20"/>
                <w:szCs w:val="20"/>
                <w:color w:val="auto"/>
              </w:rPr>
            </w:pPr>
            <w:r>
              <w:rPr>
                <w:rFonts w:ascii="Arial" w:cs="Arial" w:eastAsia="Arial" w:hAnsi="Arial"/>
                <w:sz w:val="14"/>
                <w:szCs w:val="14"/>
                <w:b w:val="1"/>
                <w:bCs w:val="1"/>
                <w:color w:val="FFFFFF"/>
              </w:rPr>
              <w:t>Margin</w:t>
            </w:r>
          </w:p>
        </w:tc>
        <w:tc>
          <w:tcPr>
            <w:tcW w:w="100" w:type="dxa"/>
            <w:vAlign w:val="bottom"/>
            <w:shd w:val="clear" w:color="auto" w:fill="001641"/>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920" w:type="dxa"/>
            <w:vAlign w:val="bottom"/>
          </w:tcPr>
          <w:p>
            <w:pPr>
              <w:spacing w:after="0"/>
              <w:rPr>
                <w:sz w:val="22"/>
                <w:szCs w:val="22"/>
                <w:color w:val="auto"/>
              </w:rPr>
            </w:pPr>
          </w:p>
        </w:tc>
        <w:tc>
          <w:tcPr>
            <w:tcW w:w="3740" w:type="dxa"/>
            <w:vAlign w:val="bottom"/>
            <w:shd w:val="clear" w:color="auto" w:fill="001641"/>
          </w:tcPr>
          <w:p>
            <w:pPr>
              <w:spacing w:after="0"/>
              <w:rPr>
                <w:sz w:val="22"/>
                <w:szCs w:val="22"/>
                <w:color w:val="auto"/>
              </w:rPr>
            </w:pPr>
          </w:p>
        </w:tc>
        <w:tc>
          <w:tcPr>
            <w:tcW w:w="880" w:type="dxa"/>
            <w:vAlign w:val="bottom"/>
            <w:shd w:val="clear" w:color="auto" w:fill="001641"/>
          </w:tcPr>
          <w:p>
            <w:pPr>
              <w:spacing w:after="0"/>
              <w:rPr>
                <w:sz w:val="22"/>
                <w:szCs w:val="22"/>
                <w:color w:val="auto"/>
              </w:rPr>
            </w:pPr>
          </w:p>
        </w:tc>
        <w:tc>
          <w:tcPr>
            <w:tcW w:w="960" w:type="dxa"/>
            <w:vAlign w:val="bottom"/>
            <w:shd w:val="clear" w:color="auto" w:fill="001641"/>
          </w:tcPr>
          <w:p>
            <w:pPr>
              <w:spacing w:after="0"/>
              <w:rPr>
                <w:sz w:val="22"/>
                <w:szCs w:val="22"/>
                <w:color w:val="auto"/>
              </w:rPr>
            </w:pPr>
          </w:p>
        </w:tc>
        <w:tc>
          <w:tcPr>
            <w:tcW w:w="1840" w:type="dxa"/>
            <w:vAlign w:val="bottom"/>
            <w:gridSpan w:val="2"/>
            <w:shd w:val="clear" w:color="auto" w:fill="001641"/>
          </w:tcPr>
          <w:p>
            <w:pPr>
              <w:jc w:val="center"/>
              <w:ind w:left="328"/>
              <w:spacing w:after="0"/>
              <w:rPr>
                <w:sz w:val="20"/>
                <w:szCs w:val="20"/>
                <w:color w:val="auto"/>
              </w:rPr>
            </w:pPr>
            <w:r>
              <w:rPr>
                <w:rFonts w:ascii="Arial" w:cs="Arial" w:eastAsia="Arial" w:hAnsi="Arial"/>
                <w:sz w:val="14"/>
                <w:szCs w:val="14"/>
                <w:b w:val="1"/>
                <w:bCs w:val="1"/>
                <w:color w:val="FFFFFF"/>
              </w:rPr>
              <w:t>(millions)</w:t>
            </w:r>
          </w:p>
        </w:tc>
        <w:tc>
          <w:tcPr>
            <w:tcW w:w="60" w:type="dxa"/>
            <w:vAlign w:val="bottom"/>
            <w:shd w:val="clear" w:color="auto" w:fill="001641"/>
          </w:tcPr>
          <w:p>
            <w:pPr>
              <w:spacing w:after="0"/>
              <w:rPr>
                <w:sz w:val="22"/>
                <w:szCs w:val="22"/>
                <w:color w:val="auto"/>
              </w:rPr>
            </w:pPr>
          </w:p>
        </w:tc>
        <w:tc>
          <w:tcPr>
            <w:tcW w:w="660" w:type="dxa"/>
            <w:vAlign w:val="bottom"/>
            <w:shd w:val="clear" w:color="auto" w:fill="001641"/>
          </w:tcPr>
          <w:p>
            <w:pPr>
              <w:spacing w:after="0"/>
              <w:rPr>
                <w:sz w:val="22"/>
                <w:szCs w:val="22"/>
                <w:color w:val="auto"/>
              </w:rPr>
            </w:pPr>
          </w:p>
        </w:tc>
        <w:tc>
          <w:tcPr>
            <w:tcW w:w="40" w:type="dxa"/>
            <w:vAlign w:val="bottom"/>
            <w:shd w:val="clear" w:color="auto" w:fill="001641"/>
          </w:tcPr>
          <w:p>
            <w:pPr>
              <w:spacing w:after="0"/>
              <w:rPr>
                <w:sz w:val="22"/>
                <w:szCs w:val="22"/>
                <w:color w:val="auto"/>
              </w:rPr>
            </w:pPr>
          </w:p>
        </w:tc>
        <w:tc>
          <w:tcPr>
            <w:tcW w:w="900" w:type="dxa"/>
            <w:vAlign w:val="bottom"/>
            <w:shd w:val="clear" w:color="auto" w:fill="001641"/>
          </w:tcPr>
          <w:p>
            <w:pPr>
              <w:spacing w:after="0"/>
              <w:rPr>
                <w:sz w:val="22"/>
                <w:szCs w:val="22"/>
                <w:color w:val="auto"/>
              </w:rPr>
            </w:pPr>
          </w:p>
        </w:tc>
        <w:tc>
          <w:tcPr>
            <w:tcW w:w="100" w:type="dxa"/>
            <w:vAlign w:val="bottom"/>
            <w:shd w:val="clear" w:color="auto" w:fill="001641"/>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Arial" w:cs="Arial" w:eastAsia="Arial" w:hAnsi="Arial"/>
                <w:sz w:val="14"/>
                <w:szCs w:val="14"/>
                <w:color w:val="001641"/>
              </w:rPr>
              <w:t>As reported</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1641"/>
              </w:rPr>
              <w:t>$704.2</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1641"/>
              </w:rPr>
              <w:t>10.9%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660" w:type="dxa"/>
            <w:vAlign w:val="bottom"/>
            <w:tcBorders>
              <w:bottom w:val="single" w:sz="8" w:color="BFA071"/>
            </w:tcBorders>
          </w:tcPr>
          <w:p>
            <w:pPr>
              <w:spacing w:after="0" w:line="20" w:lineRule="exact"/>
              <w:rPr>
                <w:sz w:val="1"/>
                <w:szCs w:val="1"/>
                <w:color w:val="auto"/>
              </w:rPr>
            </w:pPr>
          </w:p>
        </w:tc>
        <w:tc>
          <w:tcPr>
            <w:tcW w:w="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740" w:type="dxa"/>
            <w:vAlign w:val="bottom"/>
            <w:tcBorders>
              <w:bottom w:val="single" w:sz="8" w:color="BFA071"/>
            </w:tcBorders>
          </w:tcPr>
          <w:p>
            <w:pPr>
              <w:ind w:left="140"/>
              <w:spacing w:after="0" w:line="250" w:lineRule="exact"/>
              <w:rPr>
                <w:sz w:val="20"/>
                <w:szCs w:val="20"/>
                <w:color w:val="auto"/>
              </w:rPr>
            </w:pPr>
            <w:r>
              <w:rPr>
                <w:rFonts w:ascii="Arial" w:cs="Arial" w:eastAsia="Arial" w:hAnsi="Arial"/>
                <w:sz w:val="14"/>
                <w:szCs w:val="14"/>
                <w:color w:val="001641"/>
              </w:rPr>
              <w:t>Adjustments:</w:t>
            </w:r>
            <w:r>
              <w:rPr>
                <w:rFonts w:ascii="Arial" w:cs="Arial" w:eastAsia="Arial" w:hAnsi="Arial"/>
                <w:sz w:val="23"/>
                <w:szCs w:val="23"/>
                <w:color w:val="001641"/>
                <w:vertAlign w:val="superscript"/>
              </w:rPr>
              <w:t>(3)</w:t>
            </w:r>
          </w:p>
        </w:tc>
        <w:tc>
          <w:tcPr>
            <w:tcW w:w="880" w:type="dxa"/>
            <w:vAlign w:val="bottom"/>
            <w:tcBorders>
              <w:bottom w:val="single" w:sz="8" w:color="BFA071"/>
            </w:tcBorders>
          </w:tcPr>
          <w:p>
            <w:pPr>
              <w:spacing w:after="0"/>
              <w:rPr>
                <w:sz w:val="21"/>
                <w:szCs w:val="21"/>
                <w:color w:val="auto"/>
              </w:rPr>
            </w:pPr>
          </w:p>
        </w:tc>
        <w:tc>
          <w:tcPr>
            <w:tcW w:w="960" w:type="dxa"/>
            <w:vAlign w:val="bottom"/>
            <w:tcBorders>
              <w:bottom w:val="single" w:sz="8" w:color="BFA071"/>
            </w:tcBorders>
          </w:tcPr>
          <w:p>
            <w:pPr>
              <w:spacing w:after="0"/>
              <w:rPr>
                <w:sz w:val="21"/>
                <w:szCs w:val="21"/>
                <w:color w:val="auto"/>
              </w:rPr>
            </w:pPr>
          </w:p>
        </w:tc>
        <w:tc>
          <w:tcPr>
            <w:tcW w:w="860" w:type="dxa"/>
            <w:vAlign w:val="bottom"/>
            <w:tcBorders>
              <w:bottom w:val="single" w:sz="8" w:color="BFA071"/>
            </w:tcBorders>
          </w:tcPr>
          <w:p>
            <w:pPr>
              <w:spacing w:after="0"/>
              <w:rPr>
                <w:sz w:val="21"/>
                <w:szCs w:val="21"/>
                <w:color w:val="auto"/>
              </w:rPr>
            </w:pPr>
          </w:p>
        </w:tc>
        <w:tc>
          <w:tcPr>
            <w:tcW w:w="980" w:type="dxa"/>
            <w:vAlign w:val="bottom"/>
            <w:tcBorders>
              <w:bottom w:val="single" w:sz="8" w:color="BFA071"/>
            </w:tcBorders>
          </w:tcPr>
          <w:p>
            <w:pPr>
              <w:spacing w:after="0"/>
              <w:rPr>
                <w:sz w:val="21"/>
                <w:szCs w:val="21"/>
                <w:color w:val="auto"/>
              </w:rPr>
            </w:pPr>
          </w:p>
        </w:tc>
        <w:tc>
          <w:tcPr>
            <w:tcW w:w="60" w:type="dxa"/>
            <w:vAlign w:val="bottom"/>
            <w:tcBorders>
              <w:bottom w:val="single" w:sz="8" w:color="BFA071"/>
            </w:tcBorders>
          </w:tcPr>
          <w:p>
            <w:pPr>
              <w:spacing w:after="0"/>
              <w:rPr>
                <w:sz w:val="21"/>
                <w:szCs w:val="21"/>
                <w:color w:val="auto"/>
              </w:rPr>
            </w:pPr>
          </w:p>
        </w:tc>
        <w:tc>
          <w:tcPr>
            <w:tcW w:w="660" w:type="dxa"/>
            <w:vAlign w:val="bottom"/>
            <w:tcBorders>
              <w:bottom w:val="single" w:sz="8" w:color="BFA071"/>
            </w:tcBorders>
          </w:tcPr>
          <w:p>
            <w:pPr>
              <w:spacing w:after="0"/>
              <w:rPr>
                <w:sz w:val="21"/>
                <w:szCs w:val="21"/>
                <w:color w:val="auto"/>
              </w:rPr>
            </w:pPr>
          </w:p>
        </w:tc>
        <w:tc>
          <w:tcPr>
            <w:tcW w:w="40" w:type="dxa"/>
            <w:vAlign w:val="bottom"/>
            <w:tcBorders>
              <w:bottom w:val="single" w:sz="8" w:color="BFA071"/>
            </w:tcBorders>
          </w:tcPr>
          <w:p>
            <w:pPr>
              <w:spacing w:after="0"/>
              <w:rPr>
                <w:sz w:val="21"/>
                <w:szCs w:val="21"/>
                <w:color w:val="auto"/>
              </w:rPr>
            </w:pPr>
          </w:p>
        </w:tc>
        <w:tc>
          <w:tcPr>
            <w:tcW w:w="900" w:type="dxa"/>
            <w:vAlign w:val="bottom"/>
            <w:tcBorders>
              <w:bottom w:val="single" w:sz="8" w:color="BFA071"/>
            </w:tcBorders>
          </w:tcPr>
          <w:p>
            <w:pPr>
              <w:spacing w:after="0"/>
              <w:rPr>
                <w:sz w:val="21"/>
                <w:szCs w:val="21"/>
                <w:color w:val="auto"/>
              </w:rPr>
            </w:pPr>
          </w:p>
        </w:tc>
        <w:tc>
          <w:tcPr>
            <w:tcW w:w="100" w:type="dxa"/>
            <w:vAlign w:val="bottom"/>
            <w:tcBorders>
              <w:bottom w:val="single" w:sz="8" w:color="BFA071"/>
            </w:tcBorders>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3740" w:type="dxa"/>
            <w:vAlign w:val="bottom"/>
          </w:tcPr>
          <w:p>
            <w:pPr>
              <w:ind w:left="320"/>
              <w:spacing w:after="0"/>
              <w:rPr>
                <w:sz w:val="20"/>
                <w:szCs w:val="20"/>
                <w:color w:val="auto"/>
              </w:rPr>
            </w:pPr>
            <w:r>
              <w:rPr>
                <w:rFonts w:ascii="Arial" w:cs="Arial" w:eastAsia="Arial" w:hAnsi="Arial"/>
                <w:sz w:val="14"/>
                <w:szCs w:val="14"/>
                <w:color w:val="001641"/>
              </w:rPr>
              <w:t>Cease-use rent and occupancy expenses</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1641"/>
              </w:rPr>
              <w:t>23.8</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660" w:type="dxa"/>
            <w:vAlign w:val="bottom"/>
            <w:tcBorders>
              <w:bottom w:val="single" w:sz="8" w:color="BFA071"/>
            </w:tcBorders>
          </w:tcPr>
          <w:p>
            <w:pPr>
              <w:spacing w:after="0" w:line="20" w:lineRule="exact"/>
              <w:rPr>
                <w:sz w:val="1"/>
                <w:szCs w:val="1"/>
                <w:color w:val="auto"/>
              </w:rPr>
            </w:pPr>
          </w:p>
        </w:tc>
        <w:tc>
          <w:tcPr>
            <w:tcW w:w="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3740" w:type="dxa"/>
            <w:vAlign w:val="bottom"/>
          </w:tcPr>
          <w:p>
            <w:pPr>
              <w:ind w:left="320"/>
              <w:spacing w:after="0"/>
              <w:rPr>
                <w:sz w:val="20"/>
                <w:szCs w:val="20"/>
                <w:color w:val="auto"/>
              </w:rPr>
            </w:pPr>
            <w:r>
              <w:rPr>
                <w:rFonts w:ascii="Arial" w:cs="Arial" w:eastAsia="Arial" w:hAnsi="Arial"/>
                <w:sz w:val="14"/>
                <w:szCs w:val="14"/>
                <w:color w:val="001641"/>
              </w:rPr>
              <w:t>Restructuring plan charges, net</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1641"/>
              </w:rPr>
              <w:t>19.7</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660" w:type="dxa"/>
            <w:vAlign w:val="bottom"/>
            <w:tcBorders>
              <w:bottom w:val="single" w:sz="8" w:color="BFA071"/>
            </w:tcBorders>
          </w:tcPr>
          <w:p>
            <w:pPr>
              <w:spacing w:after="0" w:line="20" w:lineRule="exact"/>
              <w:rPr>
                <w:sz w:val="1"/>
                <w:szCs w:val="1"/>
                <w:color w:val="auto"/>
              </w:rPr>
            </w:pPr>
          </w:p>
        </w:tc>
        <w:tc>
          <w:tcPr>
            <w:tcW w:w="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3740" w:type="dxa"/>
            <w:vAlign w:val="bottom"/>
          </w:tcPr>
          <w:p>
            <w:pPr>
              <w:ind w:left="320"/>
              <w:spacing w:after="0"/>
              <w:rPr>
                <w:sz w:val="20"/>
                <w:szCs w:val="20"/>
                <w:color w:val="auto"/>
              </w:rPr>
            </w:pPr>
            <w:r>
              <w:rPr>
                <w:rFonts w:ascii="Arial" w:cs="Arial" w:eastAsia="Arial" w:hAnsi="Arial"/>
                <w:sz w:val="14"/>
                <w:szCs w:val="14"/>
                <w:color w:val="001641"/>
              </w:rPr>
              <w:t>Russia-related inventory charges</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1641"/>
              </w:rPr>
              <w:t>10.0</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660" w:type="dxa"/>
            <w:vAlign w:val="bottom"/>
            <w:tcBorders>
              <w:bottom w:val="single" w:sz="8" w:color="BFA071"/>
            </w:tcBorders>
          </w:tcPr>
          <w:p>
            <w:pPr>
              <w:spacing w:after="0" w:line="20" w:lineRule="exact"/>
              <w:rPr>
                <w:sz w:val="1"/>
                <w:szCs w:val="1"/>
                <w:color w:val="auto"/>
              </w:rPr>
            </w:pPr>
          </w:p>
        </w:tc>
        <w:tc>
          <w:tcPr>
            <w:tcW w:w="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740" w:type="dxa"/>
            <w:vAlign w:val="bottom"/>
          </w:tcPr>
          <w:p>
            <w:pPr>
              <w:ind w:left="320"/>
              <w:spacing w:after="0"/>
              <w:rPr>
                <w:sz w:val="20"/>
                <w:szCs w:val="20"/>
                <w:color w:val="auto"/>
              </w:rPr>
            </w:pPr>
            <w:r>
              <w:rPr>
                <w:rFonts w:ascii="Arial" w:cs="Arial" w:eastAsia="Arial" w:hAnsi="Arial"/>
                <w:sz w:val="14"/>
                <w:szCs w:val="14"/>
                <w:color w:val="001641"/>
              </w:rPr>
              <w:t>Non-restructuring plan impairment of assets</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1641"/>
              </w:rPr>
              <w:t>9.5</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660" w:type="dxa"/>
            <w:vAlign w:val="bottom"/>
            <w:tcBorders>
              <w:bottom w:val="single" w:sz="8" w:color="BFA071"/>
            </w:tcBorders>
          </w:tcPr>
          <w:p>
            <w:pPr>
              <w:spacing w:after="0" w:line="20" w:lineRule="exact"/>
              <w:rPr>
                <w:sz w:val="1"/>
                <w:szCs w:val="1"/>
                <w:color w:val="auto"/>
              </w:rPr>
            </w:pPr>
          </w:p>
        </w:tc>
        <w:tc>
          <w:tcPr>
            <w:tcW w:w="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740" w:type="dxa"/>
            <w:vAlign w:val="bottom"/>
          </w:tcPr>
          <w:p>
            <w:pPr>
              <w:ind w:left="320"/>
              <w:spacing w:after="0"/>
              <w:rPr>
                <w:sz w:val="20"/>
                <w:szCs w:val="20"/>
                <w:color w:val="auto"/>
              </w:rPr>
            </w:pPr>
            <w:r>
              <w:rPr>
                <w:rFonts w:ascii="Arial" w:cs="Arial" w:eastAsia="Arial" w:hAnsi="Arial"/>
                <w:sz w:val="14"/>
                <w:szCs w:val="14"/>
                <w:color w:val="001641"/>
              </w:rPr>
              <w:t>U.S. customs inventory-related adjustments</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1641"/>
              </w:rPr>
              <w:t>5.1</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660" w:type="dxa"/>
            <w:vAlign w:val="bottom"/>
            <w:tcBorders>
              <w:bottom w:val="single" w:sz="8" w:color="BFA071"/>
            </w:tcBorders>
          </w:tcPr>
          <w:p>
            <w:pPr>
              <w:spacing w:after="0" w:line="20" w:lineRule="exact"/>
              <w:rPr>
                <w:sz w:val="1"/>
                <w:szCs w:val="1"/>
                <w:color w:val="auto"/>
              </w:rPr>
            </w:pPr>
          </w:p>
        </w:tc>
        <w:tc>
          <w:tcPr>
            <w:tcW w:w="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3740" w:type="dxa"/>
            <w:vAlign w:val="bottom"/>
          </w:tcPr>
          <w:p>
            <w:pPr>
              <w:ind w:left="320"/>
              <w:spacing w:after="0"/>
              <w:rPr>
                <w:sz w:val="20"/>
                <w:szCs w:val="20"/>
                <w:color w:val="auto"/>
              </w:rPr>
            </w:pPr>
            <w:r>
              <w:rPr>
                <w:rFonts w:ascii="Arial" w:cs="Arial" w:eastAsia="Arial" w:hAnsi="Arial"/>
                <w:sz w:val="14"/>
                <w:szCs w:val="14"/>
                <w:color w:val="001641"/>
              </w:rPr>
              <w:t>Charitable donation related to Club Monaco sale</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1641"/>
              </w:rPr>
              <w:t>3.5</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660" w:type="dxa"/>
            <w:vAlign w:val="bottom"/>
            <w:tcBorders>
              <w:bottom w:val="single" w:sz="8" w:color="BFA071"/>
            </w:tcBorders>
          </w:tcPr>
          <w:p>
            <w:pPr>
              <w:spacing w:after="0" w:line="20" w:lineRule="exact"/>
              <w:rPr>
                <w:sz w:val="1"/>
                <w:szCs w:val="1"/>
                <w:color w:val="auto"/>
              </w:rPr>
            </w:pPr>
          </w:p>
        </w:tc>
        <w:tc>
          <w:tcPr>
            <w:tcW w:w="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3740" w:type="dxa"/>
            <w:vAlign w:val="bottom"/>
          </w:tcPr>
          <w:p>
            <w:pPr>
              <w:ind w:left="320"/>
              <w:spacing w:after="0"/>
              <w:rPr>
                <w:sz w:val="20"/>
                <w:szCs w:val="20"/>
                <w:color w:val="auto"/>
              </w:rPr>
            </w:pPr>
            <w:r>
              <w:rPr>
                <w:rFonts w:ascii="Arial" w:cs="Arial" w:eastAsia="Arial" w:hAnsi="Arial"/>
                <w:sz w:val="14"/>
                <w:szCs w:val="14"/>
                <w:color w:val="001641"/>
              </w:rPr>
              <w:t>Club Monaco sale consideration from Regent, L.P.</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1641"/>
              </w:rPr>
              <w:t>(3.5)</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660" w:type="dxa"/>
            <w:vAlign w:val="bottom"/>
            <w:tcBorders>
              <w:bottom w:val="single" w:sz="8" w:color="BFA071"/>
            </w:tcBorders>
          </w:tcPr>
          <w:p>
            <w:pPr>
              <w:spacing w:after="0" w:line="20" w:lineRule="exact"/>
              <w:rPr>
                <w:sz w:val="1"/>
                <w:szCs w:val="1"/>
                <w:color w:val="auto"/>
              </w:rPr>
            </w:pPr>
          </w:p>
        </w:tc>
        <w:tc>
          <w:tcPr>
            <w:tcW w:w="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3740" w:type="dxa"/>
            <w:vAlign w:val="bottom"/>
          </w:tcPr>
          <w:p>
            <w:pPr>
              <w:ind w:left="320"/>
              <w:spacing w:after="0"/>
              <w:rPr>
                <w:sz w:val="20"/>
                <w:szCs w:val="20"/>
                <w:color w:val="auto"/>
              </w:rPr>
            </w:pPr>
            <w:r>
              <w:rPr>
                <w:rFonts w:ascii="Arial" w:cs="Arial" w:eastAsia="Arial" w:hAnsi="Arial"/>
                <w:sz w:val="14"/>
                <w:szCs w:val="14"/>
                <w:color w:val="001641"/>
              </w:rPr>
              <w:t>Russia-related bad debt reserve adjustments</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1641"/>
              </w:rPr>
              <w:t>(2.1)</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660" w:type="dxa"/>
            <w:vAlign w:val="bottom"/>
            <w:tcBorders>
              <w:bottom w:val="single" w:sz="8" w:color="BFA071"/>
            </w:tcBorders>
          </w:tcPr>
          <w:p>
            <w:pPr>
              <w:spacing w:after="0" w:line="20" w:lineRule="exact"/>
              <w:rPr>
                <w:sz w:val="1"/>
                <w:szCs w:val="1"/>
                <w:color w:val="auto"/>
              </w:rPr>
            </w:pPr>
          </w:p>
        </w:tc>
        <w:tc>
          <w:tcPr>
            <w:tcW w:w="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3740" w:type="dxa"/>
            <w:vAlign w:val="bottom"/>
          </w:tcPr>
          <w:p>
            <w:pPr>
              <w:ind w:left="140"/>
              <w:spacing w:after="0"/>
              <w:rPr>
                <w:sz w:val="20"/>
                <w:szCs w:val="20"/>
                <w:color w:val="auto"/>
              </w:rPr>
            </w:pPr>
            <w:r>
              <w:rPr>
                <w:rFonts w:ascii="Arial" w:cs="Arial" w:eastAsia="Arial" w:hAnsi="Arial"/>
                <w:sz w:val="14"/>
                <w:szCs w:val="14"/>
                <w:color w:val="001641"/>
              </w:rPr>
              <w:t>As adjusted in reported currency</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1641"/>
              </w:rPr>
              <w:t>$770.2</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1641"/>
              </w:rPr>
              <w:t>12.0%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660" w:type="dxa"/>
            <w:vAlign w:val="bottom"/>
            <w:tcBorders>
              <w:bottom w:val="single" w:sz="8" w:color="BFA071"/>
            </w:tcBorders>
          </w:tcPr>
          <w:p>
            <w:pPr>
              <w:spacing w:after="0" w:line="20" w:lineRule="exact"/>
              <w:rPr>
                <w:sz w:val="1"/>
                <w:szCs w:val="1"/>
                <w:color w:val="auto"/>
              </w:rPr>
            </w:pPr>
          </w:p>
        </w:tc>
        <w:tc>
          <w:tcPr>
            <w:tcW w:w="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3740" w:type="dxa"/>
            <w:vAlign w:val="bottom"/>
          </w:tcPr>
          <w:p>
            <w:pPr>
              <w:ind w:left="140"/>
              <w:spacing w:after="0"/>
              <w:rPr>
                <w:sz w:val="20"/>
                <w:szCs w:val="20"/>
                <w:color w:val="auto"/>
              </w:rPr>
            </w:pPr>
            <w:r>
              <w:rPr>
                <w:rFonts w:ascii="Arial" w:cs="Arial" w:eastAsia="Arial" w:hAnsi="Arial"/>
                <w:sz w:val="14"/>
                <w:szCs w:val="14"/>
                <w:color w:val="001641"/>
              </w:rPr>
              <w:t>Foreign currency impact</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1641"/>
              </w:rPr>
              <w:t>164.5</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3740" w:type="dxa"/>
            <w:vAlign w:val="bottom"/>
            <w:tcBorders>
              <w:bottom w:val="single" w:sz="8" w:color="BFA071"/>
            </w:tcBorders>
          </w:tcPr>
          <w:p>
            <w:pPr>
              <w:spacing w:after="0" w:line="20" w:lineRule="exact"/>
              <w:rPr>
                <w:sz w:val="1"/>
                <w:szCs w:val="1"/>
                <w:color w:val="auto"/>
              </w:rPr>
            </w:pPr>
          </w:p>
        </w:tc>
        <w:tc>
          <w:tcPr>
            <w:tcW w:w="880" w:type="dxa"/>
            <w:vAlign w:val="bottom"/>
            <w:tcBorders>
              <w:bottom w:val="single" w:sz="8" w:color="BFA071"/>
            </w:tcBorders>
          </w:tcPr>
          <w:p>
            <w:pPr>
              <w:spacing w:after="0" w:line="20" w:lineRule="exact"/>
              <w:rPr>
                <w:sz w:val="1"/>
                <w:szCs w:val="1"/>
                <w:color w:val="auto"/>
              </w:rPr>
            </w:pPr>
          </w:p>
        </w:tc>
        <w:tc>
          <w:tcPr>
            <w:tcW w:w="960" w:type="dxa"/>
            <w:vAlign w:val="bottom"/>
            <w:tcBorders>
              <w:bottom w:val="single" w:sz="8" w:color="BFA071"/>
            </w:tcBorders>
          </w:tcPr>
          <w:p>
            <w:pPr>
              <w:spacing w:after="0" w:line="20" w:lineRule="exact"/>
              <w:rPr>
                <w:sz w:val="1"/>
                <w:szCs w:val="1"/>
                <w:color w:val="auto"/>
              </w:rPr>
            </w:pPr>
          </w:p>
        </w:tc>
        <w:tc>
          <w:tcPr>
            <w:tcW w:w="860" w:type="dxa"/>
            <w:vAlign w:val="bottom"/>
            <w:tcBorders>
              <w:bottom w:val="single" w:sz="8" w:color="BFA071"/>
            </w:tcBorders>
          </w:tcPr>
          <w:p>
            <w:pPr>
              <w:spacing w:after="0" w:line="20" w:lineRule="exact"/>
              <w:rPr>
                <w:sz w:val="1"/>
                <w:szCs w:val="1"/>
                <w:color w:val="auto"/>
              </w:rPr>
            </w:pPr>
          </w:p>
        </w:tc>
        <w:tc>
          <w:tcPr>
            <w:tcW w:w="980" w:type="dxa"/>
            <w:vAlign w:val="bottom"/>
            <w:tcBorders>
              <w:bottom w:val="single" w:sz="8" w:color="BFA071"/>
            </w:tcBorders>
          </w:tcPr>
          <w:p>
            <w:pPr>
              <w:spacing w:after="0" w:line="20" w:lineRule="exact"/>
              <w:rPr>
                <w:sz w:val="1"/>
                <w:szCs w:val="1"/>
                <w:color w:val="auto"/>
              </w:rPr>
            </w:pPr>
          </w:p>
        </w:tc>
        <w:tc>
          <w:tcPr>
            <w:tcW w:w="60" w:type="dxa"/>
            <w:vAlign w:val="bottom"/>
            <w:tcBorders>
              <w:bottom w:val="single" w:sz="8" w:color="BFA071"/>
            </w:tcBorders>
          </w:tcPr>
          <w:p>
            <w:pPr>
              <w:spacing w:after="0" w:line="20" w:lineRule="exact"/>
              <w:rPr>
                <w:sz w:val="1"/>
                <w:szCs w:val="1"/>
                <w:color w:val="auto"/>
              </w:rPr>
            </w:pPr>
          </w:p>
        </w:tc>
        <w:tc>
          <w:tcPr>
            <w:tcW w:w="660" w:type="dxa"/>
            <w:vAlign w:val="bottom"/>
            <w:tcBorders>
              <w:bottom w:val="single" w:sz="8" w:color="BFA071"/>
            </w:tcBorders>
          </w:tcPr>
          <w:p>
            <w:pPr>
              <w:spacing w:after="0" w:line="20" w:lineRule="exact"/>
              <w:rPr>
                <w:sz w:val="1"/>
                <w:szCs w:val="1"/>
                <w:color w:val="auto"/>
              </w:rPr>
            </w:pPr>
          </w:p>
        </w:tc>
        <w:tc>
          <w:tcPr>
            <w:tcW w:w="40" w:type="dxa"/>
            <w:vAlign w:val="bottom"/>
            <w:tcBorders>
              <w:bottom w:val="single" w:sz="8" w:color="BFA071"/>
            </w:tcBorders>
          </w:tcPr>
          <w:p>
            <w:pPr>
              <w:spacing w:after="0" w:line="20" w:lineRule="exact"/>
              <w:rPr>
                <w:sz w:val="1"/>
                <w:szCs w:val="1"/>
                <w:color w:val="auto"/>
              </w:rPr>
            </w:pPr>
          </w:p>
        </w:tc>
        <w:tc>
          <w:tcPr>
            <w:tcW w:w="900" w:type="dxa"/>
            <w:vAlign w:val="bottom"/>
            <w:tcBorders>
              <w:bottom w:val="single" w:sz="8" w:color="BFA071"/>
            </w:tcBorders>
          </w:tcPr>
          <w:p>
            <w:pPr>
              <w:spacing w:after="0" w:line="20" w:lineRule="exact"/>
              <w:rPr>
                <w:sz w:val="1"/>
                <w:szCs w:val="1"/>
                <w:color w:val="auto"/>
              </w:rPr>
            </w:pPr>
          </w:p>
        </w:tc>
        <w:tc>
          <w:tcPr>
            <w:tcW w:w="100" w:type="dxa"/>
            <w:vAlign w:val="bottom"/>
            <w:tcBorders>
              <w:bottom w:val="single" w:sz="8" w:color="BFA071"/>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3740" w:type="dxa"/>
            <w:vAlign w:val="bottom"/>
            <w:tcBorders>
              <w:bottom w:val="single" w:sz="8" w:color="001641"/>
            </w:tcBorders>
          </w:tcPr>
          <w:p>
            <w:pPr>
              <w:ind w:left="140"/>
              <w:spacing w:after="0"/>
              <w:rPr>
                <w:sz w:val="20"/>
                <w:szCs w:val="20"/>
                <w:color w:val="auto"/>
              </w:rPr>
            </w:pPr>
            <w:r>
              <w:rPr>
                <w:rFonts w:ascii="Arial" w:cs="Arial" w:eastAsia="Arial" w:hAnsi="Arial"/>
                <w:sz w:val="14"/>
                <w:szCs w:val="14"/>
                <w:color w:val="001641"/>
              </w:rPr>
              <w:t>As adjusted in constant currency</w:t>
            </w:r>
          </w:p>
        </w:tc>
        <w:tc>
          <w:tcPr>
            <w:tcW w:w="880" w:type="dxa"/>
            <w:vAlign w:val="bottom"/>
            <w:tcBorders>
              <w:bottom w:val="single" w:sz="8" w:color="001641"/>
            </w:tcBorders>
          </w:tcPr>
          <w:p>
            <w:pPr>
              <w:spacing w:after="0"/>
              <w:rPr>
                <w:sz w:val="17"/>
                <w:szCs w:val="17"/>
                <w:color w:val="auto"/>
              </w:rPr>
            </w:pPr>
          </w:p>
        </w:tc>
        <w:tc>
          <w:tcPr>
            <w:tcW w:w="960" w:type="dxa"/>
            <w:vAlign w:val="bottom"/>
            <w:tcBorders>
              <w:bottom w:val="single" w:sz="8" w:color="001641"/>
            </w:tcBorders>
          </w:tcPr>
          <w:p>
            <w:pPr>
              <w:spacing w:after="0"/>
              <w:rPr>
                <w:sz w:val="17"/>
                <w:szCs w:val="17"/>
                <w:color w:val="auto"/>
              </w:rPr>
            </w:pPr>
          </w:p>
        </w:tc>
        <w:tc>
          <w:tcPr>
            <w:tcW w:w="860" w:type="dxa"/>
            <w:vAlign w:val="bottom"/>
            <w:tcBorders>
              <w:bottom w:val="single" w:sz="8" w:color="001641"/>
            </w:tcBorders>
          </w:tcPr>
          <w:p>
            <w:pPr>
              <w:spacing w:after="0"/>
              <w:rPr>
                <w:sz w:val="17"/>
                <w:szCs w:val="17"/>
                <w:color w:val="auto"/>
              </w:rPr>
            </w:pPr>
          </w:p>
        </w:tc>
        <w:tc>
          <w:tcPr>
            <w:tcW w:w="980" w:type="dxa"/>
            <w:vAlign w:val="bottom"/>
            <w:tcBorders>
              <w:bottom w:val="single" w:sz="8" w:color="001641"/>
            </w:tcBorders>
          </w:tcPr>
          <w:p>
            <w:pPr>
              <w:jc w:val="right"/>
              <w:spacing w:after="0"/>
              <w:rPr>
                <w:sz w:val="20"/>
                <w:szCs w:val="20"/>
                <w:color w:val="auto"/>
              </w:rPr>
            </w:pPr>
            <w:r>
              <w:rPr>
                <w:rFonts w:ascii="Arial" w:cs="Arial" w:eastAsia="Arial" w:hAnsi="Arial"/>
                <w:sz w:val="14"/>
                <w:szCs w:val="14"/>
                <w:color w:val="001641"/>
              </w:rPr>
              <w:t>$934.7</w:t>
            </w:r>
          </w:p>
        </w:tc>
        <w:tc>
          <w:tcPr>
            <w:tcW w:w="60" w:type="dxa"/>
            <w:vAlign w:val="bottom"/>
            <w:tcBorders>
              <w:bottom w:val="single" w:sz="8" w:color="001641"/>
            </w:tcBorders>
          </w:tcPr>
          <w:p>
            <w:pPr>
              <w:spacing w:after="0"/>
              <w:rPr>
                <w:sz w:val="17"/>
                <w:szCs w:val="17"/>
                <w:color w:val="auto"/>
              </w:rPr>
            </w:pPr>
          </w:p>
        </w:tc>
        <w:tc>
          <w:tcPr>
            <w:tcW w:w="660" w:type="dxa"/>
            <w:vAlign w:val="bottom"/>
            <w:tcBorders>
              <w:bottom w:val="single" w:sz="8" w:color="001641"/>
            </w:tcBorders>
          </w:tcPr>
          <w:p>
            <w:pPr>
              <w:spacing w:after="0"/>
              <w:rPr>
                <w:sz w:val="17"/>
                <w:szCs w:val="17"/>
                <w:color w:val="auto"/>
              </w:rPr>
            </w:pPr>
          </w:p>
        </w:tc>
        <w:tc>
          <w:tcPr>
            <w:tcW w:w="40" w:type="dxa"/>
            <w:vAlign w:val="bottom"/>
            <w:tcBorders>
              <w:bottom w:val="single" w:sz="8" w:color="001641"/>
            </w:tcBorders>
          </w:tcPr>
          <w:p>
            <w:pPr>
              <w:spacing w:after="0"/>
              <w:rPr>
                <w:sz w:val="17"/>
                <w:szCs w:val="17"/>
                <w:color w:val="auto"/>
              </w:rPr>
            </w:pPr>
          </w:p>
        </w:tc>
        <w:tc>
          <w:tcPr>
            <w:tcW w:w="900" w:type="dxa"/>
            <w:vAlign w:val="bottom"/>
            <w:tcBorders>
              <w:bottom w:val="single" w:sz="8" w:color="001641"/>
            </w:tcBorders>
          </w:tcPr>
          <w:p>
            <w:pPr>
              <w:jc w:val="right"/>
              <w:spacing w:after="0"/>
              <w:rPr>
                <w:sz w:val="20"/>
                <w:szCs w:val="20"/>
                <w:color w:val="auto"/>
              </w:rPr>
            </w:pPr>
            <w:r>
              <w:rPr>
                <w:rFonts w:ascii="Arial" w:cs="Arial" w:eastAsia="Arial" w:hAnsi="Arial"/>
                <w:sz w:val="14"/>
                <w:szCs w:val="14"/>
                <w:color w:val="001641"/>
              </w:rPr>
              <w:t>13.7%</w:t>
            </w:r>
          </w:p>
        </w:tc>
        <w:tc>
          <w:tcPr>
            <w:tcW w:w="100" w:type="dxa"/>
            <w:vAlign w:val="bottom"/>
            <w:tcBorders>
              <w:bottom w:val="single" w:sz="8" w:color="001641"/>
            </w:tcBorders>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374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gridSpan w:val="2"/>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9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4"/>
                <w:szCs w:val="14"/>
                <w:b w:val="1"/>
                <w:bCs w:val="1"/>
                <w:color w:val="001641"/>
              </w:rPr>
              <w:t xml:space="preserve">128 </w:t>
            </w:r>
            <w:r>
              <w:rPr>
                <w:rFonts w:ascii="Arial" w:cs="Arial" w:eastAsia="Arial" w:hAnsi="Arial"/>
                <w:sz w:val="14"/>
                <w:szCs w:val="14"/>
                <w:color w:val="808080"/>
              </w:rPr>
              <w:t>Ralph Lauren 2026 Proxy Statement</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2"/>
          </w:tcPr>
          <w:p>
            <w:pPr>
              <w:ind w:left="780"/>
              <w:spacing w:after="0"/>
              <w:rPr>
                <w:sz w:val="20"/>
                <w:szCs w:val="20"/>
                <w:color w:val="auto"/>
              </w:rPr>
            </w:pPr>
            <w:r>
              <w:rPr>
                <w:rFonts w:ascii="Arial" w:cs="Arial" w:eastAsia="Arial" w:hAnsi="Arial"/>
                <w:sz w:val="14"/>
                <w:szCs w:val="14"/>
                <w:color w:val="808080"/>
              </w:rPr>
              <w:t xml:space="preserve">    </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-6179820</wp:posOffset>
            </wp:positionV>
            <wp:extent cx="331724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3317240" cy="8255"/>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-5922645</wp:posOffset>
            </wp:positionV>
            <wp:extent cx="331724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3317240" cy="8255"/>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-2974340</wp:posOffset>
            </wp:positionV>
            <wp:extent cx="1962785"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962785" cy="8890"/>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-2716530</wp:posOffset>
            </wp:positionV>
            <wp:extent cx="196278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962785" cy="825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-264795</wp:posOffset>
            </wp:positionV>
            <wp:extent cx="128905" cy="11112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4160" w:type="dxa"/>
            <w:vAlign w:val="bottom"/>
            <w:shd w:val="clear" w:color="auto" w:fill="001641"/>
          </w:tcPr>
          <w:p>
            <w:pPr>
              <w:spacing w:after="0"/>
              <w:rPr>
                <w:sz w:val="24"/>
                <w:szCs w:val="24"/>
                <w:color w:val="auto"/>
              </w:rPr>
            </w:pPr>
          </w:p>
        </w:tc>
        <w:tc>
          <w:tcPr>
            <w:tcW w:w="1700" w:type="dxa"/>
            <w:vAlign w:val="bottom"/>
            <w:shd w:val="clear" w:color="auto" w:fill="001641"/>
          </w:tcPr>
          <w:p>
            <w:pPr>
              <w:spacing w:after="0"/>
              <w:rPr>
                <w:sz w:val="24"/>
                <w:szCs w:val="24"/>
                <w:color w:val="auto"/>
              </w:rPr>
            </w:pPr>
          </w:p>
        </w:tc>
        <w:tc>
          <w:tcPr>
            <w:tcW w:w="3320" w:type="dxa"/>
            <w:vAlign w:val="bottom"/>
            <w:gridSpan w:val="2"/>
            <w:shd w:val="clear" w:color="auto" w:fill="001641"/>
          </w:tcPr>
          <w:p>
            <w:pPr>
              <w:jc w:val="right"/>
              <w:ind w:right="968"/>
              <w:spacing w:after="0"/>
              <w:rPr>
                <w:sz w:val="20"/>
                <w:szCs w:val="20"/>
                <w:color w:val="auto"/>
              </w:rPr>
            </w:pPr>
            <w:r>
              <w:rPr>
                <w:rFonts w:ascii="Arial" w:cs="Arial" w:eastAsia="Arial" w:hAnsi="Arial"/>
                <w:sz w:val="14"/>
                <w:szCs w:val="14"/>
                <w:b w:val="1"/>
                <w:bCs w:val="1"/>
                <w:color w:val="FFFFFF"/>
              </w:rPr>
              <w:t>Fiscal Year Ended</w:t>
            </w:r>
          </w:p>
        </w:tc>
      </w:tr>
      <w:tr>
        <w:trPr>
          <w:trHeight w:val="243"/>
        </w:trPr>
        <w:tc>
          <w:tcPr>
            <w:tcW w:w="4160" w:type="dxa"/>
            <w:vAlign w:val="bottom"/>
            <w:shd w:val="clear" w:color="auto" w:fill="001641"/>
          </w:tcPr>
          <w:p>
            <w:pPr>
              <w:spacing w:after="0"/>
              <w:rPr>
                <w:sz w:val="21"/>
                <w:szCs w:val="21"/>
                <w:color w:val="auto"/>
              </w:rPr>
            </w:pPr>
          </w:p>
        </w:tc>
        <w:tc>
          <w:tcPr>
            <w:tcW w:w="1700" w:type="dxa"/>
            <w:vAlign w:val="bottom"/>
            <w:shd w:val="clear" w:color="auto" w:fill="001641"/>
          </w:tcPr>
          <w:p>
            <w:pPr>
              <w:spacing w:after="0"/>
              <w:rPr>
                <w:sz w:val="21"/>
                <w:szCs w:val="21"/>
                <w:color w:val="auto"/>
              </w:rPr>
            </w:pPr>
          </w:p>
        </w:tc>
        <w:tc>
          <w:tcPr>
            <w:tcW w:w="3320" w:type="dxa"/>
            <w:vAlign w:val="bottom"/>
            <w:gridSpan w:val="2"/>
            <w:shd w:val="clear" w:color="auto" w:fill="001641"/>
          </w:tcPr>
          <w:p>
            <w:pPr>
              <w:jc w:val="right"/>
              <w:ind w:right="1168"/>
              <w:spacing w:after="0"/>
              <w:rPr>
                <w:sz w:val="20"/>
                <w:szCs w:val="20"/>
                <w:color w:val="auto"/>
              </w:rPr>
            </w:pPr>
            <w:r>
              <w:rPr>
                <w:rFonts w:ascii="Arial" w:cs="Arial" w:eastAsia="Arial" w:hAnsi="Arial"/>
                <w:sz w:val="14"/>
                <w:szCs w:val="14"/>
                <w:b w:val="1"/>
                <w:bCs w:val="1"/>
                <w:color w:val="FFFFFF"/>
              </w:rPr>
              <w:t>April 2, 2022</w:t>
            </w:r>
          </w:p>
        </w:tc>
      </w:tr>
      <w:tr>
        <w:trPr>
          <w:trHeight w:val="209"/>
        </w:trPr>
        <w:tc>
          <w:tcPr>
            <w:tcW w:w="4160" w:type="dxa"/>
            <w:vAlign w:val="bottom"/>
            <w:shd w:val="clear" w:color="auto" w:fill="001641"/>
          </w:tcPr>
          <w:p>
            <w:pPr>
              <w:spacing w:after="0"/>
              <w:rPr>
                <w:sz w:val="18"/>
                <w:szCs w:val="18"/>
                <w:color w:val="auto"/>
              </w:rPr>
            </w:pPr>
          </w:p>
        </w:tc>
        <w:tc>
          <w:tcPr>
            <w:tcW w:w="1700" w:type="dxa"/>
            <w:vAlign w:val="bottom"/>
            <w:shd w:val="clear" w:color="auto" w:fill="001641"/>
          </w:tcPr>
          <w:p>
            <w:pPr>
              <w:spacing w:after="0"/>
              <w:rPr>
                <w:sz w:val="18"/>
                <w:szCs w:val="18"/>
                <w:color w:val="auto"/>
              </w:rPr>
            </w:pPr>
          </w:p>
        </w:tc>
        <w:tc>
          <w:tcPr>
            <w:tcW w:w="160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w w:val="99"/>
              </w:rPr>
              <w:t>Operating</w:t>
            </w:r>
          </w:p>
        </w:tc>
        <w:tc>
          <w:tcPr>
            <w:tcW w:w="172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w w:val="99"/>
              </w:rPr>
              <w:t>Operating</w:t>
            </w:r>
          </w:p>
        </w:tc>
      </w:tr>
      <w:tr>
        <w:trPr>
          <w:trHeight w:val="196"/>
        </w:trPr>
        <w:tc>
          <w:tcPr>
            <w:tcW w:w="4160" w:type="dxa"/>
            <w:vAlign w:val="bottom"/>
            <w:shd w:val="clear" w:color="auto" w:fill="001641"/>
          </w:tcPr>
          <w:p>
            <w:pPr>
              <w:spacing w:after="0"/>
              <w:rPr>
                <w:sz w:val="17"/>
                <w:szCs w:val="17"/>
                <w:color w:val="auto"/>
              </w:rPr>
            </w:pPr>
          </w:p>
        </w:tc>
        <w:tc>
          <w:tcPr>
            <w:tcW w:w="1700" w:type="dxa"/>
            <w:vAlign w:val="bottom"/>
            <w:shd w:val="clear" w:color="auto" w:fill="001641"/>
          </w:tcPr>
          <w:p>
            <w:pPr>
              <w:spacing w:after="0"/>
              <w:rPr>
                <w:sz w:val="17"/>
                <w:szCs w:val="17"/>
                <w:color w:val="auto"/>
              </w:rPr>
            </w:pPr>
          </w:p>
        </w:tc>
        <w:tc>
          <w:tcPr>
            <w:tcW w:w="160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Income</w:t>
            </w:r>
          </w:p>
        </w:tc>
        <w:tc>
          <w:tcPr>
            <w:tcW w:w="172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Margin</w:t>
            </w:r>
          </w:p>
        </w:tc>
      </w:tr>
      <w:tr>
        <w:trPr>
          <w:trHeight w:val="259"/>
        </w:trPr>
        <w:tc>
          <w:tcPr>
            <w:tcW w:w="4160" w:type="dxa"/>
            <w:vAlign w:val="bottom"/>
            <w:shd w:val="clear" w:color="auto" w:fill="001641"/>
          </w:tcPr>
          <w:p>
            <w:pPr>
              <w:spacing w:after="0"/>
              <w:rPr>
                <w:sz w:val="22"/>
                <w:szCs w:val="22"/>
                <w:color w:val="auto"/>
              </w:rPr>
            </w:pPr>
          </w:p>
        </w:tc>
        <w:tc>
          <w:tcPr>
            <w:tcW w:w="1700" w:type="dxa"/>
            <w:vAlign w:val="bottom"/>
            <w:shd w:val="clear" w:color="auto" w:fill="001641"/>
          </w:tcPr>
          <w:p>
            <w:pPr>
              <w:spacing w:after="0"/>
              <w:rPr>
                <w:sz w:val="22"/>
                <w:szCs w:val="22"/>
                <w:color w:val="auto"/>
              </w:rPr>
            </w:pPr>
          </w:p>
        </w:tc>
        <w:tc>
          <w:tcPr>
            <w:tcW w:w="160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w w:val="99"/>
              </w:rPr>
              <w:t>(millions)</w:t>
            </w:r>
          </w:p>
        </w:tc>
        <w:tc>
          <w:tcPr>
            <w:tcW w:w="1720" w:type="dxa"/>
            <w:vAlign w:val="bottom"/>
            <w:shd w:val="clear" w:color="auto" w:fill="001641"/>
          </w:tcPr>
          <w:p>
            <w:pPr>
              <w:spacing w:after="0"/>
              <w:rPr>
                <w:sz w:val="22"/>
                <w:szCs w:val="22"/>
                <w:color w:val="auto"/>
              </w:rPr>
            </w:pPr>
          </w:p>
        </w:tc>
      </w:tr>
      <w:tr>
        <w:trPr>
          <w:trHeight w:val="221"/>
        </w:trPr>
        <w:tc>
          <w:tcPr>
            <w:tcW w:w="4160" w:type="dxa"/>
            <w:vAlign w:val="bottom"/>
          </w:tcPr>
          <w:p>
            <w:pPr>
              <w:ind w:left="140"/>
              <w:spacing w:after="0"/>
              <w:rPr>
                <w:sz w:val="20"/>
                <w:szCs w:val="20"/>
                <w:color w:val="auto"/>
              </w:rPr>
            </w:pPr>
            <w:r>
              <w:rPr>
                <w:rFonts w:ascii="Arial" w:cs="Arial" w:eastAsia="Arial" w:hAnsi="Arial"/>
                <w:sz w:val="14"/>
                <w:szCs w:val="14"/>
                <w:color w:val="001641"/>
              </w:rPr>
              <w:t>As reported</w:t>
            </w:r>
          </w:p>
        </w:tc>
        <w:tc>
          <w:tcPr>
            <w:tcW w:w="1700" w:type="dxa"/>
            <w:vAlign w:val="bottom"/>
          </w:tcPr>
          <w:p>
            <w:pPr>
              <w:spacing w:after="0"/>
              <w:rPr>
                <w:sz w:val="19"/>
                <w:szCs w:val="19"/>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001641"/>
              </w:rPr>
              <w:t>$798.4</w:t>
            </w:r>
          </w:p>
        </w:tc>
        <w:tc>
          <w:tcPr>
            <w:tcW w:w="1720" w:type="dxa"/>
            <w:vAlign w:val="bottom"/>
          </w:tcPr>
          <w:p>
            <w:pPr>
              <w:jc w:val="right"/>
              <w:ind w:right="48"/>
              <w:spacing w:after="0"/>
              <w:rPr>
                <w:sz w:val="20"/>
                <w:szCs w:val="20"/>
                <w:color w:val="auto"/>
              </w:rPr>
            </w:pPr>
            <w:r>
              <w:rPr>
                <w:rFonts w:ascii="Arial" w:cs="Arial" w:eastAsia="Arial" w:hAnsi="Arial"/>
                <w:sz w:val="14"/>
                <w:szCs w:val="14"/>
                <w:color w:val="001641"/>
              </w:rPr>
              <w:t>12.8%</w:t>
            </w:r>
          </w:p>
        </w:tc>
      </w:tr>
      <w:tr>
        <w:trPr>
          <w:trHeight w:val="22"/>
        </w:trPr>
        <w:tc>
          <w:tcPr>
            <w:tcW w:w="4160" w:type="dxa"/>
            <w:vAlign w:val="bottom"/>
            <w:tcBorders>
              <w:bottom w:val="single" w:sz="8" w:color="BFA071"/>
            </w:tcBorders>
          </w:tcPr>
          <w:p>
            <w:pPr>
              <w:spacing w:after="0" w:line="20" w:lineRule="exact"/>
              <w:rPr>
                <w:sz w:val="1"/>
                <w:szCs w:val="1"/>
                <w:color w:val="auto"/>
              </w:rPr>
            </w:pPr>
          </w:p>
        </w:tc>
        <w:tc>
          <w:tcPr>
            <w:tcW w:w="1700" w:type="dxa"/>
            <w:vAlign w:val="bottom"/>
            <w:tcBorders>
              <w:bottom w:val="single" w:sz="8" w:color="BFA071"/>
            </w:tcBorders>
          </w:tcPr>
          <w:p>
            <w:pPr>
              <w:spacing w:after="0" w:line="20" w:lineRule="exact"/>
              <w:rPr>
                <w:sz w:val="1"/>
                <w:szCs w:val="1"/>
                <w:color w:val="auto"/>
              </w:rPr>
            </w:pPr>
          </w:p>
        </w:tc>
        <w:tc>
          <w:tcPr>
            <w:tcW w:w="1600" w:type="dxa"/>
            <w:vAlign w:val="bottom"/>
            <w:tcBorders>
              <w:bottom w:val="single" w:sz="8" w:color="BFA071"/>
            </w:tcBorders>
          </w:tcPr>
          <w:p>
            <w:pPr>
              <w:spacing w:after="0" w:line="20" w:lineRule="exact"/>
              <w:rPr>
                <w:sz w:val="1"/>
                <w:szCs w:val="1"/>
                <w:color w:val="auto"/>
              </w:rPr>
            </w:pPr>
          </w:p>
        </w:tc>
        <w:tc>
          <w:tcPr>
            <w:tcW w:w="1720" w:type="dxa"/>
            <w:vAlign w:val="bottom"/>
            <w:tcBorders>
              <w:bottom w:val="single" w:sz="8" w:color="BFA071"/>
            </w:tcBorders>
          </w:tcPr>
          <w:p>
            <w:pPr>
              <w:spacing w:after="0" w:line="20" w:lineRule="exact"/>
              <w:rPr>
                <w:sz w:val="1"/>
                <w:szCs w:val="1"/>
                <w:color w:val="auto"/>
              </w:rPr>
            </w:pPr>
          </w:p>
        </w:tc>
      </w:tr>
      <w:tr>
        <w:trPr>
          <w:trHeight w:val="250"/>
        </w:trPr>
        <w:tc>
          <w:tcPr>
            <w:tcW w:w="4160" w:type="dxa"/>
            <w:vAlign w:val="bottom"/>
            <w:tcBorders>
              <w:bottom w:val="single" w:sz="8" w:color="BFA071"/>
            </w:tcBorders>
          </w:tcPr>
          <w:p>
            <w:pPr>
              <w:ind w:left="140"/>
              <w:spacing w:after="0" w:line="250" w:lineRule="exact"/>
              <w:rPr>
                <w:sz w:val="20"/>
                <w:szCs w:val="20"/>
                <w:color w:val="auto"/>
              </w:rPr>
            </w:pPr>
            <w:r>
              <w:rPr>
                <w:rFonts w:ascii="Arial" w:cs="Arial" w:eastAsia="Arial" w:hAnsi="Arial"/>
                <w:sz w:val="14"/>
                <w:szCs w:val="14"/>
                <w:color w:val="001641"/>
              </w:rPr>
              <w:t>Adjustments:</w:t>
            </w:r>
            <w:r>
              <w:rPr>
                <w:rFonts w:ascii="Arial" w:cs="Arial" w:eastAsia="Arial" w:hAnsi="Arial"/>
                <w:sz w:val="23"/>
                <w:szCs w:val="23"/>
                <w:color w:val="001641"/>
                <w:vertAlign w:val="superscript"/>
              </w:rPr>
              <w:t>(3)</w:t>
            </w:r>
          </w:p>
        </w:tc>
        <w:tc>
          <w:tcPr>
            <w:tcW w:w="1700" w:type="dxa"/>
            <w:vAlign w:val="bottom"/>
            <w:tcBorders>
              <w:bottom w:val="single" w:sz="8" w:color="BFA071"/>
            </w:tcBorders>
          </w:tcPr>
          <w:p>
            <w:pPr>
              <w:spacing w:after="0"/>
              <w:rPr>
                <w:sz w:val="21"/>
                <w:szCs w:val="21"/>
                <w:color w:val="auto"/>
              </w:rPr>
            </w:pPr>
          </w:p>
        </w:tc>
        <w:tc>
          <w:tcPr>
            <w:tcW w:w="1600" w:type="dxa"/>
            <w:vAlign w:val="bottom"/>
            <w:tcBorders>
              <w:bottom w:val="single" w:sz="8" w:color="BFA071"/>
            </w:tcBorders>
          </w:tcPr>
          <w:p>
            <w:pPr>
              <w:spacing w:after="0"/>
              <w:rPr>
                <w:sz w:val="21"/>
                <w:szCs w:val="21"/>
                <w:color w:val="auto"/>
              </w:rPr>
            </w:pPr>
          </w:p>
        </w:tc>
        <w:tc>
          <w:tcPr>
            <w:tcW w:w="1720" w:type="dxa"/>
            <w:vAlign w:val="bottom"/>
            <w:tcBorders>
              <w:bottom w:val="single" w:sz="8" w:color="BFA071"/>
            </w:tcBorders>
          </w:tcPr>
          <w:p>
            <w:pPr>
              <w:spacing w:after="0"/>
              <w:rPr>
                <w:sz w:val="21"/>
                <w:szCs w:val="21"/>
                <w:color w:val="auto"/>
              </w:rPr>
            </w:pPr>
          </w:p>
        </w:tc>
      </w:tr>
      <w:tr>
        <w:trPr>
          <w:trHeight w:val="202"/>
        </w:trPr>
        <w:tc>
          <w:tcPr>
            <w:tcW w:w="4160" w:type="dxa"/>
            <w:vAlign w:val="bottom"/>
          </w:tcPr>
          <w:p>
            <w:pPr>
              <w:ind w:left="320"/>
              <w:spacing w:after="0"/>
              <w:rPr>
                <w:sz w:val="20"/>
                <w:szCs w:val="20"/>
                <w:color w:val="auto"/>
              </w:rPr>
            </w:pPr>
            <w:r>
              <w:rPr>
                <w:rFonts w:ascii="Arial" w:cs="Arial" w:eastAsia="Arial" w:hAnsi="Arial"/>
                <w:sz w:val="14"/>
                <w:szCs w:val="14"/>
                <w:color w:val="001641"/>
              </w:rPr>
              <w:t>Restructuring plan charges, net</w:t>
            </w:r>
          </w:p>
        </w:tc>
        <w:tc>
          <w:tcPr>
            <w:tcW w:w="1700" w:type="dxa"/>
            <w:vAlign w:val="bottom"/>
          </w:tcPr>
          <w:p>
            <w:pPr>
              <w:spacing w:after="0"/>
              <w:rPr>
                <w:sz w:val="17"/>
                <w:szCs w:val="17"/>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001641"/>
              </w:rPr>
              <w:t>25.3</w:t>
            </w:r>
          </w:p>
        </w:tc>
        <w:tc>
          <w:tcPr>
            <w:tcW w:w="1720" w:type="dxa"/>
            <w:vAlign w:val="bottom"/>
          </w:tcPr>
          <w:p>
            <w:pPr>
              <w:spacing w:after="0"/>
              <w:rPr>
                <w:sz w:val="17"/>
                <w:szCs w:val="17"/>
                <w:color w:val="auto"/>
              </w:rPr>
            </w:pPr>
          </w:p>
        </w:tc>
      </w:tr>
      <w:tr>
        <w:trPr>
          <w:trHeight w:val="22"/>
        </w:trPr>
        <w:tc>
          <w:tcPr>
            <w:tcW w:w="4160" w:type="dxa"/>
            <w:vAlign w:val="bottom"/>
            <w:tcBorders>
              <w:bottom w:val="single" w:sz="8" w:color="BFA071"/>
            </w:tcBorders>
          </w:tcPr>
          <w:p>
            <w:pPr>
              <w:spacing w:after="0" w:line="20" w:lineRule="exact"/>
              <w:rPr>
                <w:sz w:val="1"/>
                <w:szCs w:val="1"/>
                <w:color w:val="auto"/>
              </w:rPr>
            </w:pPr>
          </w:p>
        </w:tc>
        <w:tc>
          <w:tcPr>
            <w:tcW w:w="1700" w:type="dxa"/>
            <w:vAlign w:val="bottom"/>
            <w:tcBorders>
              <w:bottom w:val="single" w:sz="8" w:color="BFA071"/>
            </w:tcBorders>
          </w:tcPr>
          <w:p>
            <w:pPr>
              <w:spacing w:after="0" w:line="20" w:lineRule="exact"/>
              <w:rPr>
                <w:sz w:val="1"/>
                <w:szCs w:val="1"/>
                <w:color w:val="auto"/>
              </w:rPr>
            </w:pPr>
          </w:p>
        </w:tc>
        <w:tc>
          <w:tcPr>
            <w:tcW w:w="1600" w:type="dxa"/>
            <w:vAlign w:val="bottom"/>
            <w:tcBorders>
              <w:bottom w:val="single" w:sz="8" w:color="BFA071"/>
            </w:tcBorders>
          </w:tcPr>
          <w:p>
            <w:pPr>
              <w:spacing w:after="0" w:line="20" w:lineRule="exact"/>
              <w:rPr>
                <w:sz w:val="1"/>
                <w:szCs w:val="1"/>
                <w:color w:val="auto"/>
              </w:rPr>
            </w:pPr>
          </w:p>
        </w:tc>
        <w:tc>
          <w:tcPr>
            <w:tcW w:w="1720" w:type="dxa"/>
            <w:vAlign w:val="bottom"/>
            <w:tcBorders>
              <w:bottom w:val="single" w:sz="8" w:color="BFA071"/>
            </w:tcBorders>
          </w:tcPr>
          <w:p>
            <w:pPr>
              <w:spacing w:after="0" w:line="20" w:lineRule="exact"/>
              <w:rPr>
                <w:sz w:val="1"/>
                <w:szCs w:val="1"/>
                <w:color w:val="auto"/>
              </w:rPr>
            </w:pPr>
          </w:p>
        </w:tc>
      </w:tr>
      <w:tr>
        <w:trPr>
          <w:trHeight w:val="201"/>
        </w:trPr>
        <w:tc>
          <w:tcPr>
            <w:tcW w:w="4160" w:type="dxa"/>
            <w:vAlign w:val="bottom"/>
          </w:tcPr>
          <w:p>
            <w:pPr>
              <w:ind w:left="320"/>
              <w:spacing w:after="0"/>
              <w:rPr>
                <w:sz w:val="20"/>
                <w:szCs w:val="20"/>
                <w:color w:val="auto"/>
              </w:rPr>
            </w:pPr>
            <w:r>
              <w:rPr>
                <w:rFonts w:ascii="Arial" w:cs="Arial" w:eastAsia="Arial" w:hAnsi="Arial"/>
                <w:sz w:val="14"/>
                <w:szCs w:val="14"/>
                <w:color w:val="001641"/>
              </w:rPr>
              <w:t>Cease-use rent and occupancy expenses</w:t>
            </w:r>
          </w:p>
        </w:tc>
        <w:tc>
          <w:tcPr>
            <w:tcW w:w="1700" w:type="dxa"/>
            <w:vAlign w:val="bottom"/>
          </w:tcPr>
          <w:p>
            <w:pPr>
              <w:spacing w:after="0"/>
              <w:rPr>
                <w:sz w:val="17"/>
                <w:szCs w:val="17"/>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001641"/>
              </w:rPr>
              <w:t>11.8</w:t>
            </w:r>
          </w:p>
        </w:tc>
        <w:tc>
          <w:tcPr>
            <w:tcW w:w="1720" w:type="dxa"/>
            <w:vAlign w:val="bottom"/>
          </w:tcPr>
          <w:p>
            <w:pPr>
              <w:spacing w:after="0"/>
              <w:rPr>
                <w:sz w:val="17"/>
                <w:szCs w:val="17"/>
                <w:color w:val="auto"/>
              </w:rPr>
            </w:pPr>
          </w:p>
        </w:tc>
      </w:tr>
      <w:tr>
        <w:trPr>
          <w:trHeight w:val="22"/>
        </w:trPr>
        <w:tc>
          <w:tcPr>
            <w:tcW w:w="4160" w:type="dxa"/>
            <w:vAlign w:val="bottom"/>
            <w:tcBorders>
              <w:bottom w:val="single" w:sz="8" w:color="BFA071"/>
            </w:tcBorders>
          </w:tcPr>
          <w:p>
            <w:pPr>
              <w:spacing w:after="0" w:line="20" w:lineRule="exact"/>
              <w:rPr>
                <w:sz w:val="1"/>
                <w:szCs w:val="1"/>
                <w:color w:val="auto"/>
              </w:rPr>
            </w:pPr>
          </w:p>
        </w:tc>
        <w:tc>
          <w:tcPr>
            <w:tcW w:w="1700" w:type="dxa"/>
            <w:vAlign w:val="bottom"/>
            <w:tcBorders>
              <w:bottom w:val="single" w:sz="8" w:color="BFA071"/>
            </w:tcBorders>
          </w:tcPr>
          <w:p>
            <w:pPr>
              <w:spacing w:after="0" w:line="20" w:lineRule="exact"/>
              <w:rPr>
                <w:sz w:val="1"/>
                <w:szCs w:val="1"/>
                <w:color w:val="auto"/>
              </w:rPr>
            </w:pPr>
          </w:p>
        </w:tc>
        <w:tc>
          <w:tcPr>
            <w:tcW w:w="1600" w:type="dxa"/>
            <w:vAlign w:val="bottom"/>
            <w:tcBorders>
              <w:bottom w:val="single" w:sz="8" w:color="BFA071"/>
            </w:tcBorders>
          </w:tcPr>
          <w:p>
            <w:pPr>
              <w:spacing w:after="0" w:line="20" w:lineRule="exact"/>
              <w:rPr>
                <w:sz w:val="1"/>
                <w:szCs w:val="1"/>
                <w:color w:val="auto"/>
              </w:rPr>
            </w:pPr>
          </w:p>
        </w:tc>
        <w:tc>
          <w:tcPr>
            <w:tcW w:w="1720" w:type="dxa"/>
            <w:vAlign w:val="bottom"/>
            <w:tcBorders>
              <w:bottom w:val="single" w:sz="8" w:color="BFA071"/>
            </w:tcBorders>
          </w:tcPr>
          <w:p>
            <w:pPr>
              <w:spacing w:after="0" w:line="20" w:lineRule="exact"/>
              <w:rPr>
                <w:sz w:val="1"/>
                <w:szCs w:val="1"/>
                <w:color w:val="auto"/>
              </w:rPr>
            </w:pPr>
          </w:p>
        </w:tc>
      </w:tr>
      <w:tr>
        <w:trPr>
          <w:trHeight w:val="202"/>
        </w:trPr>
        <w:tc>
          <w:tcPr>
            <w:tcW w:w="4160" w:type="dxa"/>
            <w:vAlign w:val="bottom"/>
          </w:tcPr>
          <w:p>
            <w:pPr>
              <w:ind w:left="320"/>
              <w:spacing w:after="0"/>
              <w:rPr>
                <w:sz w:val="20"/>
                <w:szCs w:val="20"/>
                <w:color w:val="auto"/>
              </w:rPr>
            </w:pPr>
            <w:r>
              <w:rPr>
                <w:rFonts w:ascii="Arial" w:cs="Arial" w:eastAsia="Arial" w:hAnsi="Arial"/>
                <w:sz w:val="14"/>
                <w:szCs w:val="14"/>
                <w:color w:val="001641"/>
              </w:rPr>
              <w:t>Swiss tax reform non-income-related capital tax charges</w:t>
            </w:r>
          </w:p>
        </w:tc>
        <w:tc>
          <w:tcPr>
            <w:tcW w:w="1700" w:type="dxa"/>
            <w:vAlign w:val="bottom"/>
          </w:tcPr>
          <w:p>
            <w:pPr>
              <w:spacing w:after="0"/>
              <w:rPr>
                <w:sz w:val="17"/>
                <w:szCs w:val="17"/>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001641"/>
              </w:rPr>
              <w:t>6.4</w:t>
            </w:r>
          </w:p>
        </w:tc>
        <w:tc>
          <w:tcPr>
            <w:tcW w:w="1720" w:type="dxa"/>
            <w:vAlign w:val="bottom"/>
          </w:tcPr>
          <w:p>
            <w:pPr>
              <w:spacing w:after="0"/>
              <w:rPr>
                <w:sz w:val="17"/>
                <w:szCs w:val="17"/>
                <w:color w:val="auto"/>
              </w:rPr>
            </w:pPr>
          </w:p>
        </w:tc>
      </w:tr>
      <w:tr>
        <w:trPr>
          <w:trHeight w:val="22"/>
        </w:trPr>
        <w:tc>
          <w:tcPr>
            <w:tcW w:w="4160" w:type="dxa"/>
            <w:vAlign w:val="bottom"/>
            <w:tcBorders>
              <w:bottom w:val="single" w:sz="8" w:color="BFA071"/>
            </w:tcBorders>
          </w:tcPr>
          <w:p>
            <w:pPr>
              <w:spacing w:after="0" w:line="20" w:lineRule="exact"/>
              <w:rPr>
                <w:sz w:val="1"/>
                <w:szCs w:val="1"/>
                <w:color w:val="auto"/>
              </w:rPr>
            </w:pPr>
          </w:p>
        </w:tc>
        <w:tc>
          <w:tcPr>
            <w:tcW w:w="1700" w:type="dxa"/>
            <w:vAlign w:val="bottom"/>
            <w:tcBorders>
              <w:bottom w:val="single" w:sz="8" w:color="BFA071"/>
            </w:tcBorders>
          </w:tcPr>
          <w:p>
            <w:pPr>
              <w:spacing w:after="0" w:line="20" w:lineRule="exact"/>
              <w:rPr>
                <w:sz w:val="1"/>
                <w:szCs w:val="1"/>
                <w:color w:val="auto"/>
              </w:rPr>
            </w:pPr>
          </w:p>
        </w:tc>
        <w:tc>
          <w:tcPr>
            <w:tcW w:w="1600" w:type="dxa"/>
            <w:vAlign w:val="bottom"/>
            <w:tcBorders>
              <w:bottom w:val="single" w:sz="8" w:color="BFA071"/>
            </w:tcBorders>
          </w:tcPr>
          <w:p>
            <w:pPr>
              <w:spacing w:after="0" w:line="20" w:lineRule="exact"/>
              <w:rPr>
                <w:sz w:val="1"/>
                <w:szCs w:val="1"/>
                <w:color w:val="auto"/>
              </w:rPr>
            </w:pPr>
          </w:p>
        </w:tc>
        <w:tc>
          <w:tcPr>
            <w:tcW w:w="1720" w:type="dxa"/>
            <w:vAlign w:val="bottom"/>
            <w:tcBorders>
              <w:bottom w:val="single" w:sz="8" w:color="BFA071"/>
            </w:tcBorders>
          </w:tcPr>
          <w:p>
            <w:pPr>
              <w:spacing w:after="0" w:line="20" w:lineRule="exact"/>
              <w:rPr>
                <w:sz w:val="1"/>
                <w:szCs w:val="1"/>
                <w:color w:val="auto"/>
              </w:rPr>
            </w:pPr>
          </w:p>
        </w:tc>
      </w:tr>
      <w:tr>
        <w:trPr>
          <w:trHeight w:val="201"/>
        </w:trPr>
        <w:tc>
          <w:tcPr>
            <w:tcW w:w="4160" w:type="dxa"/>
            <w:vAlign w:val="bottom"/>
          </w:tcPr>
          <w:p>
            <w:pPr>
              <w:ind w:left="320"/>
              <w:spacing w:after="0"/>
              <w:rPr>
                <w:sz w:val="20"/>
                <w:szCs w:val="20"/>
                <w:color w:val="auto"/>
              </w:rPr>
            </w:pPr>
            <w:r>
              <w:rPr>
                <w:rFonts w:ascii="Arial" w:cs="Arial" w:eastAsia="Arial" w:hAnsi="Arial"/>
                <w:sz w:val="14"/>
                <w:szCs w:val="14"/>
                <w:color w:val="001641"/>
              </w:rPr>
              <w:t>Charitable donation related to Club Monaco sale</w:t>
            </w:r>
          </w:p>
        </w:tc>
        <w:tc>
          <w:tcPr>
            <w:tcW w:w="1700" w:type="dxa"/>
            <w:vAlign w:val="bottom"/>
          </w:tcPr>
          <w:p>
            <w:pPr>
              <w:spacing w:after="0"/>
              <w:rPr>
                <w:sz w:val="17"/>
                <w:szCs w:val="17"/>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001641"/>
              </w:rPr>
              <w:t>4.0</w:t>
            </w:r>
          </w:p>
        </w:tc>
        <w:tc>
          <w:tcPr>
            <w:tcW w:w="1720" w:type="dxa"/>
            <w:vAlign w:val="bottom"/>
          </w:tcPr>
          <w:p>
            <w:pPr>
              <w:spacing w:after="0"/>
              <w:rPr>
                <w:sz w:val="17"/>
                <w:szCs w:val="17"/>
                <w:color w:val="auto"/>
              </w:rPr>
            </w:pPr>
          </w:p>
        </w:tc>
      </w:tr>
      <w:tr>
        <w:trPr>
          <w:trHeight w:val="22"/>
        </w:trPr>
        <w:tc>
          <w:tcPr>
            <w:tcW w:w="4160" w:type="dxa"/>
            <w:vAlign w:val="bottom"/>
            <w:tcBorders>
              <w:bottom w:val="single" w:sz="8" w:color="BFA071"/>
            </w:tcBorders>
          </w:tcPr>
          <w:p>
            <w:pPr>
              <w:spacing w:after="0" w:line="20" w:lineRule="exact"/>
              <w:rPr>
                <w:sz w:val="1"/>
                <w:szCs w:val="1"/>
                <w:color w:val="auto"/>
              </w:rPr>
            </w:pPr>
          </w:p>
        </w:tc>
        <w:tc>
          <w:tcPr>
            <w:tcW w:w="1700" w:type="dxa"/>
            <w:vAlign w:val="bottom"/>
            <w:tcBorders>
              <w:bottom w:val="single" w:sz="8" w:color="BFA071"/>
            </w:tcBorders>
          </w:tcPr>
          <w:p>
            <w:pPr>
              <w:spacing w:after="0" w:line="20" w:lineRule="exact"/>
              <w:rPr>
                <w:sz w:val="1"/>
                <w:szCs w:val="1"/>
                <w:color w:val="auto"/>
              </w:rPr>
            </w:pPr>
          </w:p>
        </w:tc>
        <w:tc>
          <w:tcPr>
            <w:tcW w:w="1600" w:type="dxa"/>
            <w:vAlign w:val="bottom"/>
            <w:tcBorders>
              <w:bottom w:val="single" w:sz="8" w:color="BFA071"/>
            </w:tcBorders>
          </w:tcPr>
          <w:p>
            <w:pPr>
              <w:spacing w:after="0" w:line="20" w:lineRule="exact"/>
              <w:rPr>
                <w:sz w:val="1"/>
                <w:szCs w:val="1"/>
                <w:color w:val="auto"/>
              </w:rPr>
            </w:pPr>
          </w:p>
        </w:tc>
        <w:tc>
          <w:tcPr>
            <w:tcW w:w="1720" w:type="dxa"/>
            <w:vAlign w:val="bottom"/>
            <w:tcBorders>
              <w:bottom w:val="single" w:sz="8" w:color="BFA071"/>
            </w:tcBorders>
          </w:tcPr>
          <w:p>
            <w:pPr>
              <w:spacing w:after="0" w:line="20" w:lineRule="exact"/>
              <w:rPr>
                <w:sz w:val="1"/>
                <w:szCs w:val="1"/>
                <w:color w:val="auto"/>
              </w:rPr>
            </w:pPr>
          </w:p>
        </w:tc>
      </w:tr>
      <w:tr>
        <w:trPr>
          <w:trHeight w:val="202"/>
        </w:trPr>
        <w:tc>
          <w:tcPr>
            <w:tcW w:w="4160" w:type="dxa"/>
            <w:vAlign w:val="bottom"/>
          </w:tcPr>
          <w:p>
            <w:pPr>
              <w:ind w:left="320"/>
              <w:spacing w:after="0"/>
              <w:rPr>
                <w:sz w:val="20"/>
                <w:szCs w:val="20"/>
                <w:color w:val="auto"/>
              </w:rPr>
            </w:pPr>
            <w:r>
              <w:rPr>
                <w:rFonts w:ascii="Arial" w:cs="Arial" w:eastAsia="Arial" w:hAnsi="Arial"/>
                <w:sz w:val="14"/>
                <w:szCs w:val="14"/>
                <w:color w:val="001641"/>
              </w:rPr>
              <w:t>Russia-related bad debt reserve charges</w:t>
            </w:r>
          </w:p>
        </w:tc>
        <w:tc>
          <w:tcPr>
            <w:tcW w:w="1700" w:type="dxa"/>
            <w:vAlign w:val="bottom"/>
          </w:tcPr>
          <w:p>
            <w:pPr>
              <w:spacing w:after="0"/>
              <w:rPr>
                <w:sz w:val="17"/>
                <w:szCs w:val="17"/>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001641"/>
              </w:rPr>
              <w:t>3.6</w:t>
            </w:r>
          </w:p>
        </w:tc>
        <w:tc>
          <w:tcPr>
            <w:tcW w:w="1720" w:type="dxa"/>
            <w:vAlign w:val="bottom"/>
          </w:tcPr>
          <w:p>
            <w:pPr>
              <w:spacing w:after="0"/>
              <w:rPr>
                <w:sz w:val="17"/>
                <w:szCs w:val="17"/>
                <w:color w:val="auto"/>
              </w:rPr>
            </w:pPr>
          </w:p>
        </w:tc>
      </w:tr>
      <w:tr>
        <w:trPr>
          <w:trHeight w:val="22"/>
        </w:trPr>
        <w:tc>
          <w:tcPr>
            <w:tcW w:w="4160" w:type="dxa"/>
            <w:vAlign w:val="bottom"/>
            <w:tcBorders>
              <w:bottom w:val="single" w:sz="8" w:color="BFA071"/>
            </w:tcBorders>
          </w:tcPr>
          <w:p>
            <w:pPr>
              <w:spacing w:after="0" w:line="20" w:lineRule="exact"/>
              <w:rPr>
                <w:sz w:val="1"/>
                <w:szCs w:val="1"/>
                <w:color w:val="auto"/>
              </w:rPr>
            </w:pPr>
          </w:p>
        </w:tc>
        <w:tc>
          <w:tcPr>
            <w:tcW w:w="1700" w:type="dxa"/>
            <w:vAlign w:val="bottom"/>
            <w:tcBorders>
              <w:bottom w:val="single" w:sz="8" w:color="BFA071"/>
            </w:tcBorders>
          </w:tcPr>
          <w:p>
            <w:pPr>
              <w:spacing w:after="0" w:line="20" w:lineRule="exact"/>
              <w:rPr>
                <w:sz w:val="1"/>
                <w:szCs w:val="1"/>
                <w:color w:val="auto"/>
              </w:rPr>
            </w:pPr>
          </w:p>
        </w:tc>
        <w:tc>
          <w:tcPr>
            <w:tcW w:w="1600" w:type="dxa"/>
            <w:vAlign w:val="bottom"/>
            <w:tcBorders>
              <w:bottom w:val="single" w:sz="8" w:color="BFA071"/>
            </w:tcBorders>
          </w:tcPr>
          <w:p>
            <w:pPr>
              <w:spacing w:after="0" w:line="20" w:lineRule="exact"/>
              <w:rPr>
                <w:sz w:val="1"/>
                <w:szCs w:val="1"/>
                <w:color w:val="auto"/>
              </w:rPr>
            </w:pPr>
          </w:p>
        </w:tc>
        <w:tc>
          <w:tcPr>
            <w:tcW w:w="1720" w:type="dxa"/>
            <w:vAlign w:val="bottom"/>
            <w:tcBorders>
              <w:bottom w:val="single" w:sz="8" w:color="BFA071"/>
            </w:tcBorders>
          </w:tcPr>
          <w:p>
            <w:pPr>
              <w:spacing w:after="0" w:line="20" w:lineRule="exact"/>
              <w:rPr>
                <w:sz w:val="1"/>
                <w:szCs w:val="1"/>
                <w:color w:val="auto"/>
              </w:rPr>
            </w:pPr>
          </w:p>
        </w:tc>
      </w:tr>
      <w:tr>
        <w:trPr>
          <w:trHeight w:val="202"/>
        </w:trPr>
        <w:tc>
          <w:tcPr>
            <w:tcW w:w="4160" w:type="dxa"/>
            <w:vAlign w:val="bottom"/>
          </w:tcPr>
          <w:p>
            <w:pPr>
              <w:ind w:left="320"/>
              <w:spacing w:after="0"/>
              <w:rPr>
                <w:sz w:val="20"/>
                <w:szCs w:val="20"/>
                <w:color w:val="auto"/>
              </w:rPr>
            </w:pPr>
            <w:r>
              <w:rPr>
                <w:rFonts w:ascii="Arial" w:cs="Arial" w:eastAsia="Arial" w:hAnsi="Arial"/>
                <w:sz w:val="14"/>
                <w:szCs w:val="14"/>
                <w:color w:val="001641"/>
              </w:rPr>
              <w:t>COVID-19- related bad debt reserve charges</w:t>
            </w:r>
          </w:p>
        </w:tc>
        <w:tc>
          <w:tcPr>
            <w:tcW w:w="17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001641"/>
              </w:rPr>
              <w:t>(1.2)</w:t>
            </w:r>
          </w:p>
        </w:tc>
        <w:tc>
          <w:tcPr>
            <w:tcW w:w="1720" w:type="dxa"/>
            <w:vAlign w:val="bottom"/>
          </w:tcPr>
          <w:p>
            <w:pPr>
              <w:spacing w:after="0"/>
              <w:rPr>
                <w:sz w:val="17"/>
                <w:szCs w:val="17"/>
                <w:color w:val="auto"/>
              </w:rPr>
            </w:pPr>
          </w:p>
        </w:tc>
      </w:tr>
      <w:tr>
        <w:trPr>
          <w:trHeight w:val="22"/>
        </w:trPr>
        <w:tc>
          <w:tcPr>
            <w:tcW w:w="4160" w:type="dxa"/>
            <w:vAlign w:val="bottom"/>
            <w:tcBorders>
              <w:bottom w:val="single" w:sz="8" w:color="BFA071"/>
            </w:tcBorders>
          </w:tcPr>
          <w:p>
            <w:pPr>
              <w:spacing w:after="0" w:line="20" w:lineRule="exact"/>
              <w:rPr>
                <w:sz w:val="1"/>
                <w:szCs w:val="1"/>
                <w:color w:val="auto"/>
              </w:rPr>
            </w:pPr>
          </w:p>
        </w:tc>
        <w:tc>
          <w:tcPr>
            <w:tcW w:w="1700" w:type="dxa"/>
            <w:vAlign w:val="bottom"/>
            <w:tcBorders>
              <w:bottom w:val="single" w:sz="8" w:color="BFA071"/>
            </w:tcBorders>
          </w:tcPr>
          <w:p>
            <w:pPr>
              <w:spacing w:after="0" w:line="20" w:lineRule="exact"/>
              <w:rPr>
                <w:sz w:val="1"/>
                <w:szCs w:val="1"/>
                <w:color w:val="auto"/>
              </w:rPr>
            </w:pPr>
          </w:p>
        </w:tc>
        <w:tc>
          <w:tcPr>
            <w:tcW w:w="1600" w:type="dxa"/>
            <w:vAlign w:val="bottom"/>
            <w:tcBorders>
              <w:bottom w:val="single" w:sz="8" w:color="BFA071"/>
            </w:tcBorders>
          </w:tcPr>
          <w:p>
            <w:pPr>
              <w:spacing w:after="0" w:line="20" w:lineRule="exact"/>
              <w:rPr>
                <w:sz w:val="1"/>
                <w:szCs w:val="1"/>
                <w:color w:val="auto"/>
              </w:rPr>
            </w:pPr>
          </w:p>
        </w:tc>
        <w:tc>
          <w:tcPr>
            <w:tcW w:w="1720" w:type="dxa"/>
            <w:vAlign w:val="bottom"/>
            <w:tcBorders>
              <w:bottom w:val="single" w:sz="8" w:color="BFA071"/>
            </w:tcBorders>
          </w:tcPr>
          <w:p>
            <w:pPr>
              <w:spacing w:after="0" w:line="20" w:lineRule="exact"/>
              <w:rPr>
                <w:sz w:val="1"/>
                <w:szCs w:val="1"/>
                <w:color w:val="auto"/>
              </w:rPr>
            </w:pPr>
          </w:p>
        </w:tc>
      </w:tr>
      <w:tr>
        <w:trPr>
          <w:trHeight w:val="201"/>
        </w:trPr>
        <w:tc>
          <w:tcPr>
            <w:tcW w:w="4160" w:type="dxa"/>
            <w:vAlign w:val="bottom"/>
          </w:tcPr>
          <w:p>
            <w:pPr>
              <w:ind w:left="320"/>
              <w:spacing w:after="0"/>
              <w:rPr>
                <w:sz w:val="20"/>
                <w:szCs w:val="20"/>
                <w:color w:val="auto"/>
              </w:rPr>
            </w:pPr>
            <w:r>
              <w:rPr>
                <w:rFonts w:ascii="Arial" w:cs="Arial" w:eastAsia="Arial" w:hAnsi="Arial"/>
                <w:sz w:val="14"/>
                <w:szCs w:val="14"/>
                <w:color w:val="001641"/>
              </w:rPr>
              <w:t>COVID-19-related inventory adjustments</w:t>
            </w:r>
          </w:p>
        </w:tc>
        <w:tc>
          <w:tcPr>
            <w:tcW w:w="17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001641"/>
              </w:rPr>
              <w:t>(13.3)</w:t>
            </w:r>
          </w:p>
        </w:tc>
        <w:tc>
          <w:tcPr>
            <w:tcW w:w="1720" w:type="dxa"/>
            <w:vAlign w:val="bottom"/>
          </w:tcPr>
          <w:p>
            <w:pPr>
              <w:spacing w:after="0"/>
              <w:rPr>
                <w:sz w:val="17"/>
                <w:szCs w:val="17"/>
                <w:color w:val="auto"/>
              </w:rPr>
            </w:pPr>
          </w:p>
        </w:tc>
      </w:tr>
      <w:tr>
        <w:trPr>
          <w:trHeight w:val="22"/>
        </w:trPr>
        <w:tc>
          <w:tcPr>
            <w:tcW w:w="4160" w:type="dxa"/>
            <w:vAlign w:val="bottom"/>
            <w:tcBorders>
              <w:bottom w:val="single" w:sz="8" w:color="BFA071"/>
            </w:tcBorders>
          </w:tcPr>
          <w:p>
            <w:pPr>
              <w:spacing w:after="0" w:line="20" w:lineRule="exact"/>
              <w:rPr>
                <w:sz w:val="1"/>
                <w:szCs w:val="1"/>
                <w:color w:val="auto"/>
              </w:rPr>
            </w:pPr>
          </w:p>
        </w:tc>
        <w:tc>
          <w:tcPr>
            <w:tcW w:w="1700" w:type="dxa"/>
            <w:vAlign w:val="bottom"/>
            <w:tcBorders>
              <w:bottom w:val="single" w:sz="8" w:color="BFA071"/>
            </w:tcBorders>
          </w:tcPr>
          <w:p>
            <w:pPr>
              <w:spacing w:after="0" w:line="20" w:lineRule="exact"/>
              <w:rPr>
                <w:sz w:val="1"/>
                <w:szCs w:val="1"/>
                <w:color w:val="auto"/>
              </w:rPr>
            </w:pPr>
          </w:p>
        </w:tc>
        <w:tc>
          <w:tcPr>
            <w:tcW w:w="1600" w:type="dxa"/>
            <w:vAlign w:val="bottom"/>
            <w:tcBorders>
              <w:bottom w:val="single" w:sz="8" w:color="BFA071"/>
            </w:tcBorders>
          </w:tcPr>
          <w:p>
            <w:pPr>
              <w:spacing w:after="0" w:line="20" w:lineRule="exact"/>
              <w:rPr>
                <w:sz w:val="1"/>
                <w:szCs w:val="1"/>
                <w:color w:val="auto"/>
              </w:rPr>
            </w:pPr>
          </w:p>
        </w:tc>
        <w:tc>
          <w:tcPr>
            <w:tcW w:w="1720" w:type="dxa"/>
            <w:vAlign w:val="bottom"/>
            <w:tcBorders>
              <w:bottom w:val="single" w:sz="8" w:color="BFA071"/>
            </w:tcBorders>
          </w:tcPr>
          <w:p>
            <w:pPr>
              <w:spacing w:after="0" w:line="20" w:lineRule="exact"/>
              <w:rPr>
                <w:sz w:val="1"/>
                <w:szCs w:val="1"/>
                <w:color w:val="auto"/>
              </w:rPr>
            </w:pPr>
          </w:p>
        </w:tc>
      </w:tr>
      <w:tr>
        <w:trPr>
          <w:trHeight w:val="202"/>
        </w:trPr>
        <w:tc>
          <w:tcPr>
            <w:tcW w:w="4160" w:type="dxa"/>
            <w:vAlign w:val="bottom"/>
          </w:tcPr>
          <w:p>
            <w:pPr>
              <w:ind w:left="320"/>
              <w:spacing w:after="0"/>
              <w:rPr>
                <w:sz w:val="20"/>
                <w:szCs w:val="20"/>
                <w:color w:val="auto"/>
              </w:rPr>
            </w:pPr>
            <w:r>
              <w:rPr>
                <w:rFonts w:ascii="Arial" w:cs="Arial" w:eastAsia="Arial" w:hAnsi="Arial"/>
                <w:sz w:val="14"/>
                <w:szCs w:val="14"/>
                <w:color w:val="001641"/>
              </w:rPr>
              <w:t>Club Monaco sale consideration from Regent, L.P.</w:t>
            </w:r>
          </w:p>
        </w:tc>
        <w:tc>
          <w:tcPr>
            <w:tcW w:w="17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001641"/>
              </w:rPr>
              <w:t>(4.0)</w:t>
            </w:r>
          </w:p>
        </w:tc>
        <w:tc>
          <w:tcPr>
            <w:tcW w:w="1720" w:type="dxa"/>
            <w:vAlign w:val="bottom"/>
          </w:tcPr>
          <w:p>
            <w:pPr>
              <w:spacing w:after="0"/>
              <w:rPr>
                <w:sz w:val="17"/>
                <w:szCs w:val="17"/>
                <w:color w:val="auto"/>
              </w:rPr>
            </w:pPr>
          </w:p>
        </w:tc>
      </w:tr>
      <w:tr>
        <w:trPr>
          <w:trHeight w:val="22"/>
        </w:trPr>
        <w:tc>
          <w:tcPr>
            <w:tcW w:w="4160" w:type="dxa"/>
            <w:vAlign w:val="bottom"/>
            <w:tcBorders>
              <w:bottom w:val="single" w:sz="8" w:color="BFA071"/>
            </w:tcBorders>
          </w:tcPr>
          <w:p>
            <w:pPr>
              <w:spacing w:after="0" w:line="20" w:lineRule="exact"/>
              <w:rPr>
                <w:sz w:val="1"/>
                <w:szCs w:val="1"/>
                <w:color w:val="auto"/>
              </w:rPr>
            </w:pPr>
          </w:p>
        </w:tc>
        <w:tc>
          <w:tcPr>
            <w:tcW w:w="1700" w:type="dxa"/>
            <w:vAlign w:val="bottom"/>
            <w:tcBorders>
              <w:bottom w:val="single" w:sz="8" w:color="BFA071"/>
            </w:tcBorders>
          </w:tcPr>
          <w:p>
            <w:pPr>
              <w:spacing w:after="0" w:line="20" w:lineRule="exact"/>
              <w:rPr>
                <w:sz w:val="1"/>
                <w:szCs w:val="1"/>
                <w:color w:val="auto"/>
              </w:rPr>
            </w:pPr>
          </w:p>
        </w:tc>
        <w:tc>
          <w:tcPr>
            <w:tcW w:w="1600" w:type="dxa"/>
            <w:vAlign w:val="bottom"/>
            <w:tcBorders>
              <w:bottom w:val="single" w:sz="8" w:color="BFA071"/>
            </w:tcBorders>
          </w:tcPr>
          <w:p>
            <w:pPr>
              <w:spacing w:after="0" w:line="20" w:lineRule="exact"/>
              <w:rPr>
                <w:sz w:val="1"/>
                <w:szCs w:val="1"/>
                <w:color w:val="auto"/>
              </w:rPr>
            </w:pPr>
          </w:p>
        </w:tc>
        <w:tc>
          <w:tcPr>
            <w:tcW w:w="1720" w:type="dxa"/>
            <w:vAlign w:val="bottom"/>
            <w:tcBorders>
              <w:bottom w:val="single" w:sz="8" w:color="BFA071"/>
            </w:tcBorders>
          </w:tcPr>
          <w:p>
            <w:pPr>
              <w:spacing w:after="0" w:line="20" w:lineRule="exact"/>
              <w:rPr>
                <w:sz w:val="1"/>
                <w:szCs w:val="1"/>
                <w:color w:val="auto"/>
              </w:rPr>
            </w:pPr>
          </w:p>
        </w:tc>
      </w:tr>
      <w:tr>
        <w:trPr>
          <w:trHeight w:val="201"/>
        </w:trPr>
        <w:tc>
          <w:tcPr>
            <w:tcW w:w="4160" w:type="dxa"/>
            <w:vAlign w:val="bottom"/>
          </w:tcPr>
          <w:p>
            <w:pPr>
              <w:ind w:left="140"/>
              <w:spacing w:after="0"/>
              <w:rPr>
                <w:sz w:val="20"/>
                <w:szCs w:val="20"/>
                <w:color w:val="auto"/>
              </w:rPr>
            </w:pPr>
            <w:r>
              <w:rPr>
                <w:rFonts w:ascii="Arial" w:cs="Arial" w:eastAsia="Arial" w:hAnsi="Arial"/>
                <w:sz w:val="14"/>
                <w:szCs w:val="14"/>
                <w:color w:val="001641"/>
              </w:rPr>
              <w:t>As adjusted in reported currency</w:t>
            </w:r>
          </w:p>
        </w:tc>
        <w:tc>
          <w:tcPr>
            <w:tcW w:w="1700" w:type="dxa"/>
            <w:vAlign w:val="bottom"/>
          </w:tcPr>
          <w:p>
            <w:pPr>
              <w:spacing w:after="0"/>
              <w:rPr>
                <w:sz w:val="17"/>
                <w:szCs w:val="17"/>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001641"/>
              </w:rPr>
              <w:t>$831.0</w:t>
            </w:r>
          </w:p>
        </w:tc>
        <w:tc>
          <w:tcPr>
            <w:tcW w:w="1720" w:type="dxa"/>
            <w:vAlign w:val="bottom"/>
          </w:tcPr>
          <w:p>
            <w:pPr>
              <w:jc w:val="right"/>
              <w:ind w:right="48"/>
              <w:spacing w:after="0"/>
              <w:rPr>
                <w:sz w:val="20"/>
                <w:szCs w:val="20"/>
                <w:color w:val="auto"/>
              </w:rPr>
            </w:pPr>
            <w:r>
              <w:rPr>
                <w:rFonts w:ascii="Arial" w:cs="Arial" w:eastAsia="Arial" w:hAnsi="Arial"/>
                <w:sz w:val="14"/>
                <w:szCs w:val="14"/>
                <w:color w:val="001641"/>
              </w:rPr>
              <w:t>13.4%</w:t>
            </w:r>
          </w:p>
        </w:tc>
      </w:tr>
      <w:tr>
        <w:trPr>
          <w:trHeight w:val="22"/>
        </w:trPr>
        <w:tc>
          <w:tcPr>
            <w:tcW w:w="4160" w:type="dxa"/>
            <w:vAlign w:val="bottom"/>
            <w:tcBorders>
              <w:bottom w:val="single" w:sz="8" w:color="BFA071"/>
            </w:tcBorders>
          </w:tcPr>
          <w:p>
            <w:pPr>
              <w:spacing w:after="0" w:line="20" w:lineRule="exact"/>
              <w:rPr>
                <w:sz w:val="1"/>
                <w:szCs w:val="1"/>
                <w:color w:val="auto"/>
              </w:rPr>
            </w:pPr>
          </w:p>
        </w:tc>
        <w:tc>
          <w:tcPr>
            <w:tcW w:w="1700" w:type="dxa"/>
            <w:vAlign w:val="bottom"/>
            <w:tcBorders>
              <w:bottom w:val="single" w:sz="8" w:color="BFA071"/>
            </w:tcBorders>
          </w:tcPr>
          <w:p>
            <w:pPr>
              <w:spacing w:after="0" w:line="20" w:lineRule="exact"/>
              <w:rPr>
                <w:sz w:val="1"/>
                <w:szCs w:val="1"/>
                <w:color w:val="auto"/>
              </w:rPr>
            </w:pPr>
          </w:p>
        </w:tc>
        <w:tc>
          <w:tcPr>
            <w:tcW w:w="1600" w:type="dxa"/>
            <w:vAlign w:val="bottom"/>
            <w:tcBorders>
              <w:bottom w:val="single" w:sz="8" w:color="BFA071"/>
            </w:tcBorders>
          </w:tcPr>
          <w:p>
            <w:pPr>
              <w:spacing w:after="0" w:line="20" w:lineRule="exact"/>
              <w:rPr>
                <w:sz w:val="1"/>
                <w:szCs w:val="1"/>
                <w:color w:val="auto"/>
              </w:rPr>
            </w:pPr>
          </w:p>
        </w:tc>
        <w:tc>
          <w:tcPr>
            <w:tcW w:w="1720" w:type="dxa"/>
            <w:vAlign w:val="bottom"/>
            <w:tcBorders>
              <w:bottom w:val="single" w:sz="8" w:color="BFA071"/>
            </w:tcBorders>
          </w:tcPr>
          <w:p>
            <w:pPr>
              <w:spacing w:after="0" w:line="20" w:lineRule="exact"/>
              <w:rPr>
                <w:sz w:val="1"/>
                <w:szCs w:val="1"/>
                <w:color w:val="auto"/>
              </w:rPr>
            </w:pPr>
          </w:p>
        </w:tc>
      </w:tr>
      <w:tr>
        <w:trPr>
          <w:trHeight w:val="202"/>
        </w:trPr>
        <w:tc>
          <w:tcPr>
            <w:tcW w:w="4160" w:type="dxa"/>
            <w:vAlign w:val="bottom"/>
          </w:tcPr>
          <w:p>
            <w:pPr>
              <w:ind w:left="140"/>
              <w:spacing w:after="0"/>
              <w:rPr>
                <w:sz w:val="20"/>
                <w:szCs w:val="20"/>
                <w:color w:val="auto"/>
              </w:rPr>
            </w:pPr>
            <w:r>
              <w:rPr>
                <w:rFonts w:ascii="Arial" w:cs="Arial" w:eastAsia="Arial" w:hAnsi="Arial"/>
                <w:sz w:val="14"/>
                <w:szCs w:val="14"/>
                <w:color w:val="001641"/>
              </w:rPr>
              <w:t>Foreign currency impact</w:t>
            </w:r>
          </w:p>
        </w:tc>
        <w:tc>
          <w:tcPr>
            <w:tcW w:w="1700" w:type="dxa"/>
            <w:vAlign w:val="bottom"/>
          </w:tcPr>
          <w:p>
            <w:pPr>
              <w:spacing w:after="0"/>
              <w:rPr>
                <w:sz w:val="17"/>
                <w:szCs w:val="17"/>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001641"/>
              </w:rPr>
              <w:t>13.2</w:t>
            </w:r>
          </w:p>
        </w:tc>
        <w:tc>
          <w:tcPr>
            <w:tcW w:w="1720" w:type="dxa"/>
            <w:vAlign w:val="bottom"/>
          </w:tcPr>
          <w:p>
            <w:pPr>
              <w:spacing w:after="0"/>
              <w:rPr>
                <w:sz w:val="17"/>
                <w:szCs w:val="17"/>
                <w:color w:val="auto"/>
              </w:rPr>
            </w:pPr>
          </w:p>
        </w:tc>
      </w:tr>
      <w:tr>
        <w:trPr>
          <w:trHeight w:val="22"/>
        </w:trPr>
        <w:tc>
          <w:tcPr>
            <w:tcW w:w="4160" w:type="dxa"/>
            <w:vAlign w:val="bottom"/>
            <w:tcBorders>
              <w:bottom w:val="single" w:sz="8" w:color="BFA071"/>
            </w:tcBorders>
          </w:tcPr>
          <w:p>
            <w:pPr>
              <w:spacing w:after="0" w:line="20" w:lineRule="exact"/>
              <w:rPr>
                <w:sz w:val="1"/>
                <w:szCs w:val="1"/>
                <w:color w:val="auto"/>
              </w:rPr>
            </w:pPr>
          </w:p>
        </w:tc>
        <w:tc>
          <w:tcPr>
            <w:tcW w:w="1700" w:type="dxa"/>
            <w:vAlign w:val="bottom"/>
            <w:tcBorders>
              <w:bottom w:val="single" w:sz="8" w:color="BFA071"/>
            </w:tcBorders>
          </w:tcPr>
          <w:p>
            <w:pPr>
              <w:spacing w:after="0" w:line="20" w:lineRule="exact"/>
              <w:rPr>
                <w:sz w:val="1"/>
                <w:szCs w:val="1"/>
                <w:color w:val="auto"/>
              </w:rPr>
            </w:pPr>
          </w:p>
        </w:tc>
        <w:tc>
          <w:tcPr>
            <w:tcW w:w="1600" w:type="dxa"/>
            <w:vAlign w:val="bottom"/>
            <w:tcBorders>
              <w:bottom w:val="single" w:sz="8" w:color="BFA071"/>
            </w:tcBorders>
          </w:tcPr>
          <w:p>
            <w:pPr>
              <w:spacing w:after="0" w:line="20" w:lineRule="exact"/>
              <w:rPr>
                <w:sz w:val="1"/>
                <w:szCs w:val="1"/>
                <w:color w:val="auto"/>
              </w:rPr>
            </w:pPr>
          </w:p>
        </w:tc>
        <w:tc>
          <w:tcPr>
            <w:tcW w:w="1720" w:type="dxa"/>
            <w:vAlign w:val="bottom"/>
            <w:tcBorders>
              <w:bottom w:val="single" w:sz="8" w:color="BFA071"/>
            </w:tcBorders>
          </w:tcPr>
          <w:p>
            <w:pPr>
              <w:spacing w:after="0" w:line="20" w:lineRule="exact"/>
              <w:rPr>
                <w:sz w:val="1"/>
                <w:szCs w:val="1"/>
                <w:color w:val="auto"/>
              </w:rPr>
            </w:pPr>
          </w:p>
        </w:tc>
      </w:tr>
      <w:tr>
        <w:trPr>
          <w:trHeight w:val="205"/>
        </w:trPr>
        <w:tc>
          <w:tcPr>
            <w:tcW w:w="4160" w:type="dxa"/>
            <w:vAlign w:val="bottom"/>
            <w:tcBorders>
              <w:bottom w:val="single" w:sz="8" w:color="001641"/>
            </w:tcBorders>
          </w:tcPr>
          <w:p>
            <w:pPr>
              <w:ind w:left="140"/>
              <w:spacing w:after="0"/>
              <w:rPr>
                <w:sz w:val="20"/>
                <w:szCs w:val="20"/>
                <w:color w:val="auto"/>
              </w:rPr>
            </w:pPr>
            <w:r>
              <w:rPr>
                <w:rFonts w:ascii="Arial" w:cs="Arial" w:eastAsia="Arial" w:hAnsi="Arial"/>
                <w:sz w:val="14"/>
                <w:szCs w:val="14"/>
                <w:color w:val="001641"/>
              </w:rPr>
              <w:t>As adjusted in constant currency</w:t>
            </w:r>
          </w:p>
        </w:tc>
        <w:tc>
          <w:tcPr>
            <w:tcW w:w="1700" w:type="dxa"/>
            <w:vAlign w:val="bottom"/>
            <w:tcBorders>
              <w:bottom w:val="single" w:sz="8" w:color="001641"/>
            </w:tcBorders>
          </w:tcPr>
          <w:p>
            <w:pPr>
              <w:spacing w:after="0"/>
              <w:rPr>
                <w:sz w:val="17"/>
                <w:szCs w:val="17"/>
                <w:color w:val="auto"/>
              </w:rPr>
            </w:pPr>
          </w:p>
        </w:tc>
        <w:tc>
          <w:tcPr>
            <w:tcW w:w="1600" w:type="dxa"/>
            <w:vAlign w:val="bottom"/>
            <w:tcBorders>
              <w:bottom w:val="single" w:sz="8" w:color="001641"/>
            </w:tcBorders>
          </w:tcPr>
          <w:p>
            <w:pPr>
              <w:jc w:val="right"/>
              <w:ind w:right="28"/>
              <w:spacing w:after="0"/>
              <w:rPr>
                <w:sz w:val="20"/>
                <w:szCs w:val="20"/>
                <w:color w:val="auto"/>
              </w:rPr>
            </w:pPr>
            <w:r>
              <w:rPr>
                <w:rFonts w:ascii="Arial" w:cs="Arial" w:eastAsia="Arial" w:hAnsi="Arial"/>
                <w:sz w:val="14"/>
                <w:szCs w:val="14"/>
                <w:color w:val="001641"/>
              </w:rPr>
              <w:t>$844.2</w:t>
            </w:r>
          </w:p>
        </w:tc>
        <w:tc>
          <w:tcPr>
            <w:tcW w:w="1720" w:type="dxa"/>
            <w:vAlign w:val="bottom"/>
            <w:tcBorders>
              <w:bottom w:val="single" w:sz="8" w:color="001641"/>
            </w:tcBorders>
          </w:tcPr>
          <w:p>
            <w:pPr>
              <w:jc w:val="right"/>
              <w:ind w:right="48"/>
              <w:spacing w:after="0"/>
              <w:rPr>
                <w:sz w:val="20"/>
                <w:szCs w:val="20"/>
                <w:color w:val="auto"/>
              </w:rPr>
            </w:pPr>
            <w:r>
              <w:rPr>
                <w:rFonts w:ascii="Arial" w:cs="Arial" w:eastAsia="Arial" w:hAnsi="Arial"/>
                <w:sz w:val="14"/>
                <w:szCs w:val="14"/>
                <w:color w:val="001641"/>
              </w:rPr>
              <w:t>13.5%</w:t>
            </w:r>
          </w:p>
        </w:tc>
      </w:tr>
      <w:tr>
        <w:trPr>
          <w:trHeight w:val="146"/>
        </w:trPr>
        <w:tc>
          <w:tcPr>
            <w:tcW w:w="4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95"/>
        </w:trPr>
        <w:tc>
          <w:tcPr>
            <w:tcW w:w="4160" w:type="dxa"/>
            <w:vAlign w:val="bottom"/>
            <w:shd w:val="clear" w:color="auto" w:fill="001641"/>
          </w:tcPr>
          <w:p>
            <w:pPr>
              <w:spacing w:after="0"/>
              <w:rPr>
                <w:sz w:val="24"/>
                <w:szCs w:val="24"/>
                <w:color w:val="auto"/>
              </w:rPr>
            </w:pPr>
          </w:p>
        </w:tc>
        <w:tc>
          <w:tcPr>
            <w:tcW w:w="1700" w:type="dxa"/>
            <w:vAlign w:val="bottom"/>
            <w:shd w:val="clear" w:color="auto" w:fill="001641"/>
          </w:tcPr>
          <w:p>
            <w:pPr>
              <w:spacing w:after="0"/>
              <w:rPr>
                <w:sz w:val="24"/>
                <w:szCs w:val="24"/>
                <w:color w:val="auto"/>
              </w:rPr>
            </w:pPr>
          </w:p>
        </w:tc>
        <w:tc>
          <w:tcPr>
            <w:tcW w:w="160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Fiscal Year Ended</w:t>
            </w:r>
          </w:p>
        </w:tc>
        <w:tc>
          <w:tcPr>
            <w:tcW w:w="1720" w:type="dxa"/>
            <w:vAlign w:val="bottom"/>
            <w:shd w:val="clear" w:color="auto" w:fill="001641"/>
          </w:tcPr>
          <w:p>
            <w:pPr>
              <w:spacing w:after="0"/>
              <w:rPr>
                <w:sz w:val="24"/>
                <w:szCs w:val="24"/>
                <w:color w:val="auto"/>
              </w:rPr>
            </w:pPr>
          </w:p>
        </w:tc>
      </w:tr>
      <w:tr>
        <w:trPr>
          <w:trHeight w:val="243"/>
        </w:trPr>
        <w:tc>
          <w:tcPr>
            <w:tcW w:w="4160" w:type="dxa"/>
            <w:vAlign w:val="bottom"/>
            <w:shd w:val="clear" w:color="auto" w:fill="001641"/>
          </w:tcPr>
          <w:p>
            <w:pPr>
              <w:spacing w:after="0"/>
              <w:rPr>
                <w:sz w:val="21"/>
                <w:szCs w:val="21"/>
                <w:color w:val="auto"/>
              </w:rPr>
            </w:pPr>
          </w:p>
        </w:tc>
        <w:tc>
          <w:tcPr>
            <w:tcW w:w="1700" w:type="dxa"/>
            <w:vAlign w:val="bottom"/>
            <w:shd w:val="clear" w:color="auto" w:fill="001641"/>
          </w:tcPr>
          <w:p>
            <w:pPr>
              <w:spacing w:after="0"/>
              <w:rPr>
                <w:sz w:val="21"/>
                <w:szCs w:val="21"/>
                <w:color w:val="auto"/>
              </w:rPr>
            </w:pPr>
          </w:p>
        </w:tc>
        <w:tc>
          <w:tcPr>
            <w:tcW w:w="160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March 28, 2026</w:t>
            </w:r>
          </w:p>
        </w:tc>
        <w:tc>
          <w:tcPr>
            <w:tcW w:w="1720" w:type="dxa"/>
            <w:vAlign w:val="bottom"/>
            <w:shd w:val="clear" w:color="auto" w:fill="001641"/>
          </w:tcPr>
          <w:p>
            <w:pPr>
              <w:spacing w:after="0"/>
              <w:rPr>
                <w:sz w:val="21"/>
                <w:szCs w:val="21"/>
                <w:color w:val="auto"/>
              </w:rPr>
            </w:pPr>
          </w:p>
        </w:tc>
      </w:tr>
      <w:tr>
        <w:trPr>
          <w:trHeight w:val="209"/>
        </w:trPr>
        <w:tc>
          <w:tcPr>
            <w:tcW w:w="4160" w:type="dxa"/>
            <w:vAlign w:val="bottom"/>
            <w:shd w:val="clear" w:color="auto" w:fill="001641"/>
          </w:tcPr>
          <w:p>
            <w:pPr>
              <w:spacing w:after="0"/>
              <w:rPr>
                <w:sz w:val="18"/>
                <w:szCs w:val="18"/>
                <w:color w:val="auto"/>
              </w:rPr>
            </w:pPr>
          </w:p>
        </w:tc>
        <w:tc>
          <w:tcPr>
            <w:tcW w:w="1700" w:type="dxa"/>
            <w:vAlign w:val="bottom"/>
            <w:shd w:val="clear" w:color="auto" w:fill="001641"/>
          </w:tcPr>
          <w:p>
            <w:pPr>
              <w:spacing w:after="0"/>
              <w:rPr>
                <w:sz w:val="18"/>
                <w:szCs w:val="18"/>
                <w:color w:val="auto"/>
              </w:rPr>
            </w:pPr>
          </w:p>
        </w:tc>
        <w:tc>
          <w:tcPr>
            <w:tcW w:w="160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Foreign</w:t>
            </w:r>
          </w:p>
        </w:tc>
        <w:tc>
          <w:tcPr>
            <w:tcW w:w="1720" w:type="dxa"/>
            <w:vAlign w:val="bottom"/>
            <w:shd w:val="clear" w:color="auto" w:fill="001641"/>
          </w:tcPr>
          <w:p>
            <w:pPr>
              <w:spacing w:after="0"/>
              <w:rPr>
                <w:sz w:val="18"/>
                <w:szCs w:val="18"/>
                <w:color w:val="auto"/>
              </w:rPr>
            </w:pPr>
          </w:p>
        </w:tc>
      </w:tr>
      <w:tr>
        <w:trPr>
          <w:trHeight w:val="162"/>
        </w:trPr>
        <w:tc>
          <w:tcPr>
            <w:tcW w:w="4160" w:type="dxa"/>
            <w:vAlign w:val="bottom"/>
            <w:shd w:val="clear" w:color="auto" w:fill="001641"/>
          </w:tcPr>
          <w:p>
            <w:pPr>
              <w:spacing w:after="0"/>
              <w:rPr>
                <w:sz w:val="14"/>
                <w:szCs w:val="14"/>
                <w:color w:val="auto"/>
              </w:rPr>
            </w:pPr>
          </w:p>
        </w:tc>
        <w:tc>
          <w:tcPr>
            <w:tcW w:w="1700" w:type="dxa"/>
            <w:vAlign w:val="bottom"/>
            <w:shd w:val="clear" w:color="auto" w:fill="001641"/>
          </w:tcPr>
          <w:p>
            <w:pPr>
              <w:jc w:val="right"/>
              <w:ind w:right="408"/>
              <w:spacing w:after="0"/>
              <w:rPr>
                <w:sz w:val="20"/>
                <w:szCs w:val="20"/>
                <w:color w:val="auto"/>
              </w:rPr>
            </w:pPr>
            <w:r>
              <w:rPr>
                <w:rFonts w:ascii="Arial" w:cs="Arial" w:eastAsia="Arial" w:hAnsi="Arial"/>
                <w:sz w:val="14"/>
                <w:szCs w:val="14"/>
                <w:b w:val="1"/>
                <w:bCs w:val="1"/>
                <w:color w:val="FFFFFF"/>
              </w:rPr>
              <w:t>Reported $</w:t>
            </w:r>
          </w:p>
        </w:tc>
        <w:tc>
          <w:tcPr>
            <w:tcW w:w="160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Currency</w:t>
            </w:r>
          </w:p>
        </w:tc>
        <w:tc>
          <w:tcPr>
            <w:tcW w:w="172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Constant $</w:t>
            </w:r>
          </w:p>
        </w:tc>
      </w:tr>
      <w:tr>
        <w:trPr>
          <w:trHeight w:val="196"/>
        </w:trPr>
        <w:tc>
          <w:tcPr>
            <w:tcW w:w="4160" w:type="dxa"/>
            <w:vAlign w:val="bottom"/>
            <w:shd w:val="clear" w:color="auto" w:fill="001641"/>
          </w:tcPr>
          <w:p>
            <w:pPr>
              <w:spacing w:after="0"/>
              <w:rPr>
                <w:sz w:val="17"/>
                <w:szCs w:val="17"/>
                <w:color w:val="auto"/>
              </w:rPr>
            </w:pPr>
          </w:p>
        </w:tc>
        <w:tc>
          <w:tcPr>
            <w:tcW w:w="1700" w:type="dxa"/>
            <w:vAlign w:val="bottom"/>
            <w:shd w:val="clear" w:color="auto" w:fill="001641"/>
          </w:tcPr>
          <w:p>
            <w:pPr>
              <w:jc w:val="right"/>
              <w:ind w:right="588"/>
              <w:spacing w:after="0"/>
              <w:rPr>
                <w:sz w:val="20"/>
                <w:szCs w:val="20"/>
                <w:color w:val="auto"/>
              </w:rPr>
            </w:pPr>
            <w:r>
              <w:rPr>
                <w:rFonts w:ascii="Arial" w:cs="Arial" w:eastAsia="Arial" w:hAnsi="Arial"/>
                <w:sz w:val="14"/>
                <w:szCs w:val="14"/>
                <w:b w:val="1"/>
                <w:bCs w:val="1"/>
                <w:color w:val="FFFFFF"/>
              </w:rPr>
              <w:t>Basis</w:t>
            </w:r>
          </w:p>
        </w:tc>
        <w:tc>
          <w:tcPr>
            <w:tcW w:w="160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Impact</w:t>
            </w:r>
          </w:p>
        </w:tc>
        <w:tc>
          <w:tcPr>
            <w:tcW w:w="172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Basis</w:t>
            </w:r>
          </w:p>
        </w:tc>
      </w:tr>
      <w:tr>
        <w:trPr>
          <w:trHeight w:val="259"/>
        </w:trPr>
        <w:tc>
          <w:tcPr>
            <w:tcW w:w="4160" w:type="dxa"/>
            <w:vAlign w:val="bottom"/>
            <w:shd w:val="clear" w:color="auto" w:fill="001641"/>
          </w:tcPr>
          <w:p>
            <w:pPr>
              <w:ind w:left="140"/>
              <w:spacing w:after="0"/>
              <w:rPr>
                <w:sz w:val="20"/>
                <w:szCs w:val="20"/>
                <w:color w:val="auto"/>
              </w:rPr>
            </w:pPr>
            <w:r>
              <w:rPr>
                <w:rFonts w:ascii="Arial" w:cs="Arial" w:eastAsia="Arial" w:hAnsi="Arial"/>
                <w:sz w:val="14"/>
                <w:szCs w:val="14"/>
                <w:b w:val="1"/>
                <w:bCs w:val="1"/>
                <w:color w:val="FFFFFF"/>
              </w:rPr>
              <w:t>Net Revenues by Segment</w:t>
            </w:r>
          </w:p>
        </w:tc>
        <w:tc>
          <w:tcPr>
            <w:tcW w:w="1700" w:type="dxa"/>
            <w:vAlign w:val="bottom"/>
            <w:shd w:val="clear" w:color="auto" w:fill="001641"/>
          </w:tcPr>
          <w:p>
            <w:pPr>
              <w:spacing w:after="0"/>
              <w:rPr>
                <w:sz w:val="22"/>
                <w:szCs w:val="22"/>
                <w:color w:val="auto"/>
              </w:rPr>
            </w:pPr>
          </w:p>
        </w:tc>
        <w:tc>
          <w:tcPr>
            <w:tcW w:w="1600" w:type="dxa"/>
            <w:vAlign w:val="bottom"/>
            <w:shd w:val="clear" w:color="auto" w:fill="001641"/>
          </w:tcPr>
          <w:p>
            <w:pPr>
              <w:jc w:val="center"/>
              <w:spacing w:after="0"/>
              <w:rPr>
                <w:sz w:val="20"/>
                <w:szCs w:val="20"/>
                <w:color w:val="auto"/>
              </w:rPr>
            </w:pPr>
            <w:r>
              <w:rPr>
                <w:rFonts w:ascii="Arial" w:cs="Arial" w:eastAsia="Arial" w:hAnsi="Arial"/>
                <w:sz w:val="14"/>
                <w:szCs w:val="14"/>
                <w:b w:val="1"/>
                <w:bCs w:val="1"/>
                <w:color w:val="FFFFFF"/>
              </w:rPr>
              <w:t>(millions)</w:t>
            </w:r>
          </w:p>
        </w:tc>
        <w:tc>
          <w:tcPr>
            <w:tcW w:w="1720" w:type="dxa"/>
            <w:vAlign w:val="bottom"/>
            <w:shd w:val="clear" w:color="auto" w:fill="001641"/>
          </w:tcPr>
          <w:p>
            <w:pPr>
              <w:spacing w:after="0"/>
              <w:rPr>
                <w:sz w:val="22"/>
                <w:szCs w:val="22"/>
                <w:color w:val="auto"/>
              </w:rPr>
            </w:pPr>
          </w:p>
        </w:tc>
      </w:tr>
      <w:tr>
        <w:trPr>
          <w:trHeight w:val="221"/>
        </w:trPr>
        <w:tc>
          <w:tcPr>
            <w:tcW w:w="4160" w:type="dxa"/>
            <w:vAlign w:val="bottom"/>
          </w:tcPr>
          <w:p>
            <w:pPr>
              <w:ind w:left="140"/>
              <w:spacing w:after="0"/>
              <w:rPr>
                <w:sz w:val="20"/>
                <w:szCs w:val="20"/>
                <w:color w:val="auto"/>
              </w:rPr>
            </w:pPr>
            <w:r>
              <w:rPr>
                <w:rFonts w:ascii="Arial" w:cs="Arial" w:eastAsia="Arial" w:hAnsi="Arial"/>
                <w:sz w:val="14"/>
                <w:szCs w:val="14"/>
                <w:color w:val="001641"/>
              </w:rPr>
              <w:t>North America</w:t>
            </w:r>
          </w:p>
        </w:tc>
        <w:tc>
          <w:tcPr>
            <w:tcW w:w="1700" w:type="dxa"/>
            <w:vAlign w:val="bottom"/>
          </w:tcPr>
          <w:p>
            <w:pPr>
              <w:jc w:val="right"/>
              <w:ind w:right="28"/>
              <w:spacing w:after="0"/>
              <w:rPr>
                <w:sz w:val="20"/>
                <w:szCs w:val="20"/>
                <w:color w:val="auto"/>
              </w:rPr>
            </w:pPr>
            <w:r>
              <w:rPr>
                <w:rFonts w:ascii="Arial" w:cs="Arial" w:eastAsia="Arial" w:hAnsi="Arial"/>
                <w:sz w:val="14"/>
                <w:szCs w:val="14"/>
                <w:color w:val="001641"/>
              </w:rPr>
              <w:t>$3,329.6</w:t>
            </w:r>
          </w:p>
        </w:tc>
        <w:tc>
          <w:tcPr>
            <w:tcW w:w="1600" w:type="dxa"/>
            <w:vAlign w:val="bottom"/>
          </w:tcPr>
          <w:p>
            <w:pPr>
              <w:jc w:val="right"/>
              <w:spacing w:after="0"/>
              <w:rPr>
                <w:sz w:val="20"/>
                <w:szCs w:val="20"/>
                <w:color w:val="auto"/>
              </w:rPr>
            </w:pPr>
            <w:r>
              <w:rPr>
                <w:rFonts w:ascii="Arial" w:cs="Arial" w:eastAsia="Arial" w:hAnsi="Arial"/>
                <w:sz w:val="14"/>
                <w:szCs w:val="14"/>
                <w:color w:val="001641"/>
              </w:rPr>
              <w:t>$  (1.9)</w:t>
            </w:r>
          </w:p>
        </w:tc>
        <w:tc>
          <w:tcPr>
            <w:tcW w:w="1720" w:type="dxa"/>
            <w:vAlign w:val="bottom"/>
          </w:tcPr>
          <w:p>
            <w:pPr>
              <w:jc w:val="right"/>
              <w:ind w:right="48"/>
              <w:spacing w:after="0"/>
              <w:rPr>
                <w:sz w:val="20"/>
                <w:szCs w:val="20"/>
                <w:color w:val="auto"/>
              </w:rPr>
            </w:pPr>
            <w:r>
              <w:rPr>
                <w:rFonts w:ascii="Arial" w:cs="Arial" w:eastAsia="Arial" w:hAnsi="Arial"/>
                <w:sz w:val="14"/>
                <w:szCs w:val="14"/>
                <w:color w:val="001641"/>
              </w:rPr>
              <w:t>$3,327.7</w:t>
            </w:r>
          </w:p>
        </w:tc>
      </w:tr>
      <w:tr>
        <w:trPr>
          <w:trHeight w:val="22"/>
        </w:trPr>
        <w:tc>
          <w:tcPr>
            <w:tcW w:w="4160" w:type="dxa"/>
            <w:vAlign w:val="bottom"/>
            <w:tcBorders>
              <w:bottom w:val="single" w:sz="8" w:color="BFA071"/>
            </w:tcBorders>
          </w:tcPr>
          <w:p>
            <w:pPr>
              <w:spacing w:after="0" w:line="20" w:lineRule="exact"/>
              <w:rPr>
                <w:sz w:val="1"/>
                <w:szCs w:val="1"/>
                <w:color w:val="auto"/>
              </w:rPr>
            </w:pPr>
          </w:p>
        </w:tc>
        <w:tc>
          <w:tcPr>
            <w:tcW w:w="1700" w:type="dxa"/>
            <w:vAlign w:val="bottom"/>
            <w:tcBorders>
              <w:bottom w:val="single" w:sz="8" w:color="BFA071"/>
            </w:tcBorders>
          </w:tcPr>
          <w:p>
            <w:pPr>
              <w:spacing w:after="0" w:line="20" w:lineRule="exact"/>
              <w:rPr>
                <w:sz w:val="1"/>
                <w:szCs w:val="1"/>
                <w:color w:val="auto"/>
              </w:rPr>
            </w:pPr>
          </w:p>
        </w:tc>
        <w:tc>
          <w:tcPr>
            <w:tcW w:w="1600" w:type="dxa"/>
            <w:vAlign w:val="bottom"/>
            <w:tcBorders>
              <w:bottom w:val="single" w:sz="8" w:color="BFA071"/>
            </w:tcBorders>
          </w:tcPr>
          <w:p>
            <w:pPr>
              <w:spacing w:after="0" w:line="20" w:lineRule="exact"/>
              <w:rPr>
                <w:sz w:val="1"/>
                <w:szCs w:val="1"/>
                <w:color w:val="auto"/>
              </w:rPr>
            </w:pPr>
          </w:p>
        </w:tc>
        <w:tc>
          <w:tcPr>
            <w:tcW w:w="1720" w:type="dxa"/>
            <w:vAlign w:val="bottom"/>
            <w:tcBorders>
              <w:bottom w:val="single" w:sz="8" w:color="BFA071"/>
            </w:tcBorders>
          </w:tcPr>
          <w:p>
            <w:pPr>
              <w:spacing w:after="0" w:line="20" w:lineRule="exact"/>
              <w:rPr>
                <w:sz w:val="1"/>
                <w:szCs w:val="1"/>
                <w:color w:val="auto"/>
              </w:rPr>
            </w:pPr>
          </w:p>
        </w:tc>
      </w:tr>
      <w:tr>
        <w:trPr>
          <w:trHeight w:val="201"/>
        </w:trPr>
        <w:tc>
          <w:tcPr>
            <w:tcW w:w="4160" w:type="dxa"/>
            <w:vAlign w:val="bottom"/>
          </w:tcPr>
          <w:p>
            <w:pPr>
              <w:ind w:left="140"/>
              <w:spacing w:after="0"/>
              <w:rPr>
                <w:sz w:val="20"/>
                <w:szCs w:val="20"/>
                <w:color w:val="auto"/>
              </w:rPr>
            </w:pPr>
            <w:r>
              <w:rPr>
                <w:rFonts w:ascii="Arial" w:cs="Arial" w:eastAsia="Arial" w:hAnsi="Arial"/>
                <w:sz w:val="14"/>
                <w:szCs w:val="14"/>
                <w:color w:val="001641"/>
              </w:rPr>
              <w:t>Europe</w:t>
            </w:r>
          </w:p>
        </w:tc>
        <w:tc>
          <w:tcPr>
            <w:tcW w:w="1700" w:type="dxa"/>
            <w:vAlign w:val="bottom"/>
          </w:tcPr>
          <w:p>
            <w:pPr>
              <w:jc w:val="right"/>
              <w:ind w:right="28"/>
              <w:spacing w:after="0"/>
              <w:rPr>
                <w:sz w:val="20"/>
                <w:szCs w:val="20"/>
                <w:color w:val="auto"/>
              </w:rPr>
            </w:pPr>
            <w:r>
              <w:rPr>
                <w:rFonts w:ascii="Arial" w:cs="Arial" w:eastAsia="Arial" w:hAnsi="Arial"/>
                <w:sz w:val="14"/>
                <w:szCs w:val="14"/>
                <w:color w:val="001641"/>
              </w:rPr>
              <w:t>2,538.9</w:t>
            </w:r>
          </w:p>
        </w:tc>
        <w:tc>
          <w:tcPr>
            <w:tcW w:w="1600" w:type="dxa"/>
            <w:vAlign w:val="bottom"/>
          </w:tcPr>
          <w:p>
            <w:pPr>
              <w:jc w:val="right"/>
              <w:spacing w:after="0"/>
              <w:rPr>
                <w:sz w:val="20"/>
                <w:szCs w:val="20"/>
                <w:color w:val="auto"/>
              </w:rPr>
            </w:pPr>
            <w:r>
              <w:rPr>
                <w:rFonts w:ascii="Arial" w:cs="Arial" w:eastAsia="Arial" w:hAnsi="Arial"/>
                <w:sz w:val="14"/>
                <w:szCs w:val="14"/>
                <w:color w:val="001641"/>
              </w:rPr>
              <w:t>(173.8)</w:t>
            </w:r>
          </w:p>
        </w:tc>
        <w:tc>
          <w:tcPr>
            <w:tcW w:w="1720" w:type="dxa"/>
            <w:vAlign w:val="bottom"/>
          </w:tcPr>
          <w:p>
            <w:pPr>
              <w:jc w:val="right"/>
              <w:ind w:right="48"/>
              <w:spacing w:after="0"/>
              <w:rPr>
                <w:sz w:val="20"/>
                <w:szCs w:val="20"/>
                <w:color w:val="auto"/>
              </w:rPr>
            </w:pPr>
            <w:r>
              <w:rPr>
                <w:rFonts w:ascii="Arial" w:cs="Arial" w:eastAsia="Arial" w:hAnsi="Arial"/>
                <w:sz w:val="14"/>
                <w:szCs w:val="14"/>
                <w:color w:val="001641"/>
              </w:rPr>
              <w:t>2,365.1</w:t>
            </w:r>
          </w:p>
        </w:tc>
      </w:tr>
      <w:tr>
        <w:trPr>
          <w:trHeight w:val="22"/>
        </w:trPr>
        <w:tc>
          <w:tcPr>
            <w:tcW w:w="4160" w:type="dxa"/>
            <w:vAlign w:val="bottom"/>
            <w:tcBorders>
              <w:bottom w:val="single" w:sz="8" w:color="BFA071"/>
            </w:tcBorders>
          </w:tcPr>
          <w:p>
            <w:pPr>
              <w:spacing w:after="0" w:line="20" w:lineRule="exact"/>
              <w:rPr>
                <w:sz w:val="1"/>
                <w:szCs w:val="1"/>
                <w:color w:val="auto"/>
              </w:rPr>
            </w:pPr>
          </w:p>
        </w:tc>
        <w:tc>
          <w:tcPr>
            <w:tcW w:w="1700" w:type="dxa"/>
            <w:vAlign w:val="bottom"/>
            <w:tcBorders>
              <w:bottom w:val="single" w:sz="8" w:color="BFA071"/>
            </w:tcBorders>
          </w:tcPr>
          <w:p>
            <w:pPr>
              <w:spacing w:after="0" w:line="20" w:lineRule="exact"/>
              <w:rPr>
                <w:sz w:val="1"/>
                <w:szCs w:val="1"/>
                <w:color w:val="auto"/>
              </w:rPr>
            </w:pPr>
          </w:p>
        </w:tc>
        <w:tc>
          <w:tcPr>
            <w:tcW w:w="1600" w:type="dxa"/>
            <w:vAlign w:val="bottom"/>
            <w:tcBorders>
              <w:bottom w:val="single" w:sz="8" w:color="BFA071"/>
            </w:tcBorders>
          </w:tcPr>
          <w:p>
            <w:pPr>
              <w:spacing w:after="0" w:line="20" w:lineRule="exact"/>
              <w:rPr>
                <w:sz w:val="1"/>
                <w:szCs w:val="1"/>
                <w:color w:val="auto"/>
              </w:rPr>
            </w:pPr>
          </w:p>
        </w:tc>
        <w:tc>
          <w:tcPr>
            <w:tcW w:w="1720" w:type="dxa"/>
            <w:vAlign w:val="bottom"/>
            <w:tcBorders>
              <w:bottom w:val="single" w:sz="8" w:color="BFA071"/>
            </w:tcBorders>
          </w:tcPr>
          <w:p>
            <w:pPr>
              <w:spacing w:after="0" w:line="20" w:lineRule="exact"/>
              <w:rPr>
                <w:sz w:val="1"/>
                <w:szCs w:val="1"/>
                <w:color w:val="auto"/>
              </w:rPr>
            </w:pPr>
          </w:p>
        </w:tc>
      </w:tr>
      <w:tr>
        <w:trPr>
          <w:trHeight w:val="201"/>
        </w:trPr>
        <w:tc>
          <w:tcPr>
            <w:tcW w:w="4160" w:type="dxa"/>
            <w:vAlign w:val="bottom"/>
          </w:tcPr>
          <w:p>
            <w:pPr>
              <w:ind w:left="140"/>
              <w:spacing w:after="0"/>
              <w:rPr>
                <w:sz w:val="20"/>
                <w:szCs w:val="20"/>
                <w:color w:val="auto"/>
              </w:rPr>
            </w:pPr>
            <w:r>
              <w:rPr>
                <w:rFonts w:ascii="Arial" w:cs="Arial" w:eastAsia="Arial" w:hAnsi="Arial"/>
                <w:sz w:val="14"/>
                <w:szCs w:val="14"/>
                <w:color w:val="001641"/>
              </w:rPr>
              <w:t>Asia</w:t>
            </w:r>
          </w:p>
        </w:tc>
        <w:tc>
          <w:tcPr>
            <w:tcW w:w="1700" w:type="dxa"/>
            <w:vAlign w:val="bottom"/>
          </w:tcPr>
          <w:p>
            <w:pPr>
              <w:jc w:val="right"/>
              <w:ind w:right="28"/>
              <w:spacing w:after="0"/>
              <w:rPr>
                <w:sz w:val="20"/>
                <w:szCs w:val="20"/>
                <w:color w:val="auto"/>
              </w:rPr>
            </w:pPr>
            <w:r>
              <w:rPr>
                <w:rFonts w:ascii="Arial" w:cs="Arial" w:eastAsia="Arial" w:hAnsi="Arial"/>
                <w:sz w:val="14"/>
                <w:szCs w:val="14"/>
                <w:color w:val="001641"/>
              </w:rPr>
              <w:t>2,103.5</w:t>
            </w:r>
          </w:p>
        </w:tc>
        <w:tc>
          <w:tcPr>
            <w:tcW w:w="1600" w:type="dxa"/>
            <w:vAlign w:val="bottom"/>
          </w:tcPr>
          <w:p>
            <w:pPr>
              <w:jc w:val="right"/>
              <w:spacing w:after="0"/>
              <w:rPr>
                <w:sz w:val="20"/>
                <w:szCs w:val="20"/>
                <w:color w:val="auto"/>
              </w:rPr>
            </w:pPr>
            <w:r>
              <w:rPr>
                <w:rFonts w:ascii="Arial" w:cs="Arial" w:eastAsia="Arial" w:hAnsi="Arial"/>
                <w:sz w:val="14"/>
                <w:szCs w:val="14"/>
                <w:color w:val="001641"/>
              </w:rPr>
              <w:t>(26.1)</w:t>
            </w:r>
          </w:p>
        </w:tc>
        <w:tc>
          <w:tcPr>
            <w:tcW w:w="1720" w:type="dxa"/>
            <w:vAlign w:val="bottom"/>
          </w:tcPr>
          <w:p>
            <w:pPr>
              <w:jc w:val="right"/>
              <w:ind w:right="48"/>
              <w:spacing w:after="0"/>
              <w:rPr>
                <w:sz w:val="20"/>
                <w:szCs w:val="20"/>
                <w:color w:val="auto"/>
              </w:rPr>
            </w:pPr>
            <w:r>
              <w:rPr>
                <w:rFonts w:ascii="Arial" w:cs="Arial" w:eastAsia="Arial" w:hAnsi="Arial"/>
                <w:sz w:val="14"/>
                <w:szCs w:val="14"/>
                <w:color w:val="001641"/>
              </w:rPr>
              <w:t>2,077.4</w:t>
            </w:r>
          </w:p>
        </w:tc>
      </w:tr>
      <w:tr>
        <w:trPr>
          <w:trHeight w:val="22"/>
        </w:trPr>
        <w:tc>
          <w:tcPr>
            <w:tcW w:w="4160" w:type="dxa"/>
            <w:vAlign w:val="bottom"/>
            <w:tcBorders>
              <w:bottom w:val="single" w:sz="8" w:color="BFA071"/>
            </w:tcBorders>
          </w:tcPr>
          <w:p>
            <w:pPr>
              <w:spacing w:after="0" w:line="20" w:lineRule="exact"/>
              <w:rPr>
                <w:sz w:val="1"/>
                <w:szCs w:val="1"/>
                <w:color w:val="auto"/>
              </w:rPr>
            </w:pPr>
          </w:p>
        </w:tc>
        <w:tc>
          <w:tcPr>
            <w:tcW w:w="1700" w:type="dxa"/>
            <w:vAlign w:val="bottom"/>
            <w:tcBorders>
              <w:bottom w:val="single" w:sz="8" w:color="BFA071"/>
            </w:tcBorders>
          </w:tcPr>
          <w:p>
            <w:pPr>
              <w:spacing w:after="0" w:line="20" w:lineRule="exact"/>
              <w:rPr>
                <w:sz w:val="1"/>
                <w:szCs w:val="1"/>
                <w:color w:val="auto"/>
              </w:rPr>
            </w:pPr>
          </w:p>
        </w:tc>
        <w:tc>
          <w:tcPr>
            <w:tcW w:w="1600" w:type="dxa"/>
            <w:vAlign w:val="bottom"/>
            <w:tcBorders>
              <w:bottom w:val="single" w:sz="8" w:color="BFA071"/>
            </w:tcBorders>
          </w:tcPr>
          <w:p>
            <w:pPr>
              <w:spacing w:after="0" w:line="20" w:lineRule="exact"/>
              <w:rPr>
                <w:sz w:val="1"/>
                <w:szCs w:val="1"/>
                <w:color w:val="auto"/>
              </w:rPr>
            </w:pPr>
          </w:p>
        </w:tc>
        <w:tc>
          <w:tcPr>
            <w:tcW w:w="1720" w:type="dxa"/>
            <w:vAlign w:val="bottom"/>
            <w:tcBorders>
              <w:bottom w:val="single" w:sz="8" w:color="BFA071"/>
            </w:tcBorders>
          </w:tcPr>
          <w:p>
            <w:pPr>
              <w:spacing w:after="0" w:line="20" w:lineRule="exact"/>
              <w:rPr>
                <w:sz w:val="1"/>
                <w:szCs w:val="1"/>
                <w:color w:val="auto"/>
              </w:rPr>
            </w:pPr>
          </w:p>
        </w:tc>
      </w:tr>
      <w:tr>
        <w:trPr>
          <w:trHeight w:val="201"/>
        </w:trPr>
        <w:tc>
          <w:tcPr>
            <w:tcW w:w="4160" w:type="dxa"/>
            <w:vAlign w:val="bottom"/>
          </w:tcPr>
          <w:p>
            <w:pPr>
              <w:ind w:left="140"/>
              <w:spacing w:after="0"/>
              <w:rPr>
                <w:sz w:val="20"/>
                <w:szCs w:val="20"/>
                <w:color w:val="auto"/>
              </w:rPr>
            </w:pPr>
            <w:r>
              <w:rPr>
                <w:rFonts w:ascii="Arial" w:cs="Arial" w:eastAsia="Arial" w:hAnsi="Arial"/>
                <w:sz w:val="14"/>
                <w:szCs w:val="14"/>
                <w:color w:val="001641"/>
              </w:rPr>
              <w:t>Other non-reportable segments</w:t>
            </w:r>
          </w:p>
        </w:tc>
        <w:tc>
          <w:tcPr>
            <w:tcW w:w="1700" w:type="dxa"/>
            <w:vAlign w:val="bottom"/>
          </w:tcPr>
          <w:p>
            <w:pPr>
              <w:jc w:val="right"/>
              <w:ind w:right="28"/>
              <w:spacing w:after="0"/>
              <w:rPr>
                <w:sz w:val="20"/>
                <w:szCs w:val="20"/>
                <w:color w:val="auto"/>
              </w:rPr>
            </w:pPr>
            <w:r>
              <w:rPr>
                <w:rFonts w:ascii="Arial" w:cs="Arial" w:eastAsia="Arial" w:hAnsi="Arial"/>
                <w:sz w:val="14"/>
                <w:szCs w:val="14"/>
                <w:color w:val="001641"/>
              </w:rPr>
              <w:t>142.5</w:t>
            </w:r>
          </w:p>
        </w:tc>
        <w:tc>
          <w:tcPr>
            <w:tcW w:w="1600" w:type="dxa"/>
            <w:vAlign w:val="bottom"/>
          </w:tcPr>
          <w:p>
            <w:pPr>
              <w:jc w:val="right"/>
              <w:spacing w:after="0"/>
              <w:rPr>
                <w:sz w:val="20"/>
                <w:szCs w:val="20"/>
                <w:color w:val="auto"/>
              </w:rPr>
            </w:pPr>
            <w:r>
              <w:rPr>
                <w:rFonts w:ascii="Arial" w:cs="Arial" w:eastAsia="Arial" w:hAnsi="Arial"/>
                <w:sz w:val="14"/>
                <w:szCs w:val="14"/>
                <w:color w:val="001641"/>
              </w:rPr>
              <w:t>(0.1)</w:t>
            </w:r>
          </w:p>
        </w:tc>
        <w:tc>
          <w:tcPr>
            <w:tcW w:w="1720" w:type="dxa"/>
            <w:vAlign w:val="bottom"/>
          </w:tcPr>
          <w:p>
            <w:pPr>
              <w:jc w:val="right"/>
              <w:ind w:right="48"/>
              <w:spacing w:after="0"/>
              <w:rPr>
                <w:sz w:val="20"/>
                <w:szCs w:val="20"/>
                <w:color w:val="auto"/>
              </w:rPr>
            </w:pPr>
            <w:r>
              <w:rPr>
                <w:rFonts w:ascii="Arial" w:cs="Arial" w:eastAsia="Arial" w:hAnsi="Arial"/>
                <w:sz w:val="14"/>
                <w:szCs w:val="14"/>
                <w:color w:val="001641"/>
              </w:rPr>
              <w:t>142.4</w:t>
            </w:r>
          </w:p>
        </w:tc>
      </w:tr>
      <w:tr>
        <w:trPr>
          <w:trHeight w:val="22"/>
        </w:trPr>
        <w:tc>
          <w:tcPr>
            <w:tcW w:w="4160" w:type="dxa"/>
            <w:vAlign w:val="bottom"/>
            <w:tcBorders>
              <w:bottom w:val="single" w:sz="8" w:color="BFA071"/>
            </w:tcBorders>
          </w:tcPr>
          <w:p>
            <w:pPr>
              <w:spacing w:after="0" w:line="20" w:lineRule="exact"/>
              <w:rPr>
                <w:sz w:val="1"/>
                <w:szCs w:val="1"/>
                <w:color w:val="auto"/>
              </w:rPr>
            </w:pPr>
          </w:p>
        </w:tc>
        <w:tc>
          <w:tcPr>
            <w:tcW w:w="1700" w:type="dxa"/>
            <w:vAlign w:val="bottom"/>
            <w:tcBorders>
              <w:bottom w:val="single" w:sz="8" w:color="BFA071"/>
            </w:tcBorders>
          </w:tcPr>
          <w:p>
            <w:pPr>
              <w:spacing w:after="0" w:line="20" w:lineRule="exact"/>
              <w:rPr>
                <w:sz w:val="1"/>
                <w:szCs w:val="1"/>
                <w:color w:val="auto"/>
              </w:rPr>
            </w:pPr>
          </w:p>
        </w:tc>
        <w:tc>
          <w:tcPr>
            <w:tcW w:w="1600" w:type="dxa"/>
            <w:vAlign w:val="bottom"/>
            <w:tcBorders>
              <w:bottom w:val="single" w:sz="8" w:color="BFA071"/>
            </w:tcBorders>
          </w:tcPr>
          <w:p>
            <w:pPr>
              <w:spacing w:after="0" w:line="20" w:lineRule="exact"/>
              <w:rPr>
                <w:sz w:val="1"/>
                <w:szCs w:val="1"/>
                <w:color w:val="auto"/>
              </w:rPr>
            </w:pPr>
          </w:p>
        </w:tc>
        <w:tc>
          <w:tcPr>
            <w:tcW w:w="1720" w:type="dxa"/>
            <w:vAlign w:val="bottom"/>
            <w:tcBorders>
              <w:bottom w:val="single" w:sz="8" w:color="BFA071"/>
            </w:tcBorders>
          </w:tcPr>
          <w:p>
            <w:pPr>
              <w:spacing w:after="0" w:line="20" w:lineRule="exact"/>
              <w:rPr>
                <w:sz w:val="1"/>
                <w:szCs w:val="1"/>
                <w:color w:val="auto"/>
              </w:rPr>
            </w:pPr>
          </w:p>
        </w:tc>
      </w:tr>
      <w:tr>
        <w:trPr>
          <w:trHeight w:val="205"/>
        </w:trPr>
        <w:tc>
          <w:tcPr>
            <w:tcW w:w="4160" w:type="dxa"/>
            <w:vAlign w:val="bottom"/>
            <w:tcBorders>
              <w:bottom w:val="single" w:sz="8" w:color="001641"/>
            </w:tcBorders>
          </w:tcPr>
          <w:p>
            <w:pPr>
              <w:ind w:left="140"/>
              <w:spacing w:after="0"/>
              <w:rPr>
                <w:sz w:val="20"/>
                <w:szCs w:val="20"/>
                <w:color w:val="auto"/>
              </w:rPr>
            </w:pPr>
            <w:r>
              <w:rPr>
                <w:rFonts w:ascii="Arial" w:cs="Arial" w:eastAsia="Arial" w:hAnsi="Arial"/>
                <w:sz w:val="14"/>
                <w:szCs w:val="14"/>
                <w:color w:val="001641"/>
              </w:rPr>
              <w:t>Total revenue</w:t>
            </w:r>
          </w:p>
        </w:tc>
        <w:tc>
          <w:tcPr>
            <w:tcW w:w="1700" w:type="dxa"/>
            <w:vAlign w:val="bottom"/>
            <w:tcBorders>
              <w:bottom w:val="single" w:sz="8" w:color="001641"/>
            </w:tcBorders>
          </w:tcPr>
          <w:p>
            <w:pPr>
              <w:jc w:val="right"/>
              <w:ind w:right="48"/>
              <w:spacing w:after="0"/>
              <w:rPr>
                <w:sz w:val="20"/>
                <w:szCs w:val="20"/>
                <w:color w:val="auto"/>
              </w:rPr>
            </w:pPr>
            <w:r>
              <w:rPr>
                <w:rFonts w:ascii="Arial" w:cs="Arial" w:eastAsia="Arial" w:hAnsi="Arial"/>
                <w:sz w:val="14"/>
                <w:szCs w:val="14"/>
                <w:color w:val="001641"/>
              </w:rPr>
              <w:t>$8,114.5</w:t>
            </w:r>
          </w:p>
        </w:tc>
        <w:tc>
          <w:tcPr>
            <w:tcW w:w="1600" w:type="dxa"/>
            <w:vAlign w:val="bottom"/>
            <w:tcBorders>
              <w:bottom w:val="single" w:sz="8" w:color="001641"/>
            </w:tcBorders>
          </w:tcPr>
          <w:p>
            <w:pPr>
              <w:jc w:val="right"/>
              <w:spacing w:after="0"/>
              <w:rPr>
                <w:sz w:val="20"/>
                <w:szCs w:val="20"/>
                <w:color w:val="auto"/>
              </w:rPr>
            </w:pPr>
            <w:r>
              <w:rPr>
                <w:rFonts w:ascii="Arial" w:cs="Arial" w:eastAsia="Arial" w:hAnsi="Arial"/>
                <w:sz w:val="14"/>
                <w:szCs w:val="14"/>
                <w:color w:val="001641"/>
              </w:rPr>
              <w:t>$(201.9)</w:t>
            </w:r>
          </w:p>
        </w:tc>
        <w:tc>
          <w:tcPr>
            <w:tcW w:w="1720" w:type="dxa"/>
            <w:vAlign w:val="bottom"/>
            <w:tcBorders>
              <w:bottom w:val="single" w:sz="8" w:color="001641"/>
            </w:tcBorders>
          </w:tcPr>
          <w:p>
            <w:pPr>
              <w:jc w:val="right"/>
              <w:ind w:right="48"/>
              <w:spacing w:after="0"/>
              <w:rPr>
                <w:sz w:val="20"/>
                <w:szCs w:val="20"/>
                <w:color w:val="auto"/>
              </w:rPr>
            </w:pPr>
            <w:r>
              <w:rPr>
                <w:rFonts w:ascii="Arial" w:cs="Arial" w:eastAsia="Arial" w:hAnsi="Arial"/>
                <w:sz w:val="14"/>
                <w:szCs w:val="14"/>
                <w:color w:val="001641"/>
              </w:rPr>
              <w:t>$7,912.6</w:t>
            </w:r>
          </w:p>
        </w:tc>
      </w:tr>
      <w:tr>
        <w:trPr>
          <w:trHeight w:val="214"/>
        </w:trPr>
        <w:tc>
          <w:tcPr>
            <w:tcW w:w="416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-4311015</wp:posOffset>
            </wp:positionV>
            <wp:extent cx="196278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962785" cy="825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-4053840</wp:posOffset>
            </wp:positionV>
            <wp:extent cx="196278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96278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-1430655</wp:posOffset>
            </wp:positionV>
            <wp:extent cx="305181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-1071245</wp:posOffset>
            </wp:positionV>
            <wp:extent cx="305181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128905</wp:posOffset>
            </wp:positionV>
            <wp:extent cx="128905" cy="11176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126365</wp:posOffset>
            </wp:positionV>
            <wp:extent cx="6995160" cy="171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40" w:name="page141"/>
    <w:bookmarkEnd w:id="14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001641"/>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2930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6" w:lineRule="exact"/>
        <w:rPr>
          <w:sz w:val="20"/>
          <w:szCs w:val="20"/>
          <w:color w:val="auto"/>
        </w:rPr>
      </w:pPr>
    </w:p>
    <w:tbl>
      <w:tblPr>
        <w:tblLayout w:type="fixed"/>
        <w:tblInd w:w="6" w:type="dxa"/>
        <w:tblCellMar>
          <w:top w:w="0" w:type="dxa"/>
          <w:left w:w="0" w:type="dxa"/>
          <w:bottom w:w="0" w:type="dxa"/>
          <w:right w:w="0" w:type="dxa"/>
        </w:tblCellMar>
      </w:tblPr>
      <w:tr>
        <w:trPr>
          <w:trHeight w:val="295"/>
        </w:trPr>
        <w:tc>
          <w:tcPr>
            <w:tcW w:w="5880" w:type="dxa"/>
            <w:vAlign w:val="bottom"/>
            <w:shd w:val="clear" w:color="auto" w:fill="001641"/>
          </w:tcPr>
          <w:p>
            <w:pPr>
              <w:spacing w:after="0"/>
              <w:rPr>
                <w:sz w:val="24"/>
                <w:szCs w:val="24"/>
                <w:color w:val="auto"/>
              </w:rPr>
            </w:pPr>
          </w:p>
        </w:tc>
        <w:tc>
          <w:tcPr>
            <w:tcW w:w="3300" w:type="dxa"/>
            <w:vAlign w:val="bottom"/>
            <w:gridSpan w:val="2"/>
            <w:shd w:val="clear" w:color="auto" w:fill="001641"/>
          </w:tcPr>
          <w:p>
            <w:pPr>
              <w:jc w:val="right"/>
              <w:ind w:right="968"/>
              <w:spacing w:after="0"/>
              <w:rPr>
                <w:sz w:val="20"/>
                <w:szCs w:val="20"/>
                <w:color w:val="auto"/>
              </w:rPr>
            </w:pPr>
            <w:r>
              <w:rPr>
                <w:rFonts w:ascii="Arial" w:cs="Arial" w:eastAsia="Arial" w:hAnsi="Arial"/>
                <w:sz w:val="14"/>
                <w:szCs w:val="14"/>
                <w:b w:val="1"/>
                <w:bCs w:val="1"/>
                <w:color w:val="FFFFFF"/>
              </w:rPr>
              <w:t>Fiscal Year Ended</w:t>
            </w:r>
          </w:p>
        </w:tc>
      </w:tr>
      <w:tr>
        <w:trPr>
          <w:trHeight w:val="243"/>
        </w:trPr>
        <w:tc>
          <w:tcPr>
            <w:tcW w:w="5880" w:type="dxa"/>
            <w:vAlign w:val="bottom"/>
            <w:shd w:val="clear" w:color="auto" w:fill="001641"/>
          </w:tcPr>
          <w:p>
            <w:pPr>
              <w:spacing w:after="0"/>
              <w:rPr>
                <w:sz w:val="21"/>
                <w:szCs w:val="21"/>
                <w:color w:val="auto"/>
              </w:rPr>
            </w:pPr>
          </w:p>
        </w:tc>
        <w:tc>
          <w:tcPr>
            <w:tcW w:w="2160" w:type="dxa"/>
            <w:vAlign w:val="bottom"/>
            <w:shd w:val="clear" w:color="auto" w:fill="001641"/>
          </w:tcPr>
          <w:p>
            <w:pPr>
              <w:jc w:val="right"/>
              <w:spacing w:after="0"/>
              <w:rPr>
                <w:sz w:val="20"/>
                <w:szCs w:val="20"/>
                <w:color w:val="auto"/>
              </w:rPr>
            </w:pPr>
            <w:r>
              <w:rPr>
                <w:rFonts w:ascii="Arial" w:cs="Arial" w:eastAsia="Arial" w:hAnsi="Arial"/>
                <w:sz w:val="14"/>
                <w:szCs w:val="14"/>
                <w:b w:val="1"/>
                <w:bCs w:val="1"/>
                <w:color w:val="FFFFFF"/>
              </w:rPr>
              <w:t>March 28, 2026</w:t>
            </w:r>
          </w:p>
        </w:tc>
        <w:tc>
          <w:tcPr>
            <w:tcW w:w="1140" w:type="dxa"/>
            <w:vAlign w:val="bottom"/>
            <w:shd w:val="clear" w:color="auto" w:fill="001641"/>
          </w:tcPr>
          <w:p>
            <w:pPr>
              <w:spacing w:after="0"/>
              <w:rPr>
                <w:sz w:val="21"/>
                <w:szCs w:val="21"/>
                <w:color w:val="auto"/>
              </w:rPr>
            </w:pPr>
          </w:p>
        </w:tc>
      </w:tr>
      <w:tr>
        <w:trPr>
          <w:trHeight w:val="243"/>
        </w:trPr>
        <w:tc>
          <w:tcPr>
            <w:tcW w:w="5880" w:type="dxa"/>
            <w:vAlign w:val="bottom"/>
            <w:shd w:val="clear" w:color="auto" w:fill="001641"/>
          </w:tcPr>
          <w:p>
            <w:pPr>
              <w:spacing w:after="0"/>
              <w:rPr>
                <w:sz w:val="21"/>
                <w:szCs w:val="21"/>
                <w:color w:val="auto"/>
              </w:rPr>
            </w:pPr>
          </w:p>
        </w:tc>
        <w:tc>
          <w:tcPr>
            <w:tcW w:w="2160" w:type="dxa"/>
            <w:vAlign w:val="bottom"/>
            <w:shd w:val="clear" w:color="auto" w:fill="001641"/>
          </w:tcPr>
          <w:p>
            <w:pPr>
              <w:jc w:val="right"/>
              <w:ind w:right="1048"/>
              <w:spacing w:after="0"/>
              <w:rPr>
                <w:sz w:val="20"/>
                <w:szCs w:val="20"/>
                <w:color w:val="auto"/>
              </w:rPr>
            </w:pPr>
            <w:r>
              <w:rPr>
                <w:rFonts w:ascii="Arial" w:cs="Arial" w:eastAsia="Arial" w:hAnsi="Arial"/>
                <w:sz w:val="14"/>
                <w:szCs w:val="14"/>
                <w:b w:val="1"/>
                <w:bCs w:val="1"/>
                <w:color w:val="FFFFFF"/>
              </w:rPr>
              <w:t>SG&amp;A</w:t>
            </w:r>
          </w:p>
        </w:tc>
        <w:tc>
          <w:tcPr>
            <w:tcW w:w="1140" w:type="dxa"/>
            <w:vAlign w:val="bottom"/>
            <w:shd w:val="clear" w:color="auto" w:fill="001641"/>
          </w:tcPr>
          <w:p>
            <w:pPr>
              <w:jc w:val="right"/>
              <w:ind w:right="528"/>
              <w:spacing w:after="0"/>
              <w:rPr>
                <w:sz w:val="20"/>
                <w:szCs w:val="20"/>
                <w:color w:val="auto"/>
              </w:rPr>
            </w:pPr>
            <w:r>
              <w:rPr>
                <w:rFonts w:ascii="Arial" w:cs="Arial" w:eastAsia="Arial" w:hAnsi="Arial"/>
                <w:sz w:val="14"/>
                <w:szCs w:val="14"/>
                <w:b w:val="1"/>
                <w:bCs w:val="1"/>
                <w:color w:val="FFFFFF"/>
                <w:w w:val="98"/>
              </w:rPr>
              <w:t>SG&amp;A%</w:t>
            </w:r>
          </w:p>
        </w:tc>
      </w:tr>
      <w:tr>
        <w:trPr>
          <w:trHeight w:val="258"/>
        </w:trPr>
        <w:tc>
          <w:tcPr>
            <w:tcW w:w="5880" w:type="dxa"/>
            <w:vAlign w:val="bottom"/>
            <w:shd w:val="clear" w:color="auto" w:fill="001641"/>
          </w:tcPr>
          <w:p>
            <w:pPr>
              <w:spacing w:after="0"/>
              <w:rPr>
                <w:sz w:val="22"/>
                <w:szCs w:val="22"/>
                <w:color w:val="auto"/>
              </w:rPr>
            </w:pPr>
          </w:p>
        </w:tc>
        <w:tc>
          <w:tcPr>
            <w:tcW w:w="2160" w:type="dxa"/>
            <w:vAlign w:val="bottom"/>
            <w:shd w:val="clear" w:color="auto" w:fill="001641"/>
          </w:tcPr>
          <w:p>
            <w:pPr>
              <w:jc w:val="right"/>
              <w:ind w:right="928"/>
              <w:spacing w:after="0"/>
              <w:rPr>
                <w:sz w:val="20"/>
                <w:szCs w:val="20"/>
                <w:color w:val="auto"/>
              </w:rPr>
            </w:pPr>
            <w:r>
              <w:rPr>
                <w:rFonts w:ascii="Arial" w:cs="Arial" w:eastAsia="Arial" w:hAnsi="Arial"/>
                <w:sz w:val="14"/>
                <w:szCs w:val="14"/>
                <w:b w:val="1"/>
                <w:bCs w:val="1"/>
                <w:color w:val="FFFFFF"/>
              </w:rPr>
              <w:t>(millions)</w:t>
            </w:r>
          </w:p>
        </w:tc>
        <w:tc>
          <w:tcPr>
            <w:tcW w:w="1140" w:type="dxa"/>
            <w:vAlign w:val="bottom"/>
            <w:shd w:val="clear" w:color="auto" w:fill="001641"/>
          </w:tcPr>
          <w:p>
            <w:pPr>
              <w:spacing w:after="0"/>
              <w:rPr>
                <w:sz w:val="22"/>
                <w:szCs w:val="22"/>
                <w:color w:val="auto"/>
              </w:rPr>
            </w:pPr>
          </w:p>
        </w:tc>
      </w:tr>
      <w:tr>
        <w:trPr>
          <w:trHeight w:val="222"/>
        </w:trPr>
        <w:tc>
          <w:tcPr>
            <w:tcW w:w="5880" w:type="dxa"/>
            <w:vAlign w:val="bottom"/>
          </w:tcPr>
          <w:p>
            <w:pPr>
              <w:ind w:left="140"/>
              <w:spacing w:after="0"/>
              <w:rPr>
                <w:sz w:val="20"/>
                <w:szCs w:val="20"/>
                <w:color w:val="auto"/>
              </w:rPr>
            </w:pPr>
            <w:r>
              <w:rPr>
                <w:rFonts w:ascii="Arial" w:cs="Arial" w:eastAsia="Arial" w:hAnsi="Arial"/>
                <w:sz w:val="14"/>
                <w:szCs w:val="14"/>
                <w:color w:val="001641"/>
              </w:rPr>
              <w:t>Total other operating expenses, net, as reported</w:t>
            </w:r>
          </w:p>
        </w:tc>
        <w:tc>
          <w:tcPr>
            <w:tcW w:w="2160" w:type="dxa"/>
            <w:vAlign w:val="bottom"/>
          </w:tcPr>
          <w:p>
            <w:pPr>
              <w:jc w:val="right"/>
              <w:ind w:right="528"/>
              <w:spacing w:after="0"/>
              <w:rPr>
                <w:sz w:val="20"/>
                <w:szCs w:val="20"/>
                <w:color w:val="auto"/>
              </w:rPr>
            </w:pPr>
            <w:r>
              <w:rPr>
                <w:rFonts w:ascii="Arial" w:cs="Arial" w:eastAsia="Arial" w:hAnsi="Arial"/>
                <w:sz w:val="14"/>
                <w:szCs w:val="14"/>
                <w:color w:val="001641"/>
              </w:rPr>
              <w:t>$(4,490.0)</w:t>
            </w:r>
          </w:p>
        </w:tc>
        <w:tc>
          <w:tcPr>
            <w:tcW w:w="1140" w:type="dxa"/>
            <w:vAlign w:val="bottom"/>
          </w:tcPr>
          <w:p>
            <w:pPr>
              <w:jc w:val="right"/>
              <w:ind w:right="48"/>
              <w:spacing w:after="0"/>
              <w:rPr>
                <w:sz w:val="20"/>
                <w:szCs w:val="20"/>
                <w:color w:val="auto"/>
              </w:rPr>
            </w:pPr>
            <w:r>
              <w:rPr>
                <w:rFonts w:ascii="Arial" w:cs="Arial" w:eastAsia="Arial" w:hAnsi="Arial"/>
                <w:sz w:val="14"/>
                <w:szCs w:val="14"/>
                <w:color w:val="001641"/>
              </w:rPr>
              <w:t>55.3%</w:t>
            </w:r>
          </w:p>
        </w:tc>
      </w:tr>
      <w:tr>
        <w:trPr>
          <w:trHeight w:val="22"/>
        </w:trPr>
        <w:tc>
          <w:tcPr>
            <w:tcW w:w="5880" w:type="dxa"/>
            <w:vAlign w:val="bottom"/>
            <w:tcBorders>
              <w:bottom w:val="single" w:sz="8" w:color="BFA071"/>
            </w:tcBorders>
          </w:tcPr>
          <w:p>
            <w:pPr>
              <w:spacing w:after="0" w:line="20" w:lineRule="exact"/>
              <w:rPr>
                <w:sz w:val="1"/>
                <w:szCs w:val="1"/>
                <w:color w:val="auto"/>
              </w:rPr>
            </w:pPr>
          </w:p>
        </w:tc>
        <w:tc>
          <w:tcPr>
            <w:tcW w:w="2160" w:type="dxa"/>
            <w:vAlign w:val="bottom"/>
            <w:tcBorders>
              <w:bottom w:val="single" w:sz="8" w:color="BFA071"/>
            </w:tcBorders>
          </w:tcPr>
          <w:p>
            <w:pPr>
              <w:spacing w:after="0" w:line="20" w:lineRule="exact"/>
              <w:rPr>
                <w:sz w:val="1"/>
                <w:szCs w:val="1"/>
                <w:color w:val="auto"/>
              </w:rPr>
            </w:pPr>
          </w:p>
        </w:tc>
        <w:tc>
          <w:tcPr>
            <w:tcW w:w="1140" w:type="dxa"/>
            <w:vAlign w:val="bottom"/>
            <w:tcBorders>
              <w:bottom w:val="single" w:sz="8" w:color="BFA071"/>
            </w:tcBorders>
          </w:tcPr>
          <w:p>
            <w:pPr>
              <w:spacing w:after="0" w:line="20" w:lineRule="exact"/>
              <w:rPr>
                <w:sz w:val="1"/>
                <w:szCs w:val="1"/>
                <w:color w:val="auto"/>
              </w:rPr>
            </w:pPr>
          </w:p>
        </w:tc>
      </w:tr>
      <w:tr>
        <w:trPr>
          <w:trHeight w:val="250"/>
        </w:trPr>
        <w:tc>
          <w:tcPr>
            <w:tcW w:w="5880" w:type="dxa"/>
            <w:vAlign w:val="bottom"/>
            <w:tcBorders>
              <w:bottom w:val="single" w:sz="8" w:color="BFA071"/>
            </w:tcBorders>
          </w:tcPr>
          <w:p>
            <w:pPr>
              <w:ind w:left="140"/>
              <w:spacing w:after="0" w:line="250" w:lineRule="exact"/>
              <w:rPr>
                <w:sz w:val="20"/>
                <w:szCs w:val="20"/>
                <w:color w:val="auto"/>
              </w:rPr>
            </w:pPr>
            <w:r>
              <w:rPr>
                <w:rFonts w:ascii="Arial" w:cs="Arial" w:eastAsia="Arial" w:hAnsi="Arial"/>
                <w:sz w:val="14"/>
                <w:szCs w:val="14"/>
                <w:color w:val="001641"/>
              </w:rPr>
              <w:t>Adjustments:</w:t>
            </w:r>
            <w:r>
              <w:rPr>
                <w:rFonts w:ascii="Arial" w:cs="Arial" w:eastAsia="Arial" w:hAnsi="Arial"/>
                <w:sz w:val="23"/>
                <w:szCs w:val="23"/>
                <w:color w:val="001641"/>
                <w:vertAlign w:val="superscript"/>
              </w:rPr>
              <w:t>(3)</w:t>
            </w:r>
          </w:p>
        </w:tc>
        <w:tc>
          <w:tcPr>
            <w:tcW w:w="2160" w:type="dxa"/>
            <w:vAlign w:val="bottom"/>
            <w:tcBorders>
              <w:bottom w:val="single" w:sz="8" w:color="BFA071"/>
            </w:tcBorders>
          </w:tcPr>
          <w:p>
            <w:pPr>
              <w:spacing w:after="0"/>
              <w:rPr>
                <w:sz w:val="21"/>
                <w:szCs w:val="21"/>
                <w:color w:val="auto"/>
              </w:rPr>
            </w:pPr>
          </w:p>
        </w:tc>
        <w:tc>
          <w:tcPr>
            <w:tcW w:w="1140" w:type="dxa"/>
            <w:vAlign w:val="bottom"/>
            <w:tcBorders>
              <w:bottom w:val="single" w:sz="8" w:color="BFA071"/>
            </w:tcBorders>
          </w:tcPr>
          <w:p>
            <w:pPr>
              <w:spacing w:after="0"/>
              <w:rPr>
                <w:sz w:val="21"/>
                <w:szCs w:val="21"/>
                <w:color w:val="auto"/>
              </w:rPr>
            </w:pPr>
          </w:p>
        </w:tc>
      </w:tr>
      <w:tr>
        <w:trPr>
          <w:trHeight w:val="201"/>
        </w:trPr>
        <w:tc>
          <w:tcPr>
            <w:tcW w:w="5880" w:type="dxa"/>
            <w:vAlign w:val="bottom"/>
          </w:tcPr>
          <w:p>
            <w:pPr>
              <w:ind w:left="320"/>
              <w:spacing w:after="0"/>
              <w:rPr>
                <w:sz w:val="20"/>
                <w:szCs w:val="20"/>
                <w:color w:val="auto"/>
              </w:rPr>
            </w:pPr>
            <w:r>
              <w:rPr>
                <w:rFonts w:ascii="Arial" w:cs="Arial" w:eastAsia="Arial" w:hAnsi="Arial"/>
                <w:sz w:val="14"/>
                <w:szCs w:val="14"/>
                <w:color w:val="001641"/>
              </w:rPr>
              <w:t>Next Generation Transformation project charges</w:t>
            </w:r>
          </w:p>
        </w:tc>
        <w:tc>
          <w:tcPr>
            <w:tcW w:w="2160" w:type="dxa"/>
            <w:vAlign w:val="bottom"/>
          </w:tcPr>
          <w:p>
            <w:pPr>
              <w:jc w:val="right"/>
              <w:ind w:right="588"/>
              <w:spacing w:after="0"/>
              <w:rPr>
                <w:sz w:val="20"/>
                <w:szCs w:val="20"/>
                <w:color w:val="auto"/>
              </w:rPr>
            </w:pPr>
            <w:r>
              <w:rPr>
                <w:rFonts w:ascii="Arial" w:cs="Arial" w:eastAsia="Arial" w:hAnsi="Arial"/>
                <w:sz w:val="14"/>
                <w:szCs w:val="14"/>
                <w:color w:val="001641"/>
              </w:rPr>
              <w:t>83.9</w:t>
            </w:r>
          </w:p>
        </w:tc>
        <w:tc>
          <w:tcPr>
            <w:tcW w:w="1140" w:type="dxa"/>
            <w:vAlign w:val="bottom"/>
          </w:tcPr>
          <w:p>
            <w:pPr>
              <w:spacing w:after="0"/>
              <w:rPr>
                <w:sz w:val="17"/>
                <w:szCs w:val="17"/>
                <w:color w:val="auto"/>
              </w:rPr>
            </w:pPr>
          </w:p>
        </w:tc>
      </w:tr>
      <w:tr>
        <w:trPr>
          <w:trHeight w:val="22"/>
        </w:trPr>
        <w:tc>
          <w:tcPr>
            <w:tcW w:w="5880" w:type="dxa"/>
            <w:vAlign w:val="bottom"/>
            <w:tcBorders>
              <w:bottom w:val="single" w:sz="8" w:color="BFA071"/>
            </w:tcBorders>
          </w:tcPr>
          <w:p>
            <w:pPr>
              <w:spacing w:after="0" w:line="20" w:lineRule="exact"/>
              <w:rPr>
                <w:sz w:val="1"/>
                <w:szCs w:val="1"/>
                <w:color w:val="auto"/>
              </w:rPr>
            </w:pPr>
          </w:p>
        </w:tc>
        <w:tc>
          <w:tcPr>
            <w:tcW w:w="2160" w:type="dxa"/>
            <w:vAlign w:val="bottom"/>
            <w:tcBorders>
              <w:bottom w:val="single" w:sz="8" w:color="BFA071"/>
            </w:tcBorders>
          </w:tcPr>
          <w:p>
            <w:pPr>
              <w:spacing w:after="0" w:line="20" w:lineRule="exact"/>
              <w:rPr>
                <w:sz w:val="1"/>
                <w:szCs w:val="1"/>
                <w:color w:val="auto"/>
              </w:rPr>
            </w:pPr>
          </w:p>
        </w:tc>
        <w:tc>
          <w:tcPr>
            <w:tcW w:w="1140" w:type="dxa"/>
            <w:vAlign w:val="bottom"/>
            <w:tcBorders>
              <w:bottom w:val="single" w:sz="8" w:color="BFA071"/>
            </w:tcBorders>
          </w:tcPr>
          <w:p>
            <w:pPr>
              <w:spacing w:after="0" w:line="20" w:lineRule="exact"/>
              <w:rPr>
                <w:sz w:val="1"/>
                <w:szCs w:val="1"/>
                <w:color w:val="auto"/>
              </w:rPr>
            </w:pPr>
          </w:p>
        </w:tc>
      </w:tr>
      <w:tr>
        <w:trPr>
          <w:trHeight w:val="202"/>
        </w:trPr>
        <w:tc>
          <w:tcPr>
            <w:tcW w:w="5880" w:type="dxa"/>
            <w:vAlign w:val="bottom"/>
          </w:tcPr>
          <w:p>
            <w:pPr>
              <w:ind w:left="320"/>
              <w:spacing w:after="0"/>
              <w:rPr>
                <w:sz w:val="20"/>
                <w:szCs w:val="20"/>
                <w:color w:val="auto"/>
              </w:rPr>
            </w:pPr>
            <w:r>
              <w:rPr>
                <w:rFonts w:ascii="Arial" w:cs="Arial" w:eastAsia="Arial" w:hAnsi="Arial"/>
                <w:sz w:val="14"/>
                <w:szCs w:val="14"/>
                <w:color w:val="001641"/>
              </w:rPr>
              <w:t>Restructuring plan charges</w:t>
            </w:r>
          </w:p>
        </w:tc>
        <w:tc>
          <w:tcPr>
            <w:tcW w:w="2160" w:type="dxa"/>
            <w:vAlign w:val="bottom"/>
          </w:tcPr>
          <w:p>
            <w:pPr>
              <w:jc w:val="right"/>
              <w:ind w:right="588"/>
              <w:spacing w:after="0"/>
              <w:rPr>
                <w:sz w:val="20"/>
                <w:szCs w:val="20"/>
                <w:color w:val="auto"/>
              </w:rPr>
            </w:pPr>
            <w:r>
              <w:rPr>
                <w:rFonts w:ascii="Arial" w:cs="Arial" w:eastAsia="Arial" w:hAnsi="Arial"/>
                <w:sz w:val="14"/>
                <w:szCs w:val="14"/>
                <w:color w:val="001641"/>
              </w:rPr>
              <w:t>25.9</w:t>
            </w:r>
          </w:p>
        </w:tc>
        <w:tc>
          <w:tcPr>
            <w:tcW w:w="1140" w:type="dxa"/>
            <w:vAlign w:val="bottom"/>
          </w:tcPr>
          <w:p>
            <w:pPr>
              <w:spacing w:after="0"/>
              <w:rPr>
                <w:sz w:val="17"/>
                <w:szCs w:val="17"/>
                <w:color w:val="auto"/>
              </w:rPr>
            </w:pPr>
          </w:p>
        </w:tc>
      </w:tr>
      <w:tr>
        <w:trPr>
          <w:trHeight w:val="22"/>
        </w:trPr>
        <w:tc>
          <w:tcPr>
            <w:tcW w:w="5880" w:type="dxa"/>
            <w:vAlign w:val="bottom"/>
            <w:tcBorders>
              <w:bottom w:val="single" w:sz="8" w:color="BFA071"/>
            </w:tcBorders>
          </w:tcPr>
          <w:p>
            <w:pPr>
              <w:spacing w:after="0" w:line="20" w:lineRule="exact"/>
              <w:rPr>
                <w:sz w:val="1"/>
                <w:szCs w:val="1"/>
                <w:color w:val="auto"/>
              </w:rPr>
            </w:pPr>
          </w:p>
        </w:tc>
        <w:tc>
          <w:tcPr>
            <w:tcW w:w="2160" w:type="dxa"/>
            <w:vAlign w:val="bottom"/>
            <w:tcBorders>
              <w:bottom w:val="single" w:sz="8" w:color="BFA071"/>
            </w:tcBorders>
          </w:tcPr>
          <w:p>
            <w:pPr>
              <w:spacing w:after="0" w:line="20" w:lineRule="exact"/>
              <w:rPr>
                <w:sz w:val="1"/>
                <w:szCs w:val="1"/>
                <w:color w:val="auto"/>
              </w:rPr>
            </w:pPr>
          </w:p>
        </w:tc>
        <w:tc>
          <w:tcPr>
            <w:tcW w:w="1140" w:type="dxa"/>
            <w:vAlign w:val="bottom"/>
            <w:tcBorders>
              <w:bottom w:val="single" w:sz="8" w:color="BFA071"/>
            </w:tcBorders>
          </w:tcPr>
          <w:p>
            <w:pPr>
              <w:spacing w:after="0" w:line="20" w:lineRule="exact"/>
              <w:rPr>
                <w:sz w:val="1"/>
                <w:szCs w:val="1"/>
                <w:color w:val="auto"/>
              </w:rPr>
            </w:pPr>
          </w:p>
        </w:tc>
      </w:tr>
      <w:tr>
        <w:trPr>
          <w:trHeight w:val="202"/>
        </w:trPr>
        <w:tc>
          <w:tcPr>
            <w:tcW w:w="5880" w:type="dxa"/>
            <w:vAlign w:val="bottom"/>
          </w:tcPr>
          <w:p>
            <w:pPr>
              <w:ind w:left="320"/>
              <w:spacing w:after="0"/>
              <w:rPr>
                <w:sz w:val="20"/>
                <w:szCs w:val="20"/>
                <w:color w:val="auto"/>
              </w:rPr>
            </w:pPr>
            <w:r>
              <w:rPr>
                <w:rFonts w:ascii="Arial" w:cs="Arial" w:eastAsia="Arial" w:hAnsi="Arial"/>
                <w:sz w:val="14"/>
                <w:szCs w:val="14"/>
                <w:color w:val="001641"/>
              </w:rPr>
              <w:t>Charitable donations related to Interchange Case Settlements</w:t>
            </w:r>
          </w:p>
        </w:tc>
        <w:tc>
          <w:tcPr>
            <w:tcW w:w="2160" w:type="dxa"/>
            <w:vAlign w:val="bottom"/>
          </w:tcPr>
          <w:p>
            <w:pPr>
              <w:jc w:val="right"/>
              <w:ind w:right="588"/>
              <w:spacing w:after="0"/>
              <w:rPr>
                <w:sz w:val="20"/>
                <w:szCs w:val="20"/>
                <w:color w:val="auto"/>
              </w:rPr>
            </w:pPr>
            <w:r>
              <w:rPr>
                <w:rFonts w:ascii="Arial" w:cs="Arial" w:eastAsia="Arial" w:hAnsi="Arial"/>
                <w:sz w:val="14"/>
                <w:szCs w:val="14"/>
                <w:color w:val="001641"/>
              </w:rPr>
              <w:t>24.2</w:t>
            </w:r>
          </w:p>
        </w:tc>
        <w:tc>
          <w:tcPr>
            <w:tcW w:w="1140" w:type="dxa"/>
            <w:vAlign w:val="bottom"/>
          </w:tcPr>
          <w:p>
            <w:pPr>
              <w:spacing w:after="0"/>
              <w:rPr>
                <w:sz w:val="17"/>
                <w:szCs w:val="17"/>
                <w:color w:val="auto"/>
              </w:rPr>
            </w:pPr>
          </w:p>
        </w:tc>
      </w:tr>
      <w:tr>
        <w:trPr>
          <w:trHeight w:val="22"/>
        </w:trPr>
        <w:tc>
          <w:tcPr>
            <w:tcW w:w="5880" w:type="dxa"/>
            <w:vAlign w:val="bottom"/>
            <w:tcBorders>
              <w:bottom w:val="single" w:sz="8" w:color="BFA071"/>
            </w:tcBorders>
          </w:tcPr>
          <w:p>
            <w:pPr>
              <w:spacing w:after="0" w:line="20" w:lineRule="exact"/>
              <w:rPr>
                <w:sz w:val="1"/>
                <w:szCs w:val="1"/>
                <w:color w:val="auto"/>
              </w:rPr>
            </w:pPr>
          </w:p>
        </w:tc>
        <w:tc>
          <w:tcPr>
            <w:tcW w:w="2160" w:type="dxa"/>
            <w:vAlign w:val="bottom"/>
            <w:tcBorders>
              <w:bottom w:val="single" w:sz="8" w:color="BFA071"/>
            </w:tcBorders>
          </w:tcPr>
          <w:p>
            <w:pPr>
              <w:spacing w:after="0" w:line="20" w:lineRule="exact"/>
              <w:rPr>
                <w:sz w:val="1"/>
                <w:szCs w:val="1"/>
                <w:color w:val="auto"/>
              </w:rPr>
            </w:pPr>
          </w:p>
        </w:tc>
        <w:tc>
          <w:tcPr>
            <w:tcW w:w="1140" w:type="dxa"/>
            <w:vAlign w:val="bottom"/>
            <w:tcBorders>
              <w:bottom w:val="single" w:sz="8" w:color="BFA071"/>
            </w:tcBorders>
          </w:tcPr>
          <w:p>
            <w:pPr>
              <w:spacing w:after="0" w:line="20" w:lineRule="exact"/>
              <w:rPr>
                <w:sz w:val="1"/>
                <w:szCs w:val="1"/>
                <w:color w:val="auto"/>
              </w:rPr>
            </w:pPr>
          </w:p>
        </w:tc>
      </w:tr>
      <w:tr>
        <w:trPr>
          <w:trHeight w:val="201"/>
        </w:trPr>
        <w:tc>
          <w:tcPr>
            <w:tcW w:w="5880" w:type="dxa"/>
            <w:vAlign w:val="bottom"/>
          </w:tcPr>
          <w:p>
            <w:pPr>
              <w:ind w:left="320"/>
              <w:spacing w:after="0"/>
              <w:rPr>
                <w:sz w:val="20"/>
                <w:szCs w:val="20"/>
                <w:color w:val="auto"/>
              </w:rPr>
            </w:pPr>
            <w:r>
              <w:rPr>
                <w:rFonts w:ascii="Arial" w:cs="Arial" w:eastAsia="Arial" w:hAnsi="Arial"/>
                <w:sz w:val="14"/>
                <w:szCs w:val="14"/>
                <w:color w:val="001641"/>
              </w:rPr>
              <w:t>Proceeds from Interchange Case Settlements</w:t>
            </w:r>
          </w:p>
        </w:tc>
        <w:tc>
          <w:tcPr>
            <w:tcW w:w="2160" w:type="dxa"/>
            <w:vAlign w:val="bottom"/>
          </w:tcPr>
          <w:p>
            <w:pPr>
              <w:jc w:val="right"/>
              <w:ind w:right="528"/>
              <w:spacing w:after="0"/>
              <w:rPr>
                <w:sz w:val="20"/>
                <w:szCs w:val="20"/>
                <w:color w:val="auto"/>
              </w:rPr>
            </w:pPr>
            <w:r>
              <w:rPr>
                <w:rFonts w:ascii="Arial" w:cs="Arial" w:eastAsia="Arial" w:hAnsi="Arial"/>
                <w:sz w:val="14"/>
                <w:szCs w:val="14"/>
                <w:color w:val="001641"/>
              </w:rPr>
              <w:t>(24.2)</w:t>
            </w:r>
          </w:p>
        </w:tc>
        <w:tc>
          <w:tcPr>
            <w:tcW w:w="1140" w:type="dxa"/>
            <w:vAlign w:val="bottom"/>
          </w:tcPr>
          <w:p>
            <w:pPr>
              <w:spacing w:after="0"/>
              <w:rPr>
                <w:sz w:val="17"/>
                <w:szCs w:val="17"/>
                <w:color w:val="auto"/>
              </w:rPr>
            </w:pPr>
          </w:p>
        </w:tc>
      </w:tr>
      <w:tr>
        <w:trPr>
          <w:trHeight w:val="22"/>
        </w:trPr>
        <w:tc>
          <w:tcPr>
            <w:tcW w:w="5880" w:type="dxa"/>
            <w:vAlign w:val="bottom"/>
            <w:tcBorders>
              <w:bottom w:val="single" w:sz="8" w:color="BFA071"/>
            </w:tcBorders>
          </w:tcPr>
          <w:p>
            <w:pPr>
              <w:spacing w:after="0" w:line="20" w:lineRule="exact"/>
              <w:rPr>
                <w:sz w:val="1"/>
                <w:szCs w:val="1"/>
                <w:color w:val="auto"/>
              </w:rPr>
            </w:pPr>
          </w:p>
        </w:tc>
        <w:tc>
          <w:tcPr>
            <w:tcW w:w="2160" w:type="dxa"/>
            <w:vAlign w:val="bottom"/>
            <w:tcBorders>
              <w:bottom w:val="single" w:sz="8" w:color="BFA071"/>
            </w:tcBorders>
          </w:tcPr>
          <w:p>
            <w:pPr>
              <w:spacing w:after="0" w:line="20" w:lineRule="exact"/>
              <w:rPr>
                <w:sz w:val="1"/>
                <w:szCs w:val="1"/>
                <w:color w:val="auto"/>
              </w:rPr>
            </w:pPr>
          </w:p>
        </w:tc>
        <w:tc>
          <w:tcPr>
            <w:tcW w:w="1140" w:type="dxa"/>
            <w:vAlign w:val="bottom"/>
            <w:tcBorders>
              <w:bottom w:val="single" w:sz="8" w:color="BFA071"/>
            </w:tcBorders>
          </w:tcPr>
          <w:p>
            <w:pPr>
              <w:spacing w:after="0" w:line="20" w:lineRule="exact"/>
              <w:rPr>
                <w:sz w:val="1"/>
                <w:szCs w:val="1"/>
                <w:color w:val="auto"/>
              </w:rPr>
            </w:pPr>
          </w:p>
        </w:tc>
      </w:tr>
      <w:tr>
        <w:trPr>
          <w:trHeight w:val="202"/>
        </w:trPr>
        <w:tc>
          <w:tcPr>
            <w:tcW w:w="5880" w:type="dxa"/>
            <w:vAlign w:val="bottom"/>
          </w:tcPr>
          <w:p>
            <w:pPr>
              <w:ind w:left="320"/>
              <w:spacing w:after="0"/>
              <w:rPr>
                <w:sz w:val="20"/>
                <w:szCs w:val="20"/>
                <w:color w:val="auto"/>
              </w:rPr>
            </w:pPr>
            <w:r>
              <w:rPr>
                <w:rFonts w:ascii="Arial" w:cs="Arial" w:eastAsia="Arial" w:hAnsi="Arial"/>
                <w:sz w:val="14"/>
                <w:szCs w:val="14"/>
                <w:color w:val="001641"/>
              </w:rPr>
              <w:t>Cease-use rent and occupancy expenses</w:t>
            </w:r>
          </w:p>
        </w:tc>
        <w:tc>
          <w:tcPr>
            <w:tcW w:w="2160" w:type="dxa"/>
            <w:vAlign w:val="bottom"/>
          </w:tcPr>
          <w:p>
            <w:pPr>
              <w:jc w:val="right"/>
              <w:ind w:right="588"/>
              <w:spacing w:after="0"/>
              <w:rPr>
                <w:sz w:val="20"/>
                <w:szCs w:val="20"/>
                <w:color w:val="auto"/>
              </w:rPr>
            </w:pPr>
            <w:r>
              <w:rPr>
                <w:rFonts w:ascii="Arial" w:cs="Arial" w:eastAsia="Arial" w:hAnsi="Arial"/>
                <w:sz w:val="14"/>
                <w:szCs w:val="14"/>
                <w:color w:val="001641"/>
              </w:rPr>
              <w:t>8.3</w:t>
            </w:r>
          </w:p>
        </w:tc>
        <w:tc>
          <w:tcPr>
            <w:tcW w:w="1140" w:type="dxa"/>
            <w:vAlign w:val="bottom"/>
          </w:tcPr>
          <w:p>
            <w:pPr>
              <w:spacing w:after="0"/>
              <w:rPr>
                <w:sz w:val="17"/>
                <w:szCs w:val="17"/>
                <w:color w:val="auto"/>
              </w:rPr>
            </w:pPr>
          </w:p>
        </w:tc>
      </w:tr>
      <w:tr>
        <w:trPr>
          <w:trHeight w:val="22"/>
        </w:trPr>
        <w:tc>
          <w:tcPr>
            <w:tcW w:w="5880" w:type="dxa"/>
            <w:vAlign w:val="bottom"/>
            <w:tcBorders>
              <w:bottom w:val="single" w:sz="8" w:color="BFA071"/>
            </w:tcBorders>
          </w:tcPr>
          <w:p>
            <w:pPr>
              <w:spacing w:after="0" w:line="20" w:lineRule="exact"/>
              <w:rPr>
                <w:sz w:val="1"/>
                <w:szCs w:val="1"/>
                <w:color w:val="auto"/>
              </w:rPr>
            </w:pPr>
          </w:p>
        </w:tc>
        <w:tc>
          <w:tcPr>
            <w:tcW w:w="2160" w:type="dxa"/>
            <w:vAlign w:val="bottom"/>
            <w:tcBorders>
              <w:bottom w:val="single" w:sz="8" w:color="BFA071"/>
            </w:tcBorders>
          </w:tcPr>
          <w:p>
            <w:pPr>
              <w:spacing w:after="0" w:line="20" w:lineRule="exact"/>
              <w:rPr>
                <w:sz w:val="1"/>
                <w:szCs w:val="1"/>
                <w:color w:val="auto"/>
              </w:rPr>
            </w:pPr>
          </w:p>
        </w:tc>
        <w:tc>
          <w:tcPr>
            <w:tcW w:w="1140" w:type="dxa"/>
            <w:vAlign w:val="bottom"/>
            <w:tcBorders>
              <w:bottom w:val="single" w:sz="8" w:color="BFA071"/>
            </w:tcBorders>
          </w:tcPr>
          <w:p>
            <w:pPr>
              <w:spacing w:after="0" w:line="20" w:lineRule="exact"/>
              <w:rPr>
                <w:sz w:val="1"/>
                <w:szCs w:val="1"/>
                <w:color w:val="auto"/>
              </w:rPr>
            </w:pPr>
          </w:p>
        </w:tc>
      </w:tr>
      <w:tr>
        <w:trPr>
          <w:trHeight w:val="201"/>
        </w:trPr>
        <w:tc>
          <w:tcPr>
            <w:tcW w:w="5880" w:type="dxa"/>
            <w:vAlign w:val="bottom"/>
          </w:tcPr>
          <w:p>
            <w:pPr>
              <w:ind w:left="320"/>
              <w:spacing w:after="0"/>
              <w:rPr>
                <w:sz w:val="20"/>
                <w:szCs w:val="20"/>
                <w:color w:val="auto"/>
              </w:rPr>
            </w:pPr>
            <w:r>
              <w:rPr>
                <w:rFonts w:ascii="Arial" w:cs="Arial" w:eastAsia="Arial" w:hAnsi="Arial"/>
                <w:sz w:val="14"/>
                <w:szCs w:val="14"/>
                <w:color w:val="001641"/>
              </w:rPr>
              <w:t>Charitable donation related to Club Monaco sale</w:t>
            </w:r>
          </w:p>
        </w:tc>
        <w:tc>
          <w:tcPr>
            <w:tcW w:w="2160" w:type="dxa"/>
            <w:vAlign w:val="bottom"/>
          </w:tcPr>
          <w:p>
            <w:pPr>
              <w:jc w:val="right"/>
              <w:ind w:right="588"/>
              <w:spacing w:after="0"/>
              <w:rPr>
                <w:sz w:val="20"/>
                <w:szCs w:val="20"/>
                <w:color w:val="auto"/>
              </w:rPr>
            </w:pPr>
            <w:r>
              <w:rPr>
                <w:rFonts w:ascii="Arial" w:cs="Arial" w:eastAsia="Arial" w:hAnsi="Arial"/>
                <w:sz w:val="14"/>
                <w:szCs w:val="14"/>
                <w:color w:val="001641"/>
              </w:rPr>
              <w:t>2.1</w:t>
            </w:r>
          </w:p>
        </w:tc>
        <w:tc>
          <w:tcPr>
            <w:tcW w:w="1140" w:type="dxa"/>
            <w:vAlign w:val="bottom"/>
          </w:tcPr>
          <w:p>
            <w:pPr>
              <w:spacing w:after="0"/>
              <w:rPr>
                <w:sz w:val="17"/>
                <w:szCs w:val="17"/>
                <w:color w:val="auto"/>
              </w:rPr>
            </w:pPr>
          </w:p>
        </w:tc>
      </w:tr>
      <w:tr>
        <w:trPr>
          <w:trHeight w:val="22"/>
        </w:trPr>
        <w:tc>
          <w:tcPr>
            <w:tcW w:w="5880" w:type="dxa"/>
            <w:vAlign w:val="bottom"/>
            <w:tcBorders>
              <w:bottom w:val="single" w:sz="8" w:color="BFA071"/>
            </w:tcBorders>
          </w:tcPr>
          <w:p>
            <w:pPr>
              <w:spacing w:after="0" w:line="20" w:lineRule="exact"/>
              <w:rPr>
                <w:sz w:val="1"/>
                <w:szCs w:val="1"/>
                <w:color w:val="auto"/>
              </w:rPr>
            </w:pPr>
          </w:p>
        </w:tc>
        <w:tc>
          <w:tcPr>
            <w:tcW w:w="2160" w:type="dxa"/>
            <w:vAlign w:val="bottom"/>
            <w:tcBorders>
              <w:bottom w:val="single" w:sz="8" w:color="BFA071"/>
            </w:tcBorders>
          </w:tcPr>
          <w:p>
            <w:pPr>
              <w:spacing w:after="0" w:line="20" w:lineRule="exact"/>
              <w:rPr>
                <w:sz w:val="1"/>
                <w:szCs w:val="1"/>
                <w:color w:val="auto"/>
              </w:rPr>
            </w:pPr>
          </w:p>
        </w:tc>
        <w:tc>
          <w:tcPr>
            <w:tcW w:w="1140" w:type="dxa"/>
            <w:vAlign w:val="bottom"/>
            <w:tcBorders>
              <w:bottom w:val="single" w:sz="8" w:color="BFA071"/>
            </w:tcBorders>
          </w:tcPr>
          <w:p>
            <w:pPr>
              <w:spacing w:after="0" w:line="20" w:lineRule="exact"/>
              <w:rPr>
                <w:sz w:val="1"/>
                <w:szCs w:val="1"/>
                <w:color w:val="auto"/>
              </w:rPr>
            </w:pPr>
          </w:p>
        </w:tc>
      </w:tr>
      <w:tr>
        <w:trPr>
          <w:trHeight w:val="202"/>
        </w:trPr>
        <w:tc>
          <w:tcPr>
            <w:tcW w:w="5880" w:type="dxa"/>
            <w:vAlign w:val="bottom"/>
          </w:tcPr>
          <w:p>
            <w:pPr>
              <w:ind w:left="320"/>
              <w:spacing w:after="0"/>
              <w:rPr>
                <w:sz w:val="20"/>
                <w:szCs w:val="20"/>
                <w:color w:val="auto"/>
              </w:rPr>
            </w:pPr>
            <w:r>
              <w:rPr>
                <w:rFonts w:ascii="Arial" w:cs="Arial" w:eastAsia="Arial" w:hAnsi="Arial"/>
                <w:sz w:val="14"/>
                <w:szCs w:val="14"/>
                <w:color w:val="001641"/>
              </w:rPr>
              <w:t>Club Monaco sale consideration from Regent, L.P.</w:t>
            </w:r>
          </w:p>
        </w:tc>
        <w:tc>
          <w:tcPr>
            <w:tcW w:w="2160" w:type="dxa"/>
            <w:vAlign w:val="bottom"/>
          </w:tcPr>
          <w:p>
            <w:pPr>
              <w:jc w:val="right"/>
              <w:ind w:right="528"/>
              <w:spacing w:after="0"/>
              <w:rPr>
                <w:sz w:val="20"/>
                <w:szCs w:val="20"/>
                <w:color w:val="auto"/>
              </w:rPr>
            </w:pPr>
            <w:r>
              <w:rPr>
                <w:rFonts w:ascii="Arial" w:cs="Arial" w:eastAsia="Arial" w:hAnsi="Arial"/>
                <w:sz w:val="14"/>
                <w:szCs w:val="14"/>
                <w:color w:val="001641"/>
              </w:rPr>
              <w:t>(2.1)</w:t>
            </w:r>
          </w:p>
        </w:tc>
        <w:tc>
          <w:tcPr>
            <w:tcW w:w="1140" w:type="dxa"/>
            <w:vAlign w:val="bottom"/>
          </w:tcPr>
          <w:p>
            <w:pPr>
              <w:spacing w:after="0"/>
              <w:rPr>
                <w:sz w:val="17"/>
                <w:szCs w:val="17"/>
                <w:color w:val="auto"/>
              </w:rPr>
            </w:pPr>
          </w:p>
        </w:tc>
      </w:tr>
      <w:tr>
        <w:trPr>
          <w:trHeight w:val="22"/>
        </w:trPr>
        <w:tc>
          <w:tcPr>
            <w:tcW w:w="5880" w:type="dxa"/>
            <w:vAlign w:val="bottom"/>
            <w:tcBorders>
              <w:bottom w:val="single" w:sz="8" w:color="BFA071"/>
            </w:tcBorders>
          </w:tcPr>
          <w:p>
            <w:pPr>
              <w:spacing w:after="0" w:line="20" w:lineRule="exact"/>
              <w:rPr>
                <w:sz w:val="1"/>
                <w:szCs w:val="1"/>
                <w:color w:val="auto"/>
              </w:rPr>
            </w:pPr>
          </w:p>
        </w:tc>
        <w:tc>
          <w:tcPr>
            <w:tcW w:w="2160" w:type="dxa"/>
            <w:vAlign w:val="bottom"/>
            <w:tcBorders>
              <w:bottom w:val="single" w:sz="8" w:color="BFA071"/>
            </w:tcBorders>
          </w:tcPr>
          <w:p>
            <w:pPr>
              <w:spacing w:after="0" w:line="20" w:lineRule="exact"/>
              <w:rPr>
                <w:sz w:val="1"/>
                <w:szCs w:val="1"/>
                <w:color w:val="auto"/>
              </w:rPr>
            </w:pPr>
          </w:p>
        </w:tc>
        <w:tc>
          <w:tcPr>
            <w:tcW w:w="1140" w:type="dxa"/>
            <w:vAlign w:val="bottom"/>
            <w:tcBorders>
              <w:bottom w:val="single" w:sz="8" w:color="BFA071"/>
            </w:tcBorders>
          </w:tcPr>
          <w:p>
            <w:pPr>
              <w:spacing w:after="0" w:line="20" w:lineRule="exact"/>
              <w:rPr>
                <w:sz w:val="1"/>
                <w:szCs w:val="1"/>
                <w:color w:val="auto"/>
              </w:rPr>
            </w:pPr>
          </w:p>
        </w:tc>
      </w:tr>
      <w:tr>
        <w:trPr>
          <w:trHeight w:val="250"/>
        </w:trPr>
        <w:tc>
          <w:tcPr>
            <w:tcW w:w="5880" w:type="dxa"/>
            <w:vAlign w:val="bottom"/>
            <w:tcBorders>
              <w:bottom w:val="single" w:sz="8" w:color="BFA071"/>
            </w:tcBorders>
          </w:tcPr>
          <w:p>
            <w:pPr>
              <w:ind w:left="140"/>
              <w:spacing w:after="0" w:line="250" w:lineRule="exact"/>
              <w:rPr>
                <w:sz w:val="20"/>
                <w:szCs w:val="20"/>
                <w:color w:val="auto"/>
              </w:rPr>
            </w:pPr>
            <w:r>
              <w:rPr>
                <w:rFonts w:ascii="Arial" w:cs="Arial" w:eastAsia="Arial" w:hAnsi="Arial"/>
                <w:sz w:val="14"/>
                <w:szCs w:val="14"/>
                <w:color w:val="001641"/>
              </w:rPr>
              <w:t>As adjusted in reported currency</w:t>
            </w:r>
            <w:r>
              <w:rPr>
                <w:rFonts w:ascii="Arial" w:cs="Arial" w:eastAsia="Arial" w:hAnsi="Arial"/>
                <w:sz w:val="23"/>
                <w:szCs w:val="23"/>
                <w:color w:val="001641"/>
                <w:vertAlign w:val="superscript"/>
              </w:rPr>
              <w:t>(6)</w:t>
            </w:r>
          </w:p>
        </w:tc>
        <w:tc>
          <w:tcPr>
            <w:tcW w:w="2160" w:type="dxa"/>
            <w:vAlign w:val="bottom"/>
            <w:tcBorders>
              <w:bottom w:val="single" w:sz="8" w:color="BFA071"/>
            </w:tcBorders>
          </w:tcPr>
          <w:p>
            <w:pPr>
              <w:jc w:val="right"/>
              <w:ind w:right="528"/>
              <w:spacing w:after="0"/>
              <w:rPr>
                <w:sz w:val="20"/>
                <w:szCs w:val="20"/>
                <w:color w:val="auto"/>
              </w:rPr>
            </w:pPr>
            <w:r>
              <w:rPr>
                <w:rFonts w:ascii="Arial" w:cs="Arial" w:eastAsia="Arial" w:hAnsi="Arial"/>
                <w:sz w:val="14"/>
                <w:szCs w:val="14"/>
                <w:color w:val="001641"/>
              </w:rPr>
              <w:t>(4,371.9)</w:t>
            </w:r>
          </w:p>
        </w:tc>
        <w:tc>
          <w:tcPr>
            <w:tcW w:w="1140" w:type="dxa"/>
            <w:vAlign w:val="bottom"/>
            <w:tcBorders>
              <w:bottom w:val="single" w:sz="8" w:color="BFA071"/>
            </w:tcBorders>
          </w:tcPr>
          <w:p>
            <w:pPr>
              <w:jc w:val="right"/>
              <w:ind w:right="48"/>
              <w:spacing w:after="0"/>
              <w:rPr>
                <w:sz w:val="20"/>
                <w:szCs w:val="20"/>
                <w:color w:val="auto"/>
              </w:rPr>
            </w:pPr>
            <w:r>
              <w:rPr>
                <w:rFonts w:ascii="Arial" w:cs="Arial" w:eastAsia="Arial" w:hAnsi="Arial"/>
                <w:sz w:val="14"/>
                <w:szCs w:val="14"/>
                <w:color w:val="001641"/>
              </w:rPr>
              <w:t>53.9%</w:t>
            </w:r>
          </w:p>
        </w:tc>
      </w:tr>
      <w:tr>
        <w:trPr>
          <w:trHeight w:val="201"/>
        </w:trPr>
        <w:tc>
          <w:tcPr>
            <w:tcW w:w="5880" w:type="dxa"/>
            <w:vAlign w:val="bottom"/>
          </w:tcPr>
          <w:p>
            <w:pPr>
              <w:ind w:left="320"/>
              <w:spacing w:after="0"/>
              <w:rPr>
                <w:sz w:val="20"/>
                <w:szCs w:val="20"/>
                <w:color w:val="auto"/>
              </w:rPr>
            </w:pPr>
            <w:r>
              <w:rPr>
                <w:rFonts w:ascii="Arial" w:cs="Arial" w:eastAsia="Arial" w:hAnsi="Arial"/>
                <w:sz w:val="14"/>
                <w:szCs w:val="14"/>
                <w:color w:val="001641"/>
              </w:rPr>
              <w:t>Foreign currency impact</w:t>
            </w:r>
          </w:p>
        </w:tc>
        <w:tc>
          <w:tcPr>
            <w:tcW w:w="2160" w:type="dxa"/>
            <w:vAlign w:val="bottom"/>
          </w:tcPr>
          <w:p>
            <w:pPr>
              <w:jc w:val="right"/>
              <w:ind w:right="588"/>
              <w:spacing w:after="0"/>
              <w:rPr>
                <w:sz w:val="20"/>
                <w:szCs w:val="20"/>
                <w:color w:val="auto"/>
              </w:rPr>
            </w:pPr>
            <w:r>
              <w:rPr>
                <w:rFonts w:ascii="Arial" w:cs="Arial" w:eastAsia="Arial" w:hAnsi="Arial"/>
                <w:sz w:val="14"/>
                <w:szCs w:val="14"/>
                <w:color w:val="001641"/>
              </w:rPr>
              <w:t>81.7</w:t>
            </w:r>
          </w:p>
        </w:tc>
        <w:tc>
          <w:tcPr>
            <w:tcW w:w="1140" w:type="dxa"/>
            <w:vAlign w:val="bottom"/>
          </w:tcPr>
          <w:p>
            <w:pPr>
              <w:spacing w:after="0"/>
              <w:rPr>
                <w:sz w:val="17"/>
                <w:szCs w:val="17"/>
                <w:color w:val="auto"/>
              </w:rPr>
            </w:pPr>
          </w:p>
        </w:tc>
      </w:tr>
      <w:tr>
        <w:trPr>
          <w:trHeight w:val="22"/>
        </w:trPr>
        <w:tc>
          <w:tcPr>
            <w:tcW w:w="5880" w:type="dxa"/>
            <w:vAlign w:val="bottom"/>
            <w:tcBorders>
              <w:bottom w:val="single" w:sz="8" w:color="BFA071"/>
            </w:tcBorders>
          </w:tcPr>
          <w:p>
            <w:pPr>
              <w:spacing w:after="0" w:line="20" w:lineRule="exact"/>
              <w:rPr>
                <w:sz w:val="1"/>
                <w:szCs w:val="1"/>
                <w:color w:val="auto"/>
              </w:rPr>
            </w:pPr>
          </w:p>
        </w:tc>
        <w:tc>
          <w:tcPr>
            <w:tcW w:w="2160" w:type="dxa"/>
            <w:vAlign w:val="bottom"/>
            <w:tcBorders>
              <w:bottom w:val="single" w:sz="8" w:color="BFA071"/>
            </w:tcBorders>
          </w:tcPr>
          <w:p>
            <w:pPr>
              <w:spacing w:after="0" w:line="20" w:lineRule="exact"/>
              <w:rPr>
                <w:sz w:val="1"/>
                <w:szCs w:val="1"/>
                <w:color w:val="auto"/>
              </w:rPr>
            </w:pPr>
          </w:p>
        </w:tc>
        <w:tc>
          <w:tcPr>
            <w:tcW w:w="1140" w:type="dxa"/>
            <w:vAlign w:val="bottom"/>
            <w:tcBorders>
              <w:bottom w:val="single" w:sz="8" w:color="BFA071"/>
            </w:tcBorders>
          </w:tcPr>
          <w:p>
            <w:pPr>
              <w:spacing w:after="0" w:line="20" w:lineRule="exact"/>
              <w:rPr>
                <w:sz w:val="1"/>
                <w:szCs w:val="1"/>
                <w:color w:val="auto"/>
              </w:rPr>
            </w:pPr>
          </w:p>
        </w:tc>
      </w:tr>
      <w:tr>
        <w:trPr>
          <w:trHeight w:val="250"/>
        </w:trPr>
        <w:tc>
          <w:tcPr>
            <w:tcW w:w="5880" w:type="dxa"/>
            <w:vAlign w:val="bottom"/>
            <w:tcBorders>
              <w:bottom w:val="single" w:sz="8" w:color="BFA071"/>
            </w:tcBorders>
          </w:tcPr>
          <w:p>
            <w:pPr>
              <w:ind w:left="140"/>
              <w:spacing w:after="0" w:line="250" w:lineRule="exact"/>
              <w:rPr>
                <w:sz w:val="20"/>
                <w:szCs w:val="20"/>
                <w:color w:val="auto"/>
              </w:rPr>
            </w:pPr>
            <w:r>
              <w:rPr>
                <w:rFonts w:ascii="Arial" w:cs="Arial" w:eastAsia="Arial" w:hAnsi="Arial"/>
                <w:sz w:val="14"/>
                <w:szCs w:val="14"/>
                <w:color w:val="001641"/>
              </w:rPr>
              <w:t>As adjusted in constant currency</w:t>
            </w:r>
            <w:r>
              <w:rPr>
                <w:rFonts w:ascii="Arial" w:cs="Arial" w:eastAsia="Arial" w:hAnsi="Arial"/>
                <w:sz w:val="23"/>
                <w:szCs w:val="23"/>
                <w:color w:val="001641"/>
                <w:vertAlign w:val="superscript"/>
              </w:rPr>
              <w:t>(6)</w:t>
            </w:r>
          </w:p>
        </w:tc>
        <w:tc>
          <w:tcPr>
            <w:tcW w:w="2160" w:type="dxa"/>
            <w:vAlign w:val="bottom"/>
            <w:tcBorders>
              <w:bottom w:val="single" w:sz="8" w:color="BFA071"/>
            </w:tcBorders>
          </w:tcPr>
          <w:p>
            <w:pPr>
              <w:jc w:val="right"/>
              <w:ind w:right="528"/>
              <w:spacing w:after="0"/>
              <w:rPr>
                <w:sz w:val="20"/>
                <w:szCs w:val="20"/>
                <w:color w:val="auto"/>
              </w:rPr>
            </w:pPr>
            <w:r>
              <w:rPr>
                <w:rFonts w:ascii="Arial" w:cs="Arial" w:eastAsia="Arial" w:hAnsi="Arial"/>
                <w:sz w:val="14"/>
                <w:szCs w:val="14"/>
                <w:color w:val="001641"/>
              </w:rPr>
              <w:t>$(4,290.2)</w:t>
            </w:r>
          </w:p>
        </w:tc>
        <w:tc>
          <w:tcPr>
            <w:tcW w:w="1140" w:type="dxa"/>
            <w:vAlign w:val="bottom"/>
            <w:tcBorders>
              <w:bottom w:val="single" w:sz="8" w:color="BFA071"/>
            </w:tcBorders>
          </w:tcPr>
          <w:p>
            <w:pPr>
              <w:jc w:val="right"/>
              <w:ind w:right="48"/>
              <w:spacing w:after="0"/>
              <w:rPr>
                <w:sz w:val="20"/>
                <w:szCs w:val="20"/>
                <w:color w:val="auto"/>
              </w:rPr>
            </w:pPr>
            <w:r>
              <w:rPr>
                <w:rFonts w:ascii="Arial" w:cs="Arial" w:eastAsia="Arial" w:hAnsi="Arial"/>
                <w:sz w:val="14"/>
                <w:szCs w:val="14"/>
                <w:color w:val="001641"/>
              </w:rPr>
              <w:t>54.2%</w:t>
            </w:r>
          </w:p>
        </w:tc>
      </w:tr>
      <w:tr>
        <w:trPr>
          <w:trHeight w:val="202"/>
        </w:trPr>
        <w:tc>
          <w:tcPr>
            <w:tcW w:w="5880" w:type="dxa"/>
            <w:vAlign w:val="bottom"/>
          </w:tcPr>
          <w:p>
            <w:pPr>
              <w:ind w:left="140"/>
              <w:spacing w:after="0"/>
              <w:rPr>
                <w:sz w:val="20"/>
                <w:szCs w:val="20"/>
                <w:color w:val="auto"/>
              </w:rPr>
            </w:pPr>
            <w:r>
              <w:rPr>
                <w:rFonts w:ascii="Arial" w:cs="Arial" w:eastAsia="Arial" w:hAnsi="Arial"/>
                <w:sz w:val="14"/>
                <w:szCs w:val="14"/>
                <w:color w:val="001641"/>
              </w:rPr>
              <w:t>Additional adjustments approved by Talent Committee:</w:t>
            </w: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
        </w:trPr>
        <w:tc>
          <w:tcPr>
            <w:tcW w:w="5880" w:type="dxa"/>
            <w:vAlign w:val="bottom"/>
            <w:tcBorders>
              <w:bottom w:val="single" w:sz="8" w:color="BFA071"/>
            </w:tcBorders>
          </w:tcPr>
          <w:p>
            <w:pPr>
              <w:spacing w:after="0" w:line="20" w:lineRule="exact"/>
              <w:rPr>
                <w:sz w:val="1"/>
                <w:szCs w:val="1"/>
                <w:color w:val="auto"/>
              </w:rPr>
            </w:pPr>
          </w:p>
        </w:tc>
        <w:tc>
          <w:tcPr>
            <w:tcW w:w="2160" w:type="dxa"/>
            <w:vAlign w:val="bottom"/>
            <w:tcBorders>
              <w:bottom w:val="single" w:sz="8" w:color="BFA071"/>
            </w:tcBorders>
          </w:tcPr>
          <w:p>
            <w:pPr>
              <w:spacing w:after="0" w:line="20" w:lineRule="exact"/>
              <w:rPr>
                <w:sz w:val="1"/>
                <w:szCs w:val="1"/>
                <w:color w:val="auto"/>
              </w:rPr>
            </w:pPr>
          </w:p>
        </w:tc>
        <w:tc>
          <w:tcPr>
            <w:tcW w:w="1140" w:type="dxa"/>
            <w:vAlign w:val="bottom"/>
            <w:tcBorders>
              <w:bottom w:val="single" w:sz="8" w:color="BFA071"/>
            </w:tcBorders>
          </w:tcPr>
          <w:p>
            <w:pPr>
              <w:spacing w:after="0" w:line="20" w:lineRule="exact"/>
              <w:rPr>
                <w:sz w:val="1"/>
                <w:szCs w:val="1"/>
                <w:color w:val="auto"/>
              </w:rPr>
            </w:pPr>
          </w:p>
        </w:tc>
      </w:tr>
      <w:tr>
        <w:trPr>
          <w:trHeight w:val="250"/>
        </w:trPr>
        <w:tc>
          <w:tcPr>
            <w:tcW w:w="5880" w:type="dxa"/>
            <w:vAlign w:val="bottom"/>
            <w:tcBorders>
              <w:bottom w:val="single" w:sz="8" w:color="BFA071"/>
            </w:tcBorders>
          </w:tcPr>
          <w:p>
            <w:pPr>
              <w:ind w:left="320"/>
              <w:spacing w:after="0" w:line="250" w:lineRule="exact"/>
              <w:rPr>
                <w:sz w:val="20"/>
                <w:szCs w:val="20"/>
                <w:color w:val="auto"/>
              </w:rPr>
            </w:pPr>
            <w:r>
              <w:rPr>
                <w:rFonts w:ascii="Arial" w:cs="Arial" w:eastAsia="Arial" w:hAnsi="Arial"/>
                <w:sz w:val="14"/>
                <w:szCs w:val="14"/>
                <w:color w:val="001641"/>
              </w:rPr>
              <w:t>Marketing &amp; advertising expense in constant currency</w:t>
            </w:r>
            <w:r>
              <w:rPr>
                <w:rFonts w:ascii="Arial" w:cs="Arial" w:eastAsia="Arial" w:hAnsi="Arial"/>
                <w:sz w:val="23"/>
                <w:szCs w:val="23"/>
                <w:color w:val="001641"/>
                <w:vertAlign w:val="superscript"/>
              </w:rPr>
              <w:t>(7)</w:t>
            </w:r>
          </w:p>
        </w:tc>
        <w:tc>
          <w:tcPr>
            <w:tcW w:w="2160" w:type="dxa"/>
            <w:vAlign w:val="bottom"/>
            <w:tcBorders>
              <w:bottom w:val="single" w:sz="8" w:color="BFA071"/>
            </w:tcBorders>
          </w:tcPr>
          <w:p>
            <w:pPr>
              <w:jc w:val="right"/>
              <w:ind w:right="588"/>
              <w:spacing w:after="0"/>
              <w:rPr>
                <w:sz w:val="20"/>
                <w:szCs w:val="20"/>
                <w:color w:val="auto"/>
              </w:rPr>
            </w:pPr>
            <w:r>
              <w:rPr>
                <w:rFonts w:ascii="Arial" w:cs="Arial" w:eastAsia="Arial" w:hAnsi="Arial"/>
                <w:sz w:val="14"/>
                <w:szCs w:val="14"/>
                <w:color w:val="001641"/>
              </w:rPr>
              <w:t>622.7</w:t>
            </w:r>
          </w:p>
        </w:tc>
        <w:tc>
          <w:tcPr>
            <w:tcW w:w="1140" w:type="dxa"/>
            <w:vAlign w:val="bottom"/>
            <w:tcBorders>
              <w:bottom w:val="single" w:sz="8" w:color="BFA071"/>
            </w:tcBorders>
          </w:tcPr>
          <w:p>
            <w:pPr>
              <w:spacing w:after="0"/>
              <w:rPr>
                <w:sz w:val="21"/>
                <w:szCs w:val="21"/>
                <w:color w:val="auto"/>
              </w:rPr>
            </w:pPr>
          </w:p>
        </w:tc>
      </w:tr>
      <w:tr>
        <w:trPr>
          <w:trHeight w:val="250"/>
        </w:trPr>
        <w:tc>
          <w:tcPr>
            <w:tcW w:w="5880" w:type="dxa"/>
            <w:vAlign w:val="bottom"/>
            <w:tcBorders>
              <w:bottom w:val="single" w:sz="8" w:color="BFA071"/>
            </w:tcBorders>
          </w:tcPr>
          <w:p>
            <w:pPr>
              <w:ind w:left="320"/>
              <w:spacing w:after="0" w:line="250" w:lineRule="exact"/>
              <w:rPr>
                <w:sz w:val="20"/>
                <w:szCs w:val="20"/>
                <w:color w:val="auto"/>
              </w:rPr>
            </w:pPr>
            <w:r>
              <w:rPr>
                <w:rFonts w:ascii="Arial" w:cs="Arial" w:eastAsia="Arial" w:hAnsi="Arial"/>
                <w:sz w:val="14"/>
                <w:szCs w:val="14"/>
                <w:color w:val="001641"/>
              </w:rPr>
              <w:t>Strategic goal modifier in constant currency</w:t>
            </w:r>
            <w:r>
              <w:rPr>
                <w:rFonts w:ascii="Arial" w:cs="Arial" w:eastAsia="Arial" w:hAnsi="Arial"/>
                <w:sz w:val="23"/>
                <w:szCs w:val="23"/>
                <w:color w:val="001641"/>
                <w:vertAlign w:val="superscript"/>
              </w:rPr>
              <w:t>(5)</w:t>
            </w:r>
          </w:p>
        </w:tc>
        <w:tc>
          <w:tcPr>
            <w:tcW w:w="2160" w:type="dxa"/>
            <w:vAlign w:val="bottom"/>
            <w:tcBorders>
              <w:bottom w:val="single" w:sz="8" w:color="BFA071"/>
            </w:tcBorders>
          </w:tcPr>
          <w:p>
            <w:pPr>
              <w:jc w:val="right"/>
              <w:ind w:right="588"/>
              <w:spacing w:after="0"/>
              <w:rPr>
                <w:sz w:val="20"/>
                <w:szCs w:val="20"/>
                <w:color w:val="auto"/>
              </w:rPr>
            </w:pPr>
            <w:r>
              <w:rPr>
                <w:rFonts w:ascii="Arial" w:cs="Arial" w:eastAsia="Arial" w:hAnsi="Arial"/>
                <w:sz w:val="14"/>
                <w:szCs w:val="14"/>
                <w:color w:val="001641"/>
              </w:rPr>
              <w:t>10.4</w:t>
            </w:r>
          </w:p>
        </w:tc>
        <w:tc>
          <w:tcPr>
            <w:tcW w:w="1140" w:type="dxa"/>
            <w:vAlign w:val="bottom"/>
            <w:tcBorders>
              <w:bottom w:val="single" w:sz="8" w:color="BFA071"/>
            </w:tcBorders>
          </w:tcPr>
          <w:p>
            <w:pPr>
              <w:spacing w:after="0"/>
              <w:rPr>
                <w:sz w:val="21"/>
                <w:szCs w:val="21"/>
                <w:color w:val="auto"/>
              </w:rPr>
            </w:pPr>
          </w:p>
        </w:tc>
      </w:tr>
      <w:tr>
        <w:trPr>
          <w:trHeight w:val="173"/>
        </w:trPr>
        <w:tc>
          <w:tcPr>
            <w:tcW w:w="5880" w:type="dxa"/>
            <w:vAlign w:val="bottom"/>
          </w:tcPr>
          <w:p>
            <w:pPr>
              <w:ind w:left="140"/>
              <w:spacing w:after="0"/>
              <w:rPr>
                <w:sz w:val="20"/>
                <w:szCs w:val="20"/>
                <w:color w:val="auto"/>
              </w:rPr>
            </w:pPr>
            <w:r>
              <w:rPr>
                <w:rFonts w:ascii="Arial" w:cs="Arial" w:eastAsia="Arial" w:hAnsi="Arial"/>
                <w:sz w:val="14"/>
                <w:szCs w:val="14"/>
                <w:color w:val="001641"/>
              </w:rPr>
              <w:t>As adjusted in constant currency excluding marketing &amp;</w:t>
            </w:r>
          </w:p>
        </w:tc>
        <w:tc>
          <w:tcPr>
            <w:tcW w:w="2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4"/>
        </w:trPr>
        <w:tc>
          <w:tcPr>
            <w:tcW w:w="5880" w:type="dxa"/>
            <w:vAlign w:val="bottom"/>
            <w:tcBorders>
              <w:bottom w:val="single" w:sz="8" w:color="001641"/>
            </w:tcBorders>
          </w:tcPr>
          <w:p>
            <w:pPr>
              <w:ind w:left="140"/>
              <w:spacing w:after="0"/>
              <w:rPr>
                <w:sz w:val="20"/>
                <w:szCs w:val="20"/>
                <w:color w:val="auto"/>
              </w:rPr>
            </w:pPr>
            <w:r>
              <w:rPr>
                <w:rFonts w:ascii="Arial" w:cs="Arial" w:eastAsia="Arial" w:hAnsi="Arial"/>
                <w:sz w:val="14"/>
                <w:szCs w:val="14"/>
                <w:color w:val="001641"/>
              </w:rPr>
              <w:t>advertising expense and before strategic goal modifier</w:t>
            </w:r>
          </w:p>
        </w:tc>
        <w:tc>
          <w:tcPr>
            <w:tcW w:w="2160" w:type="dxa"/>
            <w:vAlign w:val="bottom"/>
            <w:tcBorders>
              <w:bottom w:val="single" w:sz="8" w:color="001641"/>
            </w:tcBorders>
          </w:tcPr>
          <w:p>
            <w:pPr>
              <w:jc w:val="right"/>
              <w:ind w:right="528"/>
              <w:spacing w:after="0"/>
              <w:rPr>
                <w:sz w:val="20"/>
                <w:szCs w:val="20"/>
                <w:color w:val="auto"/>
              </w:rPr>
            </w:pPr>
            <w:r>
              <w:rPr>
                <w:rFonts w:ascii="Arial" w:cs="Arial" w:eastAsia="Arial" w:hAnsi="Arial"/>
                <w:sz w:val="14"/>
                <w:szCs w:val="14"/>
                <w:color w:val="001641"/>
              </w:rPr>
              <w:t>$(3,657.1)</w:t>
            </w:r>
          </w:p>
        </w:tc>
        <w:tc>
          <w:tcPr>
            <w:tcW w:w="1140" w:type="dxa"/>
            <w:vAlign w:val="bottom"/>
            <w:tcBorders>
              <w:bottom w:val="single" w:sz="8" w:color="001641"/>
            </w:tcBorders>
          </w:tcPr>
          <w:p>
            <w:pPr>
              <w:jc w:val="right"/>
              <w:ind w:right="48"/>
              <w:spacing w:after="0"/>
              <w:rPr>
                <w:sz w:val="20"/>
                <w:szCs w:val="20"/>
                <w:color w:val="auto"/>
              </w:rPr>
            </w:pPr>
            <w:r>
              <w:rPr>
                <w:rFonts w:ascii="Arial" w:cs="Arial" w:eastAsia="Arial" w:hAnsi="Arial"/>
                <w:sz w:val="14"/>
                <w:szCs w:val="14"/>
                <w:color w:val="001641"/>
              </w:rPr>
              <w:t>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-2965450</wp:posOffset>
            </wp:positionV>
            <wp:extent cx="195453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-2811145</wp:posOffset>
            </wp:positionV>
            <wp:extent cx="195453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33" w:lineRule="exact"/>
        <w:rPr>
          <w:sz w:val="20"/>
          <w:szCs w:val="20"/>
          <w:color w:val="auto"/>
        </w:rPr>
      </w:pPr>
    </w:p>
    <w:p>
      <w:pPr>
        <w:ind w:left="346" w:hanging="346"/>
        <w:spacing w:after="0"/>
        <w:tabs>
          <w:tab w:leader="none" w:pos="346" w:val="left"/>
        </w:tabs>
        <w:numPr>
          <w:ilvl w:val="0"/>
          <w:numId w:val="106"/>
        </w:numPr>
        <w:rPr>
          <w:rFonts w:ascii="Arial" w:cs="Arial" w:eastAsia="Arial" w:hAnsi="Arial"/>
          <w:sz w:val="14"/>
          <w:szCs w:val="14"/>
          <w:color w:val="4C4C4C"/>
        </w:rPr>
      </w:pPr>
      <w:r>
        <w:rPr>
          <w:rFonts w:ascii="Arial" w:cs="Arial" w:eastAsia="Arial" w:hAnsi="Arial"/>
          <w:sz w:val="14"/>
          <w:szCs w:val="14"/>
          <w:color w:val="4C4C4C"/>
        </w:rPr>
        <w:t>P&amp;E = Property &amp; equipment, net.</w:t>
      </w:r>
    </w:p>
    <w:p>
      <w:pPr>
        <w:spacing w:after="0" w:line="55" w:lineRule="exact"/>
        <w:rPr>
          <w:rFonts w:ascii="Arial" w:cs="Arial" w:eastAsia="Arial" w:hAnsi="Arial"/>
          <w:sz w:val="14"/>
          <w:szCs w:val="14"/>
          <w:color w:val="4C4C4C"/>
        </w:rPr>
      </w:pPr>
    </w:p>
    <w:p>
      <w:pPr>
        <w:ind w:left="346" w:right="540" w:hanging="346"/>
        <w:spacing w:after="0" w:line="281" w:lineRule="auto"/>
        <w:tabs>
          <w:tab w:leader="none" w:pos="346" w:val="left"/>
        </w:tabs>
        <w:numPr>
          <w:ilvl w:val="0"/>
          <w:numId w:val="106"/>
        </w:numPr>
        <w:rPr>
          <w:rFonts w:ascii="Arial" w:cs="Arial" w:eastAsia="Arial" w:hAnsi="Arial"/>
          <w:sz w:val="14"/>
          <w:szCs w:val="14"/>
          <w:color w:val="4C4C4C"/>
        </w:rPr>
      </w:pPr>
      <w:r>
        <w:rPr>
          <w:rFonts w:ascii="Arial" w:cs="Arial" w:eastAsia="Arial" w:hAnsi="Arial"/>
          <w:sz w:val="14"/>
          <w:szCs w:val="14"/>
          <w:color w:val="4C4C4C"/>
        </w:rPr>
        <w:t>ROIC% is calculated as Net income divided by the sum of Inventories and P&amp;E; Fiscal 2024 - 2026 cumulative adjusted ROIC was 132.5%.</w:t>
      </w:r>
    </w:p>
    <w:p>
      <w:pPr>
        <w:spacing w:after="0" w:line="1" w:lineRule="exact"/>
        <w:rPr>
          <w:rFonts w:ascii="Arial" w:cs="Arial" w:eastAsia="Arial" w:hAnsi="Arial"/>
          <w:sz w:val="14"/>
          <w:szCs w:val="14"/>
          <w:color w:val="4C4C4C"/>
        </w:rPr>
      </w:pPr>
    </w:p>
    <w:p>
      <w:pPr>
        <w:ind w:left="346" w:right="640" w:hanging="346"/>
        <w:spacing w:after="0" w:line="281" w:lineRule="auto"/>
        <w:tabs>
          <w:tab w:leader="none" w:pos="346" w:val="left"/>
        </w:tabs>
        <w:numPr>
          <w:ilvl w:val="0"/>
          <w:numId w:val="106"/>
        </w:numPr>
        <w:rPr>
          <w:rFonts w:ascii="Arial" w:cs="Arial" w:eastAsia="Arial" w:hAnsi="Arial"/>
          <w:sz w:val="14"/>
          <w:szCs w:val="14"/>
          <w:color w:val="4C4C4C"/>
        </w:rPr>
      </w:pPr>
      <w:r>
        <w:rPr>
          <w:rFonts w:ascii="Arial" w:cs="Arial" w:eastAsia="Arial" w:hAnsi="Arial"/>
          <w:sz w:val="14"/>
          <w:szCs w:val="14"/>
          <w:color w:val="4C4C4C"/>
        </w:rPr>
        <w:t>Refer to the Company’s Fiscal 2026, Fiscal 2025, Fiscal 2024, Fiscal 2023, and Fiscal 2022 Form 10-Ks for additional discussion regarding these adjustments.</w:t>
      </w:r>
    </w:p>
    <w:p>
      <w:pPr>
        <w:spacing w:after="0" w:line="1" w:lineRule="exact"/>
        <w:rPr>
          <w:rFonts w:ascii="Arial" w:cs="Arial" w:eastAsia="Arial" w:hAnsi="Arial"/>
          <w:sz w:val="14"/>
          <w:szCs w:val="14"/>
          <w:color w:val="4C4C4C"/>
        </w:rPr>
      </w:pPr>
    </w:p>
    <w:p>
      <w:pPr>
        <w:ind w:left="346" w:right="240" w:hanging="346"/>
        <w:spacing w:after="0" w:line="281" w:lineRule="auto"/>
        <w:tabs>
          <w:tab w:leader="none" w:pos="346" w:val="left"/>
        </w:tabs>
        <w:numPr>
          <w:ilvl w:val="0"/>
          <w:numId w:val="106"/>
        </w:numPr>
        <w:rPr>
          <w:rFonts w:ascii="Arial" w:cs="Arial" w:eastAsia="Arial" w:hAnsi="Arial"/>
          <w:sz w:val="14"/>
          <w:szCs w:val="14"/>
          <w:color w:val="4C4C4C"/>
        </w:rPr>
      </w:pPr>
      <w:r>
        <w:rPr>
          <w:rFonts w:ascii="Arial" w:cs="Arial" w:eastAsia="Arial" w:hAnsi="Arial"/>
          <w:sz w:val="14"/>
          <w:szCs w:val="14"/>
          <w:color w:val="4C4C4C"/>
        </w:rPr>
        <w:t>Represents tax-related effects of the previously described adjustments to operating income, which were calculated using the respective statutory tax rates for each applicable jurisdiction.</w:t>
      </w:r>
    </w:p>
    <w:p>
      <w:pPr>
        <w:spacing w:after="0" w:line="1" w:lineRule="exact"/>
        <w:rPr>
          <w:rFonts w:ascii="Arial" w:cs="Arial" w:eastAsia="Arial" w:hAnsi="Arial"/>
          <w:sz w:val="14"/>
          <w:szCs w:val="14"/>
          <w:color w:val="4C4C4C"/>
        </w:rPr>
      </w:pPr>
    </w:p>
    <w:p>
      <w:pPr>
        <w:ind w:left="346" w:right="440" w:hanging="346"/>
        <w:spacing w:after="0" w:line="281" w:lineRule="auto"/>
        <w:tabs>
          <w:tab w:leader="none" w:pos="346" w:val="left"/>
        </w:tabs>
        <w:numPr>
          <w:ilvl w:val="0"/>
          <w:numId w:val="106"/>
        </w:numPr>
        <w:rPr>
          <w:rFonts w:ascii="Arial" w:cs="Arial" w:eastAsia="Arial" w:hAnsi="Arial"/>
          <w:sz w:val="14"/>
          <w:szCs w:val="14"/>
          <w:color w:val="4C4C4C"/>
        </w:rPr>
      </w:pPr>
      <w:r>
        <w:rPr>
          <w:rFonts w:ascii="Arial" w:cs="Arial" w:eastAsia="Arial" w:hAnsi="Arial"/>
          <w:sz w:val="14"/>
          <w:szCs w:val="14"/>
          <w:color w:val="4C4C4C"/>
        </w:rPr>
        <w:t>Represents impact associated with the Company’s strategic goal modifier exceeding target level related to its Fiscal 2026 short-term incentive plan.</w:t>
      </w:r>
    </w:p>
    <w:p>
      <w:pPr>
        <w:spacing w:after="0" w:line="1" w:lineRule="exact"/>
        <w:rPr>
          <w:rFonts w:ascii="Arial" w:cs="Arial" w:eastAsia="Arial" w:hAnsi="Arial"/>
          <w:sz w:val="14"/>
          <w:szCs w:val="14"/>
          <w:color w:val="4C4C4C"/>
        </w:rPr>
      </w:pPr>
    </w:p>
    <w:p>
      <w:pPr>
        <w:ind w:left="346" w:hanging="346"/>
        <w:spacing w:after="0" w:line="281" w:lineRule="auto"/>
        <w:tabs>
          <w:tab w:leader="none" w:pos="346" w:val="left"/>
        </w:tabs>
        <w:numPr>
          <w:ilvl w:val="0"/>
          <w:numId w:val="106"/>
        </w:numPr>
        <w:rPr>
          <w:rFonts w:ascii="Arial" w:cs="Arial" w:eastAsia="Arial" w:hAnsi="Arial"/>
          <w:sz w:val="14"/>
          <w:szCs w:val="14"/>
          <w:color w:val="4C4C4C"/>
        </w:rPr>
      </w:pPr>
      <w:r>
        <w:rPr>
          <w:rFonts w:ascii="Arial" w:cs="Arial" w:eastAsia="Arial" w:hAnsi="Arial"/>
          <w:sz w:val="14"/>
          <w:szCs w:val="14"/>
          <w:color w:val="4C4C4C"/>
        </w:rPr>
        <w:t>Fiscal 2026 adjusted balances as previously disclosed in the Company’s earnings press releases furnished as Exhibit 99.1 to the Form 8-K filed on May 21, 2026.</w:t>
      </w:r>
    </w:p>
    <w:p>
      <w:pPr>
        <w:spacing w:after="0" w:line="1" w:lineRule="exact"/>
        <w:rPr>
          <w:rFonts w:ascii="Arial" w:cs="Arial" w:eastAsia="Arial" w:hAnsi="Arial"/>
          <w:sz w:val="14"/>
          <w:szCs w:val="14"/>
          <w:color w:val="4C4C4C"/>
        </w:rPr>
      </w:pPr>
    </w:p>
    <w:p>
      <w:pPr>
        <w:ind w:left="346" w:hanging="346"/>
        <w:spacing w:after="0" w:line="285" w:lineRule="auto"/>
        <w:tabs>
          <w:tab w:leader="none" w:pos="346" w:val="left"/>
        </w:tabs>
        <w:numPr>
          <w:ilvl w:val="0"/>
          <w:numId w:val="106"/>
        </w:numPr>
        <w:rPr>
          <w:rFonts w:ascii="Arial" w:cs="Arial" w:eastAsia="Arial" w:hAnsi="Arial"/>
          <w:sz w:val="14"/>
          <w:szCs w:val="14"/>
          <w:color w:val="4C4C4C"/>
        </w:rPr>
      </w:pPr>
      <w:r>
        <w:rPr>
          <w:rFonts w:ascii="Arial" w:cs="Arial" w:eastAsia="Arial" w:hAnsi="Arial"/>
          <w:sz w:val="14"/>
          <w:szCs w:val="14"/>
          <w:color w:val="4C4C4C"/>
        </w:rPr>
        <w:t>In accordance with the EIP targets established by the Talent Committee at the beginning of the fiscal year, marketing &amp; advertising expense has been excluded for purposes of determining the achievement level reached related to its Fiscal 2026 short-term incentive plan.</w:t>
      </w:r>
    </w:p>
    <w:p>
      <w:pPr>
        <w:spacing w:after="0" w:line="99" w:lineRule="exact"/>
        <w:rPr>
          <w:sz w:val="20"/>
          <w:szCs w:val="20"/>
          <w:color w:val="auto"/>
        </w:rPr>
      </w:pPr>
    </w:p>
    <w:p>
      <w:pPr>
        <w:ind w:left="6" w:right="20"/>
        <w:spacing w:after="0" w:line="250" w:lineRule="auto"/>
        <w:rPr>
          <w:sz w:val="20"/>
          <w:szCs w:val="20"/>
          <w:color w:val="auto"/>
        </w:rPr>
      </w:pPr>
      <w:r>
        <w:rPr>
          <w:rFonts w:ascii="Arial" w:cs="Arial" w:eastAsia="Arial" w:hAnsi="Arial"/>
          <w:sz w:val="16"/>
          <w:szCs w:val="16"/>
          <w:color w:val="auto"/>
        </w:rPr>
        <w:t>Because Ralph Lauren Corporation is a global company, the comparability of its operating results reported in U.S. Dollars is affected by foreign currency exchange rate fluctuations because the underlying currencies in which it transacts change in value over time compared to the U.S. Dollar. Such fluctuations can have a significant effect on the Company’s reported results. As such, in addition to financial measures prepared in accordance with accounting principles generally accepted in the U.S. (“U.S. GAAP”), the Company’s discussions often contain references to constant currency measures, which are calculated by translating current-year and prior-year reported amounts into comparable amounts using a single foreign exchange rate for each currency. The Company presents constant currency financial information, which is a non-U.S. GAAP financial measure, as a supplement to its reported operating results. The Company uses constant currency information to provide a framework for assessing how its businesses performed excluding the effects of foreign currency exchange rate fluctuations. Management believes this information is useful to investors for facilitating comparisons of operating results and better identifying trends in the Company’s businesses. The constant currency performance measures should be viewed in addition to, and not in lieu of or superior to, the Company’s operating performance measures calculated in accordance with U.S. GAAP.</w:t>
      </w:r>
    </w:p>
    <w:p>
      <w:pPr>
        <w:spacing w:after="0" w:line="130" w:lineRule="exact"/>
        <w:rPr>
          <w:sz w:val="20"/>
          <w:szCs w:val="20"/>
          <w:color w:val="auto"/>
        </w:rPr>
      </w:pPr>
    </w:p>
    <w:p>
      <w:pPr>
        <w:ind w:left="6" w:right="60"/>
        <w:spacing w:after="0" w:line="259" w:lineRule="auto"/>
        <w:rPr>
          <w:sz w:val="20"/>
          <w:szCs w:val="20"/>
          <w:color w:val="auto"/>
        </w:rPr>
      </w:pPr>
      <w:r>
        <w:rPr>
          <w:rFonts w:ascii="Arial" w:cs="Arial" w:eastAsia="Arial" w:hAnsi="Arial"/>
          <w:sz w:val="16"/>
          <w:szCs w:val="16"/>
          <w:color w:val="auto"/>
        </w:rPr>
        <w:t>This Proxy Statement also includes certain other non-U.S. GAAP financial measures relating to the impact of charges and other items as described herein. The Company uses non-U.S. GAAP financial measures, among other things, to evaluate its operating performance and to better represent the manner in which it conducts and views its business. In addition, the Talent Committee uses non-U.S. GAAP measures to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58293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88"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001641"/>
        </w:rPr>
        <w:t xml:space="preserve">130 </w:t>
      </w:r>
      <w:r>
        <w:rPr>
          <w:rFonts w:ascii="Arial" w:cs="Arial" w:eastAsia="Arial" w:hAnsi="Arial"/>
          <w:sz w:val="14"/>
          <w:szCs w:val="14"/>
          <w:color w:val="808080"/>
        </w:rPr>
        <w:t xml:space="preserve">Ralph Lauren 2026 Proxy Statement                                                                              </w:t>
      </w:r>
      <w:r>
        <w:rPr>
          <w:sz w:val="1"/>
          <w:szCs w:val="1"/>
          <w:color w:val="auto"/>
        </w:rPr>
        <w:drawing>
          <wp:inline distT="0" distB="0" distL="0" distR="0">
            <wp:extent cx="128905" cy="111760"/>
            <wp:effectExtent l="0" t="0" r="0" b="0"/>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r>
      <w:r>
        <w:rPr>
          <w:rFonts w:ascii="Arial" w:cs="Arial" w:eastAsia="Arial" w:hAnsi="Arial"/>
          <w:sz w:val="14"/>
          <w:szCs w:val="14"/>
          <w:color w:val="80808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109855</wp:posOffset>
            </wp:positionV>
            <wp:extent cx="6995160" cy="171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1641"/>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and certify the achievement of certain performance-based compensation goals. The Company believes that excluding items that are not comparable from period to period helps investors and others compare operating performance between two periods. While the Company considers non-U.S. GAAP measures useful in analyzing its results, they are not intended to replace, nor act as a substitute for, any presentation included in the consolidated financial statements prepared in conformity with U.S. GAAP, and may be different from non-U.S. GAAP measures reported by other companies.</w:t>
      </w:r>
    </w:p>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Adjustments made during the fiscal periods presented include charges recorded in connection with the Company's restructuring activities, as well as certain other charges (benefits) associated with other non-recurring events, as described in the reconciliations of the non-U.S. GAAP financial measures above. Net income has been adjusted for the tax-related effects of these charges, which were calculated using the respective statutory tax rates for each applicable jurisdiction. Net income has also been adjusted for certain other one-time income tax events and other adjustments, as described in the reconciliations of the non-U.S. GAAP financial measures above. Included in this Proxy Statement are reconciliations between the non-U.S. GAAP financial measures and the most directly comparable U.S. GAAP measures before and after these adjustments.</w:t>
      </w:r>
    </w:p>
    <w:p>
      <w:pPr>
        <w:spacing w:after="0" w:line="127"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Refer to the Company’s Fiscal 2026, Fiscal 2025, Fiscal 2024, Fiscal 2023, Fiscal 2022, and Fiscal 2021 Form 10-Ks for additional discussion regarding these adjustments. Included in this Appendix B is a reconciliation between the non-U.S. GAAP financial measures and the most directly comparable U.S. GAAP measures before and after these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582930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254635</wp:posOffset>
            </wp:positionV>
            <wp:extent cx="128905" cy="11112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808080"/>
        </w:rPr>
        <w:t xml:space="preserve">Ralph Lauren 2026 Proxy Statement </w:t>
      </w:r>
      <w:r>
        <w:rPr>
          <w:rFonts w:ascii="Arial" w:cs="Arial" w:eastAsia="Arial" w:hAnsi="Arial"/>
          <w:sz w:val="14"/>
          <w:szCs w:val="14"/>
          <w:b w:val="1"/>
          <w:bCs w:val="1"/>
          <w:color w:val="001641"/>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118110</wp:posOffset>
            </wp:positionV>
            <wp:extent cx="6995160" cy="171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59690</wp:posOffset>
            </wp:positionV>
            <wp:extent cx="6995160" cy="905256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A"/>
      <w:numFmt w:val="bullet"/>
      <w:start w:val="1"/>
    </w:lvl>
  </w:abstractNum>
  <w:abstractNum w:abstractNumId="2">
    <w:nsid w:val="4F4EF005"/>
    <w:multiLevelType w:val="hybridMultilevel"/>
    <w:lvl w:ilvl="0">
      <w:lvlJc w:val="left"/>
      <w:lvlText w:val="1"/>
      <w:numFmt w:val="bullet"/>
      <w:start w:val="1"/>
    </w:lvl>
  </w:abstractNum>
  <w:abstractNum w:abstractNumId="3">
    <w:nsid w:val="23F9C13C"/>
    <w:multiLevelType w:val="hybridMultilevel"/>
    <w:lvl w:ilvl="0">
      <w:lvlJc w:val="left"/>
      <w:lvlText w:val="2"/>
      <w:numFmt w:val="bullet"/>
      <w:start w:val="1"/>
    </w:lvl>
  </w:abstractNum>
  <w:abstractNum w:abstractNumId="4">
    <w:nsid w:val="649BB77C"/>
    <w:multiLevelType w:val="hybridMultilevel"/>
    <w:lvl w:ilvl="0">
      <w:lvlJc w:val="left"/>
      <w:lvlText w:val="3"/>
      <w:numFmt w:val="bullet"/>
      <w:start w:val="1"/>
    </w:lvl>
  </w:abstractNum>
  <w:abstractNum w:abstractNumId="5">
    <w:nsid w:val="275AC794"/>
    <w:multiLevelType w:val="hybridMultilevel"/>
    <w:lvl w:ilvl="0">
      <w:lvlJc w:val="left"/>
      <w:lvlText w:val="4"/>
      <w:numFmt w:val="bullet"/>
      <w:start w:val="1"/>
    </w:lvl>
  </w:abstractNum>
  <w:abstractNum w:abstractNumId="6">
    <w:nsid w:val="39386575"/>
    <w:multiLevelType w:val="hybridMultilevel"/>
    <w:lvl w:ilvl="0">
      <w:lvlJc w:val="left"/>
      <w:lvlText w:val="&amp;"/>
      <w:numFmt w:val="bullet"/>
      <w:start w:val="1"/>
    </w:lvl>
  </w:abstractNum>
  <w:abstractNum w:abstractNumId="7">
    <w:nsid w:val="1CF10FD8"/>
    <w:multiLevelType w:val="hybridMultilevel"/>
    <w:lvl w:ilvl="0">
      <w:lvlJc w:val="left"/>
      <w:lvlText w:val="%1."/>
      <w:numFmt w:val="decimal"/>
      <w:start w:val="1"/>
    </w:lvl>
  </w:abstractNum>
  <w:abstractNum w:abstractNumId="8">
    <w:nsid w:val="180115BE"/>
    <w:multiLevelType w:val="hybridMultilevel"/>
    <w:lvl w:ilvl="0">
      <w:lvlJc w:val="left"/>
      <w:lvlText w:val="•"/>
      <w:numFmt w:val="bullet"/>
      <w:start w:val="1"/>
    </w:lvl>
    <w:lvl w:ilvl="1">
      <w:lvlJc w:val="left"/>
      <w:lvlText w:val="−"/>
      <w:numFmt w:val="bullet"/>
      <w:start w:val="1"/>
    </w:lvl>
  </w:abstractNum>
  <w:abstractNum w:abstractNumId="9">
    <w:nsid w:val="235BA86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lvl w:ilvl="1">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
      <w:numFmt w:val="bullet"/>
      <w:start w:val="1"/>
    </w:lvl>
  </w:abstractNum>
  <w:abstractNum w:abstractNumId="17">
    <w:nsid w:val="61574095"/>
    <w:multiLevelType w:val="hybridMultilevel"/>
    <w:lvl w:ilvl="0">
      <w:lvlJc w:val="left"/>
      <w:lvlText w:val=" "/>
      <w:numFmt w:val="bullet"/>
      <w:start w:val="1"/>
    </w:lvl>
  </w:abstractNum>
  <w:abstractNum w:abstractNumId="18">
    <w:nsid w:val="7E0C57B1"/>
    <w:multiLevelType w:val="hybridMultilevel"/>
    <w:lvl w:ilvl="0">
      <w:lvlJc w:val="left"/>
      <w:lvlText w:val=" "/>
      <w:numFmt w:val="bullet"/>
      <w:start w:val="1"/>
    </w:lvl>
  </w:abstractNum>
  <w:abstractNum w:abstractNumId="19">
    <w:nsid w:val="77AE35EB"/>
    <w:multiLevelType w:val="hybridMultilevel"/>
    <w:lvl w:ilvl="0">
      <w:lvlJc w:val="left"/>
      <w:lvlText w:val=" "/>
      <w:numFmt w:val="bullet"/>
      <w:start w:val="1"/>
    </w:lvl>
  </w:abstractNum>
  <w:abstractNum w:abstractNumId="20">
    <w:nsid w:val="579BE4F1"/>
    <w:multiLevelType w:val="hybridMultilevel"/>
    <w:lvl w:ilvl="0">
      <w:lvlJc w:val="left"/>
      <w:lvlText w:val=" "/>
      <w:numFmt w:val="bullet"/>
      <w:start w:val="1"/>
    </w:lvl>
  </w:abstractNum>
  <w:abstractNum w:abstractNumId="21">
    <w:nsid w:val="310C50B3"/>
    <w:multiLevelType w:val="hybridMultilevel"/>
    <w:lvl w:ilvl="0">
      <w:lvlJc w:val="left"/>
      <w:lvlText w:val=" "/>
      <w:numFmt w:val="bullet"/>
      <w:start w:val="1"/>
    </w:lvl>
  </w:abstractNum>
  <w:abstractNum w:abstractNumId="22">
    <w:nsid w:val="5FF87E05"/>
    <w:multiLevelType w:val="hybridMultilevel"/>
    <w:lvl w:ilvl="0">
      <w:lvlJc w:val="left"/>
      <w:lvlText w:val=" "/>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1."/>
      <w:numFmt w:val="decimal"/>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1."/>
      <w:numFmt w:val="decimal"/>
      <w:start w:val="2"/>
    </w:lvl>
  </w:abstractNum>
  <w:abstractNum w:abstractNumId="37">
    <w:nsid w:val="42C296BD"/>
    <w:multiLevelType w:val="hybridMultilevel"/>
    <w:lvl w:ilvl="0">
      <w:lvlJc w:val="left"/>
      <w:lvlText w:val="%1."/>
      <w:numFmt w:val="decimal"/>
      <w:start w:val="8"/>
    </w:lvl>
  </w:abstractNum>
  <w:abstractNum w:abstractNumId="38">
    <w:nsid w:val="168E121F"/>
    <w:multiLevelType w:val="hybridMultilevel"/>
    <w:lvl w:ilvl="0">
      <w:lvlJc w:val="left"/>
      <w:lvlText w:val="%1."/>
      <w:numFmt w:val="decimal"/>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1."/>
      <w:numFmt w:val="decimal"/>
      <w:start w:val="1"/>
    </w:lvl>
  </w:abstractNum>
  <w:abstractNum w:abstractNumId="42">
    <w:nsid w:val="540A471C"/>
    <w:multiLevelType w:val="hybridMultilevel"/>
    <w:lvl w:ilvl="0">
      <w:lvlJc w:val="left"/>
      <w:lvlText w:val="%1."/>
      <w:numFmt w:val="decimal"/>
      <w:start w:val="1"/>
    </w:lvl>
  </w:abstractNum>
  <w:abstractNum w:abstractNumId="43">
    <w:nsid w:val="7BD3EE7B"/>
    <w:multiLevelType w:val="hybridMultilevel"/>
    <w:lvl w:ilvl="0">
      <w:lvlJc w:val="left"/>
      <w:lvlText w:val="•"/>
      <w:numFmt w:val="bullet"/>
      <w:start w:val="1"/>
    </w:lvl>
    <w:lvl w:ilvl="1">
      <w:lvlJc w:val="left"/>
      <w:lvlText w:val="−"/>
      <w:numFmt w:val="bullet"/>
      <w:start w:val="1"/>
    </w:lvl>
  </w:abstractNum>
  <w:abstractNum w:abstractNumId="44">
    <w:nsid w:val="51D9C564"/>
    <w:multiLevelType w:val="hybridMultilevel"/>
    <w:lvl w:ilvl="0">
      <w:lvlJc w:val="left"/>
      <w:lvlText w:val="•"/>
      <w:numFmt w:val="bullet"/>
      <w:start w:val="1"/>
    </w:lvl>
    <w:lvl w:ilvl="1">
      <w:lvlJc w:val="left"/>
      <w:lvlText w:val="−"/>
      <w:numFmt w:val="bullet"/>
      <w:start w:val="1"/>
    </w:lvl>
  </w:abstractNum>
  <w:abstractNum w:abstractNumId="45">
    <w:nsid w:val="613EFDC5"/>
    <w:multiLevelType w:val="hybridMultilevel"/>
    <w:lvl w:ilvl="0">
      <w:lvlJc w:val="left"/>
      <w:lvlText w:val="−"/>
      <w:numFmt w:val="bullet"/>
      <w:start w:val="1"/>
    </w:lvl>
    <w:lvl w:ilvl="1">
      <w:lvlJc w:val="left"/>
      <w:lvlText w:val="•"/>
      <w:numFmt w:val="bullet"/>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1."/>
      <w:numFmt w:val="decimal"/>
      <w:start w:val="1"/>
    </w:lvl>
  </w:abstractNum>
  <w:abstractNum w:abstractNumId="50">
    <w:nsid w:val="8F2B15E"/>
    <w:multiLevelType w:val="hybridMultilevel"/>
    <w:lvl w:ilvl="0">
      <w:lvlJc w:val="left"/>
      <w:lvlText w:val=" "/>
      <w:numFmt w:val="bullet"/>
      <w:start w:val="1"/>
    </w:lvl>
  </w:abstractNum>
  <w:abstractNum w:abstractNumId="51">
    <w:nsid w:val="1A32234B"/>
    <w:multiLevelType w:val="hybridMultilevel"/>
    <w:lvl w:ilvl="0">
      <w:lvlJc w:val="left"/>
      <w:lvlText w:val=" "/>
      <w:numFmt w:val="bullet"/>
      <w:start w:val="1"/>
    </w:lvl>
  </w:abstractNum>
  <w:abstractNum w:abstractNumId="52">
    <w:nsid w:val="3B0FD379"/>
    <w:multiLevelType w:val="hybridMultilevel"/>
    <w:lvl w:ilvl="0">
      <w:lvlJc w:val="left"/>
      <w:lvlText w:val=" "/>
      <w:numFmt w:val="bullet"/>
      <w:start w:val="1"/>
    </w:lvl>
  </w:abstractNum>
  <w:abstractNum w:abstractNumId="53">
    <w:nsid w:val="68EB2F63"/>
    <w:multiLevelType w:val="hybridMultilevel"/>
    <w:lvl w:ilvl="0">
      <w:lvlJc w:val="left"/>
      <w:lvlText w:val="•"/>
      <w:numFmt w:val="bullet"/>
      <w:start w:val="1"/>
    </w:lvl>
    <w:lvl w:ilvl="1">
      <w:lvlJc w:val="left"/>
      <w:lvlText w:val="−"/>
      <w:numFmt w:val="bullet"/>
      <w:start w:val="1"/>
    </w:lvl>
  </w:abstractNum>
  <w:abstractNum w:abstractNumId="54">
    <w:nsid w:val="4962813B"/>
    <w:multiLevelType w:val="hybridMultilevel"/>
    <w:lvl w:ilvl="0">
      <w:lvlJc w:val="left"/>
      <w:lvlText w:val="•"/>
      <w:numFmt w:val="bullet"/>
      <w:start w:val="1"/>
    </w:lvl>
    <w:lvl w:ilvl="1">
      <w:lvlJc w:val="left"/>
      <w:lvlText w:val="-"/>
      <w:numFmt w:val="bullet"/>
      <w:start w:val="1"/>
    </w:lvl>
  </w:abstractNum>
  <w:abstractNum w:abstractNumId="55">
    <w:nsid w:val="60B6DF7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
      <w:numFmt w:val="bullet"/>
      <w:start w:val="1"/>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1"/>
      <w:numFmt w:val="bullet"/>
      <w:start w:val="1"/>
    </w:lvl>
  </w:abstractNum>
  <w:abstractNum w:abstractNumId="61">
    <w:nsid w:val="100F59DC"/>
    <w:multiLevelType w:val="hybridMultilevel"/>
    <w:lvl w:ilvl="0">
      <w:lvlJc w:val="left"/>
      <w:lvlText w:val="%1."/>
      <w:numFmt w:val="decimal"/>
      <w:start w:val="2"/>
    </w:lvl>
  </w:abstractNum>
  <w:abstractNum w:abstractNumId="62">
    <w:nsid w:val="7FB7E0AA"/>
    <w:multiLevelType w:val="hybridMultilevel"/>
    <w:lvl w:ilvl="0">
      <w:lvlJc w:val="left"/>
      <w:lvlText w:val="%1."/>
      <w:numFmt w:val="decimal"/>
      <w:start w:val="1"/>
    </w:lvl>
  </w:abstractNum>
  <w:abstractNum w:abstractNumId="63">
    <w:nsid w:val="6EB5BD4"/>
    <w:multiLevelType w:val="hybridMultilevel"/>
    <w:lvl w:ilvl="0">
      <w:lvlJc w:val="left"/>
      <w:lvlText w:val="%1."/>
      <w:numFmt w:val="decimal"/>
      <w:start w:val="1"/>
    </w:lvl>
  </w:abstractNum>
  <w:abstractNum w:abstractNumId="64">
    <w:nsid w:val="6F6DD9AC"/>
    <w:multiLevelType w:val="hybridMultilevel"/>
    <w:lvl w:ilvl="0">
      <w:lvlJc w:val="left"/>
      <w:lvlText w:val="%1."/>
      <w:numFmt w:val="decimal"/>
      <w:start w:val="1"/>
    </w:lvl>
  </w:abstractNum>
  <w:abstractNum w:abstractNumId="65">
    <w:nsid w:val="94211F2"/>
    <w:multiLevelType w:val="hybridMultilevel"/>
    <w:lvl w:ilvl="0">
      <w:lvlJc w:val="left"/>
      <w:lvlText w:val="•"/>
      <w:numFmt w:val="bullet"/>
      <w:start w:val="1"/>
    </w:lvl>
  </w:abstractNum>
  <w:abstractNum w:abstractNumId="66">
    <w:nsid w:val="885E1B"/>
    <w:multiLevelType w:val="hybridMultilevel"/>
    <w:lvl w:ilvl="0">
      <w:lvlJc w:val="left"/>
      <w:lvlText w:val="•"/>
      <w:numFmt w:val="bullet"/>
      <w:start w:val="1"/>
    </w:lvl>
  </w:abstractNum>
  <w:abstractNum w:abstractNumId="67">
    <w:nsid w:val="76272110"/>
    <w:multiLevelType w:val="hybridMultilevel"/>
    <w:lvl w:ilvl="0">
      <w:lvlJc w:val="left"/>
      <w:lvlText w:val="•"/>
      <w:numFmt w:val="bullet"/>
      <w:start w:val="1"/>
    </w:lvl>
  </w:abstractNum>
  <w:abstractNum w:abstractNumId="68">
    <w:nsid w:val="4C04A8AF"/>
    <w:multiLevelType w:val="hybridMultilevel"/>
    <w:lvl w:ilvl="0">
      <w:lvlJc w:val="left"/>
      <w:lvlText w:val="•"/>
      <w:numFmt w:val="bullet"/>
      <w:start w:val="1"/>
    </w:lvl>
  </w:abstractNum>
  <w:abstractNum w:abstractNumId="69">
    <w:nsid w:val="1716703B"/>
    <w:multiLevelType w:val="hybridMultilevel"/>
    <w:lvl w:ilvl="0">
      <w:lvlJc w:val="left"/>
      <w:lvlText w:val="•"/>
      <w:numFmt w:val="bullet"/>
      <w:start w:val="1"/>
    </w:lvl>
  </w:abstractNum>
  <w:abstractNum w:abstractNumId="70">
    <w:nsid w:val="14E17E33"/>
    <w:multiLevelType w:val="hybridMultilevel"/>
    <w:lvl w:ilvl="0">
      <w:lvlJc w:val="left"/>
      <w:lvlText w:val="•"/>
      <w:numFmt w:val="bullet"/>
      <w:start w:val="1"/>
    </w:lvl>
  </w:abstractNum>
  <w:abstractNum w:abstractNumId="71">
    <w:nsid w:val="3222E7CD"/>
    <w:multiLevelType w:val="hybridMultilevel"/>
    <w:lvl w:ilvl="0">
      <w:lvlJc w:val="left"/>
      <w:lvlText w:val="%1."/>
      <w:numFmt w:val="decimal"/>
      <w:start w:val="1"/>
    </w:lvl>
  </w:abstractNum>
  <w:abstractNum w:abstractNumId="72">
    <w:nsid w:val="74DE0EE3"/>
    <w:multiLevelType w:val="hybridMultilevel"/>
    <w:lvl w:ilvl="0">
      <w:lvlJc w:val="left"/>
      <w:lvlText w:val="%1."/>
      <w:numFmt w:val="decimal"/>
      <w:start w:val="3"/>
    </w:lvl>
  </w:abstractNum>
  <w:abstractNum w:abstractNumId="73">
    <w:nsid w:val="68EBC550"/>
    <w:multiLevelType w:val="hybridMultilevel"/>
    <w:lvl w:ilvl="0">
      <w:lvlJc w:val="left"/>
      <w:lvlText w:val="%1."/>
      <w:numFmt w:val="decimal"/>
      <w:start w:val="1"/>
    </w:lvl>
  </w:abstractNum>
  <w:abstractNum w:abstractNumId="74">
    <w:nsid w:val="2DF6D648"/>
    <w:multiLevelType w:val="hybridMultilevel"/>
    <w:lvl w:ilvl="0">
      <w:lvlJc w:val="left"/>
      <w:lvlText w:val="•"/>
      <w:numFmt w:val="bullet"/>
      <w:start w:val="1"/>
    </w:lvl>
  </w:abstractNum>
  <w:abstractNum w:abstractNumId="75">
    <w:nsid w:val="46B7D447"/>
    <w:multiLevelType w:val="hybridMultilevel"/>
    <w:lvl w:ilvl="0">
      <w:lvlJc w:val="left"/>
      <w:lvlText w:val="•"/>
      <w:numFmt w:val="bullet"/>
      <w:start w:val="1"/>
    </w:lvl>
  </w:abstractNum>
  <w:abstractNum w:abstractNumId="76">
    <w:nsid w:val="4A2AC315"/>
    <w:multiLevelType w:val="hybridMultilevel"/>
    <w:lvl w:ilvl="0">
      <w:lvlJc w:val="left"/>
      <w:lvlText w:val="•"/>
      <w:numFmt w:val="bullet"/>
      <w:start w:val="1"/>
    </w:lvl>
  </w:abstractNum>
  <w:abstractNum w:abstractNumId="77">
    <w:nsid w:val="39EE015C"/>
    <w:multiLevelType w:val="hybridMultilevel"/>
    <w:lvl w:ilvl="0">
      <w:lvlJc w:val="left"/>
      <w:lvlText w:val="•"/>
      <w:numFmt w:val="bullet"/>
      <w:start w:val="1"/>
    </w:lvl>
  </w:abstractNum>
  <w:abstractNum w:abstractNumId="78">
    <w:nsid w:val="57FC4FBB"/>
    <w:multiLevelType w:val="hybridMultilevel"/>
    <w:lvl w:ilvl="0">
      <w:lvlJc w:val="left"/>
      <w:lvlText w:val="•"/>
      <w:numFmt w:val="bullet"/>
      <w:start w:val="1"/>
    </w:lvl>
  </w:abstractNum>
  <w:abstractNum w:abstractNumId="79">
    <w:nsid w:val="CC1016F"/>
    <w:multiLevelType w:val="hybridMultilevel"/>
    <w:lvl w:ilvl="0">
      <w:lvlJc w:val="left"/>
      <w:lvlText w:val="•"/>
      <w:numFmt w:val="bullet"/>
      <w:start w:val="1"/>
    </w:lvl>
  </w:abstractNum>
  <w:abstractNum w:abstractNumId="80">
    <w:nsid w:val="43F18422"/>
    <w:multiLevelType w:val="hybridMultilevel"/>
    <w:lvl w:ilvl="0">
      <w:lvlJc w:val="left"/>
      <w:lvlText w:val="•"/>
      <w:numFmt w:val="bullet"/>
      <w:start w:val="1"/>
    </w:lvl>
  </w:abstractNum>
  <w:abstractNum w:abstractNumId="81">
    <w:nsid w:val="60EF0119"/>
    <w:multiLevelType w:val="hybridMultilevel"/>
    <w:lvl w:ilvl="0">
      <w:lvlJc w:val="left"/>
      <w:lvlText w:val="%1."/>
      <w:numFmt w:val="decimal"/>
      <w:start w:val="1"/>
    </w:lvl>
  </w:abstractNum>
  <w:abstractNum w:abstractNumId="82">
    <w:nsid w:val="26F324BA"/>
    <w:multiLevelType w:val="hybridMultilevel"/>
    <w:lvl w:ilvl="0">
      <w:lvlJc w:val="left"/>
      <w:lvlText w:val="%1."/>
      <w:numFmt w:val="decimal"/>
      <w:start w:val="1"/>
    </w:lvl>
  </w:abstractNum>
  <w:abstractNum w:abstractNumId="83">
    <w:nsid w:val="7F01579B"/>
    <w:multiLevelType w:val="hybridMultilevel"/>
    <w:lvl w:ilvl="0">
      <w:lvlJc w:val="left"/>
      <w:lvlText w:val="%1."/>
      <w:numFmt w:val="decimal"/>
      <w:start w:val="1"/>
    </w:lvl>
  </w:abstractNum>
  <w:abstractNum w:abstractNumId="84">
    <w:nsid w:val="49DA307D"/>
    <w:multiLevelType w:val="hybridMultilevel"/>
    <w:lvl w:ilvl="0">
      <w:lvlJc w:val="left"/>
      <w:lvlText w:val="(%1)"/>
      <w:numFmt w:val="decimal"/>
      <w:start w:val="1"/>
    </w:lvl>
  </w:abstractNum>
  <w:abstractNum w:abstractNumId="85">
    <w:nsid w:val="7055A5F5"/>
    <w:multiLevelType w:val="hybridMultilevel"/>
    <w:lvl w:ilvl="0">
      <w:lvlJc w:val="left"/>
      <w:lvlText w:val="•"/>
      <w:numFmt w:val="bullet"/>
      <w:start w:val="1"/>
    </w:lvl>
  </w:abstractNum>
  <w:abstractNum w:abstractNumId="86">
    <w:nsid w:val="5FB8370B"/>
    <w:multiLevelType w:val="hybridMultilevel"/>
    <w:lvl w:ilvl="0">
      <w:lvlJc w:val="left"/>
      <w:lvlText w:val="%1."/>
      <w:numFmt w:val="decimal"/>
      <w:start w:val="1"/>
    </w:lvl>
  </w:abstractNum>
  <w:abstractNum w:abstractNumId="87">
    <w:nsid w:val="50801EE1"/>
    <w:multiLevelType w:val="hybridMultilevel"/>
    <w:lvl w:ilvl="0">
      <w:lvlJc w:val="left"/>
      <w:lvlText w:val="%1."/>
      <w:numFmt w:val="decimal"/>
      <w:start w:val="1"/>
    </w:lvl>
  </w:abstractNum>
  <w:abstractNum w:abstractNumId="88">
    <w:nsid w:val="488AC1A"/>
    <w:multiLevelType w:val="hybridMultilevel"/>
    <w:lvl w:ilvl="0">
      <w:lvlJc w:val="left"/>
      <w:lvlText w:val="%1."/>
      <w:numFmt w:val="decimal"/>
      <w:start w:val="1"/>
    </w:lvl>
  </w:abstractNum>
  <w:abstractNum w:abstractNumId="89">
    <w:nsid w:val="5FB8011C"/>
    <w:multiLevelType w:val="hybridMultilevel"/>
    <w:lvl w:ilvl="0">
      <w:lvlJc w:val="left"/>
      <w:lvlText w:val="%1."/>
      <w:numFmt w:val="decimal"/>
      <w:start w:val="1"/>
    </w:lvl>
  </w:abstractNum>
  <w:abstractNum w:abstractNumId="90">
    <w:nsid w:val="6AA78F7F"/>
    <w:multiLevelType w:val="hybridMultilevel"/>
    <w:lvl w:ilvl="0">
      <w:lvlJc w:val="left"/>
      <w:lvlText w:val="%1."/>
      <w:numFmt w:val="decimal"/>
      <w:start w:val="1"/>
    </w:lvl>
  </w:abstractNum>
  <w:abstractNum w:abstractNumId="91">
    <w:nsid w:val="7672BD23"/>
    <w:multiLevelType w:val="hybridMultilevel"/>
    <w:lvl w:ilvl="0">
      <w:lvlJc w:val="left"/>
      <w:lvlText w:val="%1."/>
      <w:numFmt w:val="decimal"/>
      <w:start w:val="1"/>
    </w:lvl>
  </w:abstractNum>
  <w:abstractNum w:abstractNumId="92">
    <w:nsid w:val="6FC75AF8"/>
    <w:multiLevelType w:val="hybridMultilevel"/>
    <w:lvl w:ilvl="0">
      <w:lvlJc w:val="left"/>
      <w:lvlText w:val="•"/>
      <w:numFmt w:val="bullet"/>
      <w:start w:val="1"/>
    </w:lvl>
  </w:abstractNum>
  <w:abstractNum w:abstractNumId="93">
    <w:nsid w:val="6A5F7029"/>
    <w:multiLevelType w:val="hybridMultilevel"/>
    <w:lvl w:ilvl="0">
      <w:lvlJc w:val="left"/>
      <w:lvlText w:val="%1."/>
      <w:numFmt w:val="decimal"/>
      <w:start w:val="1"/>
    </w:lvl>
  </w:abstractNum>
  <w:abstractNum w:abstractNumId="94">
    <w:nsid w:val="7D5E18F8"/>
    <w:multiLevelType w:val="hybridMultilevel"/>
    <w:lvl w:ilvl="0">
      <w:lvlJc w:val="left"/>
      <w:lvlText w:val="%1."/>
      <w:numFmt w:val="decimal"/>
      <w:start w:val="4"/>
    </w:lvl>
  </w:abstractNum>
  <w:abstractNum w:abstractNumId="95">
    <w:nsid w:val="5F3534A4"/>
    <w:multiLevelType w:val="hybridMultilevel"/>
    <w:lvl w:ilvl="0">
      <w:lvlJc w:val="left"/>
      <w:lvlText w:val="%1."/>
      <w:numFmt w:val="decimal"/>
      <w:start w:val="5"/>
    </w:lvl>
  </w:abstractNum>
  <w:abstractNum w:abstractNumId="96">
    <w:nsid w:val="73A1821B"/>
    <w:multiLevelType w:val="hybridMultilevel"/>
    <w:lvl w:ilvl="0">
      <w:lvlJc w:val="left"/>
      <w:lvlText w:val="%1."/>
      <w:numFmt w:val="decimal"/>
      <w:start w:val="6"/>
    </w:lvl>
  </w:abstractNum>
  <w:abstractNum w:abstractNumId="97">
    <w:nsid w:val="7DE67713"/>
    <w:multiLevelType w:val="hybridMultilevel"/>
    <w:lvl w:ilvl="0">
      <w:lvlJc w:val="left"/>
      <w:lvlText w:val="%1."/>
      <w:numFmt w:val="decimal"/>
      <w:start w:val="7"/>
    </w:lvl>
  </w:abstractNum>
  <w:abstractNum w:abstractNumId="98">
    <w:nsid w:val="555C55B5"/>
    <w:multiLevelType w:val="hybridMultilevel"/>
    <w:lvl w:ilvl="0">
      <w:lvlJc w:val="left"/>
      <w:lvlText w:val="%1."/>
      <w:numFmt w:val="decimal"/>
      <w:start w:val="8"/>
    </w:lvl>
  </w:abstractNum>
  <w:abstractNum w:abstractNumId="99">
    <w:nsid w:val="3FA62ACA"/>
    <w:multiLevelType w:val="hybridMultilevel"/>
    <w:lvl w:ilvl="0">
      <w:lvlJc w:val="left"/>
      <w:lvlText w:val="•"/>
      <w:numFmt w:val="bullet"/>
      <w:start w:val="1"/>
    </w:lvl>
  </w:abstractNum>
  <w:abstractNum w:abstractNumId="100">
    <w:nsid w:val="14FCE74E"/>
    <w:multiLevelType w:val="hybridMultilevel"/>
    <w:lvl w:ilvl="0">
      <w:lvlJc w:val="left"/>
      <w:lvlText w:val="•"/>
      <w:numFmt w:val="bullet"/>
      <w:start w:val="1"/>
    </w:lvl>
  </w:abstractNum>
  <w:abstractNum w:abstractNumId="101">
    <w:nsid w:val="6A3DD3E8"/>
    <w:multiLevelType w:val="hybridMultilevel"/>
    <w:lvl w:ilvl="0">
      <w:lvlJc w:val="left"/>
      <w:lvlText w:val="&amp;"/>
      <w:numFmt w:val="bullet"/>
      <w:start w:val="1"/>
    </w:lvl>
  </w:abstractNum>
  <w:abstractNum w:abstractNumId="102">
    <w:nsid w:val="71C91298"/>
    <w:multiLevelType w:val="hybridMultilevel"/>
    <w:lvl w:ilvl="0">
      <w:lvlJc w:val="left"/>
      <w:lvlText w:val="%1."/>
      <w:numFmt w:val="decimal"/>
      <w:start w:val="1"/>
    </w:lvl>
  </w:abstractNum>
  <w:abstractNum w:abstractNumId="103">
    <w:nsid w:val="9DAF632"/>
    <w:multiLevelType w:val="hybridMultilevel"/>
    <w:lvl w:ilvl="0">
      <w:lvlJc w:val="left"/>
      <w:lvlText w:val="%1."/>
      <w:numFmt w:val="decimal"/>
      <w:start w:val="2"/>
    </w:lvl>
  </w:abstractNum>
  <w:abstractNum w:abstractNumId="104">
    <w:nsid w:val="53299938"/>
    <w:multiLevelType w:val="hybridMultilevel"/>
    <w:lvl w:ilvl="0">
      <w:lvlJc w:val="left"/>
      <w:lvlText w:val="%1."/>
      <w:numFmt w:val="decimal"/>
      <w:start w:val="3"/>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jpe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jpe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jpeg"/><Relationship Id="rId583" Type="http://schemas.openxmlformats.org/officeDocument/2006/relationships/image" Target="media/image576.jpeg"/><Relationship Id="rId584" Type="http://schemas.openxmlformats.org/officeDocument/2006/relationships/image" Target="media/image577.jpeg"/><Relationship Id="rId585" Type="http://schemas.openxmlformats.org/officeDocument/2006/relationships/image" Target="media/image578.png"/><Relationship Id="rId586" Type="http://schemas.openxmlformats.org/officeDocument/2006/relationships/image" Target="media/image579.jpe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jpe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jpe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jpe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jpe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jpeg"/><Relationship Id="rId612" Type="http://schemas.openxmlformats.org/officeDocument/2006/relationships/image" Target="media/image605.png"/><Relationship Id="rId613" Type="http://schemas.openxmlformats.org/officeDocument/2006/relationships/image" Target="media/image606.jpe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jpeg"/><Relationship Id="rId617" Type="http://schemas.openxmlformats.org/officeDocument/2006/relationships/image" Target="media/image610.pn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jpe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jpe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jpe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jpe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jpe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jpe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jpe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jpe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jpe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jpe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jpe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jpe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jpe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jpe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jpe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jpe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jpe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jpe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jpe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jpe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jpe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jpe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jpe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jpe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jpe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jpe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jpe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jpe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jpe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jpe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jpe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jpeg"/><Relationship Id="rId773" Type="http://schemas.openxmlformats.org/officeDocument/2006/relationships/image" Target="media/image766.jpeg"/><Relationship Id="rId774" Type="http://schemas.openxmlformats.org/officeDocument/2006/relationships/image" Target="media/image767.png"/><Relationship Id="rId775" Type="http://schemas.openxmlformats.org/officeDocument/2006/relationships/image" Target="media/image768.jpe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jpe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jpe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jpe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jpeg"/><Relationship Id="rId792" Type="http://schemas.openxmlformats.org/officeDocument/2006/relationships/image" Target="media/image785.png"/><Relationship Id="rId793" Type="http://schemas.openxmlformats.org/officeDocument/2006/relationships/image" Target="media/image786.jpe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jpeg"/><Relationship Id="rId799" Type="http://schemas.openxmlformats.org/officeDocument/2006/relationships/image" Target="media/image792.jpe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jpeg"/><Relationship Id="rId804" Type="http://schemas.openxmlformats.org/officeDocument/2006/relationships/image" Target="media/image797.png"/><Relationship Id="rId805" Type="http://schemas.openxmlformats.org/officeDocument/2006/relationships/image" Target="media/image798.jpe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jpeg"/><Relationship Id="rId810" Type="http://schemas.openxmlformats.org/officeDocument/2006/relationships/image" Target="media/image803.png"/><Relationship Id="rId811" Type="http://schemas.openxmlformats.org/officeDocument/2006/relationships/image" Target="media/image804.jpe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jpe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jpe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jpe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jpe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jpe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jpe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jpe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jpe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jpe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jpe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jpe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jpe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jpe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jpeg"/><Relationship Id="rId874" Type="http://schemas.openxmlformats.org/officeDocument/2006/relationships/image" Target="media/image867.png"/><Relationship Id="rId875" Type="http://schemas.openxmlformats.org/officeDocument/2006/relationships/image" Target="media/image868.jpeg"/><Relationship Id="rId876" Type="http://schemas.openxmlformats.org/officeDocument/2006/relationships/image" Target="media/image869.png"/><Relationship Id="rId877" Type="http://schemas.openxmlformats.org/officeDocument/2006/relationships/image" Target="media/image870.jpeg"/><Relationship Id="rId878" Type="http://schemas.openxmlformats.org/officeDocument/2006/relationships/image" Target="media/image871.png"/><Relationship Id="rId879" Type="http://schemas.openxmlformats.org/officeDocument/2006/relationships/image" Target="media/image872.jpeg"/><Relationship Id="rId880" Type="http://schemas.openxmlformats.org/officeDocument/2006/relationships/image" Target="media/image873.png"/><Relationship Id="rId881" Type="http://schemas.openxmlformats.org/officeDocument/2006/relationships/image" Target="media/image874.jpeg"/><Relationship Id="rId882" Type="http://schemas.openxmlformats.org/officeDocument/2006/relationships/image" Target="media/image875.png"/><Relationship Id="rId883" Type="http://schemas.openxmlformats.org/officeDocument/2006/relationships/image" Target="media/image8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2026-06-18T16:57:55Z</dcterms:created>
  <dcterms:modified xsi:type="dcterms:W3CDTF">2026-06-18T16:57:55Z</dcterms:modified>
</cp:coreProperties>
</file>