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06014_4-cupp.xml.htm"/>
      <w:bookmarkStart w:id="1" w:name="kses260806014_4cup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Cupp Debra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RALPH LAUREN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RALPH LAUREN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94"/>
        <w:gridCol w:w="906"/>
        <w:gridCol w:w="774"/>
        <w:gridCol w:w="602"/>
        <w:gridCol w:w="353"/>
        <w:gridCol w:w="820"/>
        <w:gridCol w:w="467"/>
        <w:gridCol w:w="629"/>
        <w:gridCol w:w="1215"/>
        <w:gridCol w:w="1014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2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4,574.02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of the Issuer's Class A Common Stock payable as a result of the payment of a cash dividend on the Issuer's Class A Common Stock. The restricted stock units are payable solely in shares of the Issuer's Class A Common Stock issued to the Reporting Person in respect of restricted stock units previously granted under the Issuer's 2019 Long-Term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Avery S. Fischer, Attorney-in-Fact for Debra S. Cupp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0919" TargetMode="External"/><Relationship Id="rId5" Type="http://schemas.openxmlformats.org/officeDocument/2006/relationships/hyperlink" Target="http://www.sec.gov/cgi-bin/browse-edgar?action=getcompany&amp;CIK=0001037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634</Words>
  <Characters>3400</Characters>
  <CharactersWithSpaces>3975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